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rsidR="0059146A" w:rsidRDefault="009035A7" w:rsidP="00A56F14">
      <w:pPr>
        <w:rPr>
          <w:sz w:val="24"/>
        </w:rPr>
        <w:sectPr w:rsidR="0059146A" w:rsidSect="009532B8">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LAOS AID PROGRAM</w:t>
      </w:r>
      <w:r w:rsidR="0059146A">
        <w:rPr>
          <w:sz w:val="40"/>
        </w:rPr>
        <w:br/>
      </w:r>
      <w:r w:rsidR="0059146A" w:rsidRPr="0059146A">
        <w:rPr>
          <w:sz w:val="24"/>
        </w:rPr>
        <w:t>September 201</w:t>
      </w:r>
      <w:r w:rsidR="003E305C">
        <w:rPr>
          <w:sz w:val="24"/>
        </w:rPr>
        <w:t>7</w:t>
      </w:r>
    </w:p>
    <w:p w:rsidR="005B5769" w:rsidRPr="00B438D3" w:rsidRDefault="006B3774" w:rsidP="00B438D3">
      <w:pPr>
        <w:pStyle w:val="Title"/>
      </w:pPr>
      <w:r>
        <w:lastRenderedPageBreak/>
        <w:t xml:space="preserve">LaoS </w:t>
      </w:r>
      <w:r w:rsidR="005B5769" w:rsidRPr="00B438D3">
        <w:t>Aid Program Performance Information 201</w:t>
      </w:r>
      <w:r w:rsidR="003E305C">
        <w:t>6</w:t>
      </w:r>
      <w:r w:rsidR="005B5769" w:rsidRPr="00B438D3">
        <w:t>-1</w:t>
      </w:r>
      <w:bookmarkStart w:id="0" w:name="_GoBack"/>
      <w:bookmarkEnd w:id="0"/>
      <w:r w:rsidR="003E305C">
        <w:t>7</w:t>
      </w:r>
    </w:p>
    <w:p w:rsidR="005B5769" w:rsidRPr="00C4114C" w:rsidRDefault="005B5769" w:rsidP="0050079E">
      <w:pPr>
        <w:pStyle w:val="Subtitle"/>
        <w:spacing w:before="240" w:after="0"/>
      </w:pPr>
      <w:r w:rsidRPr="00C4114C">
        <w:t>Summary</w:t>
      </w:r>
    </w:p>
    <w:p w:rsidR="00DC0A27" w:rsidRDefault="00DC0A27" w:rsidP="00DC0A27">
      <w:r>
        <w:t>This report summarises the performance of Australia’s aid program in Laos from July 2016 to June 2017 against the Laos Program Aid Investment Plan (AIP) (2015-16 to 2019-20). The report</w:t>
      </w:r>
      <w:r w:rsidR="00183CE1">
        <w:t xml:space="preserve">ing period covers Laos’ </w:t>
      </w:r>
      <w:r w:rsidR="00A7389B">
        <w:t xml:space="preserve">year as </w:t>
      </w:r>
      <w:r w:rsidR="00183CE1">
        <w:t>chair</w:t>
      </w:r>
      <w:r>
        <w:t xml:space="preserve"> of ASEAN in 2016, marked by high</w:t>
      </w:r>
      <w:r w:rsidR="00A7389B">
        <w:t>-</w:t>
      </w:r>
      <w:r>
        <w:t xml:space="preserve">level visits to Laos by Australia’s Prime Minister, Foreign Minister, and Trade, Tourism and Investment Minister. The visits provided opportunities to progress bilateral strategic and economic issues, announce new aid investments, and promote </w:t>
      </w:r>
      <w:r w:rsidR="00A7389B">
        <w:t>Australia’s broader engagement with Laos</w:t>
      </w:r>
      <w:r>
        <w:t>. A highlight included a scholarships ceremony presided by the Australian Prime Minister and Lao Vice-President to announce the successful Australia Award recipients for 2017. The second half of the reporting period coincided with the start of the 65</w:t>
      </w:r>
      <w:r w:rsidRPr="00B1665A">
        <w:rPr>
          <w:vertAlign w:val="superscript"/>
        </w:rPr>
        <w:t>th</w:t>
      </w:r>
      <w:r w:rsidR="00B1665A">
        <w:t xml:space="preserve"> </w:t>
      </w:r>
      <w:r>
        <w:t xml:space="preserve">anniversary celebrations of </w:t>
      </w:r>
      <w:r w:rsidR="00662729">
        <w:t xml:space="preserve">bilateral </w:t>
      </w:r>
      <w:r>
        <w:t>relations</w:t>
      </w:r>
      <w:r w:rsidR="00A91CD8">
        <w:t xml:space="preserve">; </w:t>
      </w:r>
      <w:r w:rsidR="00A7389B">
        <w:t xml:space="preserve">Australia </w:t>
      </w:r>
      <w:r w:rsidR="00A91CD8">
        <w:t>has the</w:t>
      </w:r>
      <w:r>
        <w:t xml:space="preserve"> longest unbroken diplomatic relation</w:t>
      </w:r>
      <w:r w:rsidR="004E621A">
        <w:t>ship</w:t>
      </w:r>
      <w:r w:rsidR="00A91CD8">
        <w:t>,</w:t>
      </w:r>
      <w:r>
        <w:t xml:space="preserve"> at Ambassador level</w:t>
      </w:r>
      <w:r w:rsidR="00A91CD8">
        <w:t>, with Laos</w:t>
      </w:r>
      <w:r>
        <w:t>. Foreign Minister Saleumxay, an Australian alumnus, provided an address to mark the anniversary on Australia Day. Economic and political links were further strengthened during a visit by Deputy Prime Minister Sonexay to Canberra, Melbourne and Hobart in February 2017.</w:t>
      </w:r>
    </w:p>
    <w:p w:rsidR="00DC0A27" w:rsidRDefault="00DC0A27" w:rsidP="00DC0A27">
      <w:r>
        <w:t>Laos’ economy is expected to continue to deliver high growth, although slightly less than planned at around 7.0 per cent in 2016 (</w:t>
      </w:r>
      <w:r w:rsidR="00A7389B">
        <w:t>and again</w:t>
      </w:r>
      <w:r>
        <w:t xml:space="preserve"> in 2017</w:t>
      </w:r>
      <w:r w:rsidR="00A7389B">
        <w:t>, according to forecasts</w:t>
      </w:r>
      <w:r>
        <w:t>), led by electricity production as additional hydropower plants c</w:t>
      </w:r>
      <w:r w:rsidR="00B1665A">
        <w:t>a</w:t>
      </w:r>
      <w:r>
        <w:t>me on</w:t>
      </w:r>
      <w:r w:rsidR="00A7389B">
        <w:t xml:space="preserve"> </w:t>
      </w:r>
      <w:r>
        <w:t>line</w:t>
      </w:r>
      <w:r w:rsidR="00A7389B">
        <w:t>,</w:t>
      </w:r>
      <w:r>
        <w:t xml:space="preserve"> along with </w:t>
      </w:r>
      <w:r w:rsidR="00B1665A">
        <w:t>a</w:t>
      </w:r>
      <w:r>
        <w:t xml:space="preserve"> 1.9 gigawatt lignite-fired plant</w:t>
      </w:r>
      <w:r w:rsidR="00B1665A">
        <w:t xml:space="preserve"> in Hongsa</w:t>
      </w:r>
      <w:r>
        <w:t xml:space="preserve">. </w:t>
      </w:r>
      <w:r w:rsidR="00BE67C7">
        <w:t xml:space="preserve">Laos has aspirations to significantly increase the installed capacity of its hydropower industry. Unless carefully managed, </w:t>
      </w:r>
      <w:r w:rsidR="00FC50A9">
        <w:t xml:space="preserve">dam construction across the </w:t>
      </w:r>
      <w:r w:rsidR="00EE1708">
        <w:t xml:space="preserve">Mekong River Basin </w:t>
      </w:r>
      <w:r w:rsidR="00FC50A9">
        <w:t xml:space="preserve">has the potential to compound </w:t>
      </w:r>
      <w:r w:rsidR="00BE67C7">
        <w:t>climate change impacts of flood and drought</w:t>
      </w:r>
      <w:r w:rsidR="00A7389B">
        <w:t>,</w:t>
      </w:r>
      <w:r w:rsidR="004832F0">
        <w:t xml:space="preserve"> with a disproportionate effect on the rural poor</w:t>
      </w:r>
      <w:r w:rsidR="00BE67C7">
        <w:t>. G</w:t>
      </w:r>
      <w:r>
        <w:t>rowth remained uneven and contributed less to poverty reduction than other countries in the region. Each percentage point of GDP growth was matched on average by an unimpressive 0.47 per</w:t>
      </w:r>
      <w:r w:rsidR="00CC462E">
        <w:t xml:space="preserve"> </w:t>
      </w:r>
      <w:r>
        <w:t xml:space="preserve">cent decline in the poverty rate, one of </w:t>
      </w:r>
      <w:r w:rsidR="005F10B1">
        <w:t>the smallest in South</w:t>
      </w:r>
      <w:r w:rsidR="00A7389B">
        <w:t>-E</w:t>
      </w:r>
      <w:r w:rsidR="005F10B1">
        <w:t>ast Asia</w:t>
      </w:r>
      <w:r>
        <w:t>.</w:t>
      </w:r>
      <w:r w:rsidR="005F10B1">
        <w:rPr>
          <w:rStyle w:val="FootnoteReference"/>
        </w:rPr>
        <w:footnoteReference w:id="1"/>
      </w:r>
      <w:r>
        <w:t xml:space="preserve"> Statistics from the World Bank show Laos was the only country in East Asia and Pacific where the bottom 40 per cent of the population had slower income growth than the total population. Two thirds of the population still live on less than US$2 a day, and poverty is almost three times higher in rural areas (28.6 per cent), compared to urban areas (10 per cent).</w:t>
      </w:r>
      <w:r w:rsidR="002C2205">
        <w:t xml:space="preserve"> </w:t>
      </w:r>
      <w:r w:rsidR="002C2205" w:rsidRPr="002C2205">
        <w:t>About two thirds of the poor in Lao</w:t>
      </w:r>
      <w:r w:rsidR="002C2205">
        <w:t>s</w:t>
      </w:r>
      <w:r w:rsidR="002C2205" w:rsidRPr="002C2205">
        <w:t xml:space="preserve"> are ethnic minorities, even though they constitute a third o</w:t>
      </w:r>
      <w:r w:rsidR="002C2205">
        <w:t>f the population in the country.</w:t>
      </w:r>
      <w:r w:rsidR="002C2205">
        <w:rPr>
          <w:rStyle w:val="FootnoteReference"/>
        </w:rPr>
        <w:footnoteReference w:id="2"/>
      </w:r>
    </w:p>
    <w:p w:rsidR="00DC0A27" w:rsidRDefault="00DC0A27" w:rsidP="00DC0A27">
      <w:r>
        <w:t xml:space="preserve">With a relatively young population (60 per cent of the population is under 25 years of age), Laos has a potential demographic dividend, but its human resources do not have the capacity to take advantage of the benefits from greater regional economic integration, such as the ASEAN Economic Community. Health and education outcomes are poor and a drain on the productivity of the economy. </w:t>
      </w:r>
      <w:r w:rsidR="00A7389B">
        <w:t xml:space="preserve">Around </w:t>
      </w:r>
      <w:r>
        <w:t xml:space="preserve">58 per cent of </w:t>
      </w:r>
      <w:r w:rsidR="00183CE1">
        <w:t>boys and girls</w:t>
      </w:r>
      <w:r>
        <w:t xml:space="preserve"> who reach Grade 5 are unable to read fluently, and almost 30 per cent of Grade 3 students are unable to read a single word. Approximately 36 per cent of the population is malnourished.</w:t>
      </w:r>
    </w:p>
    <w:p w:rsidR="00DC0A27" w:rsidRDefault="00DC0A27" w:rsidP="00DC0A27">
      <w:r>
        <w:t xml:space="preserve">Laos continues to be a difficult place to do business, with a ranking of 139 out of 190 on the World Bank’s 2017 Ease of Doing Business index (compared to 134 the year before). An increasing concern is the sustainability of public debt, estimated at 68 per cent of GDP in 2016, with a fiscal deficit widening to 6.2 per cent (from 4 per cent in </w:t>
      </w:r>
      <w:r w:rsidR="00A7389B">
        <w:t>2015</w:t>
      </w:r>
      <w:r>
        <w:t xml:space="preserve">). In February 2017, the IMF Article IV </w:t>
      </w:r>
      <w:r w:rsidR="00A7389B">
        <w:t xml:space="preserve">mission </w:t>
      </w:r>
      <w:r>
        <w:t xml:space="preserve">reclassified Laos’ risk of external debt distress from moderate to high, suggesting a need to tighten fiscal policy, strengthen public financial management, and develop a debt management strategy. Adding to budget </w:t>
      </w:r>
      <w:r w:rsidR="00B1665A">
        <w:t>pressures</w:t>
      </w:r>
      <w:r>
        <w:t xml:space="preserve">, a US$6 billion railway linking Vientiane with Yunnan Province (1,620 km) began construction in December 2016, with Laos responsible for </w:t>
      </w:r>
      <w:r w:rsidR="00B1665A">
        <w:t>an approximate</w:t>
      </w:r>
      <w:r>
        <w:t xml:space="preserve"> US$720 million </w:t>
      </w:r>
      <w:r w:rsidR="00B1665A">
        <w:t xml:space="preserve">equity share </w:t>
      </w:r>
      <w:r>
        <w:t>(including a $480 million loan from China).</w:t>
      </w:r>
    </w:p>
    <w:p w:rsidR="00DC0A27" w:rsidRDefault="00DC0A27" w:rsidP="00DC0A27">
      <w:r>
        <w:t xml:space="preserve">Australia’s aid program in Laos </w:t>
      </w:r>
      <w:r w:rsidR="00404323">
        <w:t xml:space="preserve">responds to the </w:t>
      </w:r>
      <w:r w:rsidR="00C90A2D">
        <w:t xml:space="preserve">above </w:t>
      </w:r>
      <w:r w:rsidR="00404323">
        <w:t xml:space="preserve">challenges </w:t>
      </w:r>
      <w:r w:rsidR="00506276">
        <w:t xml:space="preserve">of </w:t>
      </w:r>
      <w:r>
        <w:t>sustained growth</w:t>
      </w:r>
      <w:r w:rsidR="00C90A2D">
        <w:t xml:space="preserve"> and poverty reduction</w:t>
      </w:r>
      <w:r>
        <w:t xml:space="preserve">, in line with </w:t>
      </w:r>
      <w:r w:rsidR="00C90A2D">
        <w:t xml:space="preserve">Laos’ </w:t>
      </w:r>
      <w:r>
        <w:t>eighth National Socio-Economic Development Plan</w:t>
      </w:r>
      <w:r w:rsidR="00A872A4">
        <w:t>, our capacity to assist</w:t>
      </w:r>
      <w:r w:rsidR="00A7389B">
        <w:t>,</w:t>
      </w:r>
      <w:r w:rsidR="00A872A4">
        <w:t xml:space="preserve"> and </w:t>
      </w:r>
      <w:r w:rsidR="00A7389B">
        <w:t xml:space="preserve">the </w:t>
      </w:r>
      <w:r w:rsidR="00871963">
        <w:t xml:space="preserve">support </w:t>
      </w:r>
      <w:r w:rsidR="00871963">
        <w:lastRenderedPageBreak/>
        <w:t>provided by other donors</w:t>
      </w:r>
      <w:r>
        <w:t xml:space="preserve">. Our education </w:t>
      </w:r>
      <w:r w:rsidR="00FA6B78">
        <w:t xml:space="preserve">program builds on our leadership role in this </w:t>
      </w:r>
      <w:r>
        <w:t xml:space="preserve">sector </w:t>
      </w:r>
      <w:r w:rsidR="00FA6B78">
        <w:t xml:space="preserve">and over 20 years of </w:t>
      </w:r>
      <w:r>
        <w:t xml:space="preserve">engagement to help more </w:t>
      </w:r>
      <w:r w:rsidR="00183CE1">
        <w:t>boys and girls</w:t>
      </w:r>
      <w:r>
        <w:t>, particularly in disadvantaged areas, leave the primary school system able to benefit from and contribute to Laos’ economic development. Our human resource development program</w:t>
      </w:r>
      <w:r w:rsidR="00FA6B78">
        <w:t>, including Australia Awards,</w:t>
      </w:r>
      <w:r>
        <w:t xml:space="preserve"> aims to address a crucial impediment to the competitiveness of Lao businesses and effective government service delivery. </w:t>
      </w:r>
      <w:r w:rsidR="00FA6B78">
        <w:t xml:space="preserve">Our scholarships program is highly regarded by the government of Laos and has contributed to over 1200 graduates over six decades. </w:t>
      </w:r>
      <w:r w:rsidR="00AD4425">
        <w:t>O</w:t>
      </w:r>
      <w:r>
        <w:t xml:space="preserve">ur </w:t>
      </w:r>
      <w:r w:rsidR="00FA6B78">
        <w:t xml:space="preserve">aid-for-trade support helps Laos integrate into </w:t>
      </w:r>
      <w:r>
        <w:t>global and regional markets</w:t>
      </w:r>
      <w:r w:rsidR="00FA6B78">
        <w:t xml:space="preserve">, </w:t>
      </w:r>
      <w:r w:rsidR="00A7389B">
        <w:t xml:space="preserve">helping </w:t>
      </w:r>
      <w:r w:rsidR="00FA6B78">
        <w:t xml:space="preserve">level the playing field </w:t>
      </w:r>
      <w:r w:rsidR="00A7389B">
        <w:t xml:space="preserve">so Laos can better </w:t>
      </w:r>
      <w:r w:rsidR="00FA6B78">
        <w:t>attract quality investment, and take advantage of opportunities provided by the ASEAN Economic Community and A</w:t>
      </w:r>
      <w:r w:rsidR="005A08F9">
        <w:t>A</w:t>
      </w:r>
      <w:r w:rsidR="00FA6B78">
        <w:t>NZFTA.</w:t>
      </w:r>
    </w:p>
    <w:p w:rsidR="00DC0A27" w:rsidRDefault="00DC0A27" w:rsidP="00DC0A27">
      <w:r>
        <w:t xml:space="preserve">The second year of implementation under the Laos Program AIP saw an increased focus on gender equality, including the launching of three new activities to support women’s leadership, women’s economic empowerment and ending violence against women. </w:t>
      </w:r>
      <w:r w:rsidR="00800352">
        <w:t>These activities were designed in response to reviews</w:t>
      </w:r>
      <w:r w:rsidR="00225F93">
        <w:rPr>
          <w:rStyle w:val="FootnoteReference"/>
        </w:rPr>
        <w:footnoteReference w:id="3"/>
      </w:r>
      <w:r w:rsidR="00800352">
        <w:t xml:space="preserve"> which found increased barriers </w:t>
      </w:r>
      <w:r w:rsidR="0055169F">
        <w:t>to</w:t>
      </w:r>
      <w:r w:rsidR="00800352">
        <w:t xml:space="preserve"> women fully utilising their skills from scholarships and training opportunities, as well as an opportunity </w:t>
      </w:r>
      <w:r w:rsidR="00A7389B">
        <w:t xml:space="preserve">under </w:t>
      </w:r>
      <w:r w:rsidR="00800352">
        <w:t xml:space="preserve">the Gender Equality Fund to scale-up our successful </w:t>
      </w:r>
      <w:r w:rsidR="00A91CD8">
        <w:t xml:space="preserve">partnership with CARE Australia to </w:t>
      </w:r>
      <w:r w:rsidR="00800352">
        <w:t>eliminat</w:t>
      </w:r>
      <w:r w:rsidR="00A91CD8">
        <w:t>e</w:t>
      </w:r>
      <w:r w:rsidR="00800352">
        <w:t xml:space="preserve"> violence against women. </w:t>
      </w:r>
      <w:r w:rsidR="009056DD">
        <w:t>With support from the Disability Inclusive Development Fund, w</w:t>
      </w:r>
      <w:r>
        <w:t>e also launched a new program on disability-inclusive development, designed to assist people with a disability access our local scholarships scheme</w:t>
      </w:r>
      <w:r w:rsidR="00A7389B">
        <w:t>,</w:t>
      </w:r>
      <w:r w:rsidR="009056DD">
        <w:t xml:space="preserve"> and </w:t>
      </w:r>
      <w:r w:rsidR="00A7389B">
        <w:t xml:space="preserve">to </w:t>
      </w:r>
      <w:r w:rsidR="009056DD">
        <w:t>advance English skills for disabled persons organisations in Laos</w:t>
      </w:r>
      <w:r w:rsidR="00BE714B">
        <w:rPr>
          <w:rStyle w:val="FootnoteReference"/>
        </w:rPr>
        <w:footnoteReference w:id="4"/>
      </w:r>
      <w:r w:rsidR="009056DD">
        <w:t xml:space="preserve">. We also </w:t>
      </w:r>
      <w:r>
        <w:t>supported a pilot for Australian volunteers with disabilities to w</w:t>
      </w:r>
      <w:r w:rsidR="009056DD">
        <w:t>ork with disabled persons</w:t>
      </w:r>
      <w:r>
        <w:t xml:space="preserve"> organisations </w:t>
      </w:r>
      <w:r w:rsidR="00B1665A">
        <w:t>in Laos</w:t>
      </w:r>
      <w:r>
        <w:t xml:space="preserve">. Responding to a request from government, we launched a new training program with the Canberra Institute of Technology to provide 30 </w:t>
      </w:r>
      <w:r w:rsidR="00662729">
        <w:t xml:space="preserve">Lao Government </w:t>
      </w:r>
      <w:r>
        <w:t xml:space="preserve">staff with upgraded qualifications on human resource management and public administration. With the Australian Human Rights Commission, we launched </w:t>
      </w:r>
      <w:r w:rsidR="00353D5F">
        <w:t xml:space="preserve">a </w:t>
      </w:r>
      <w:r>
        <w:t>second phase of our Human Rights Technical Cooperation Program, designed to complement our biennial human rights dialogue and assist the Lao</w:t>
      </w:r>
      <w:r w:rsidR="00662729">
        <w:t xml:space="preserve"> Government</w:t>
      </w:r>
      <w:r>
        <w:t xml:space="preserve"> implement their international obligations. Our education sector advocacy resulted in reforms to Laos’ national primary curriculum and the way teacher training is conducted, which have the potential to significantly increase children’s learning.</w:t>
      </w:r>
    </w:p>
    <w:p w:rsidR="00920F4D" w:rsidRDefault="00DC0A27" w:rsidP="00DC0A27">
      <w:r>
        <w:t xml:space="preserve">Australia continued to advocate for reforms to Laos’ trade, investment and business operating environment. Highlights of our advocacy include the de-listing of Laos on the Financial Action Task Force’s </w:t>
      </w:r>
      <w:r w:rsidR="00A91CD8">
        <w:t>‘</w:t>
      </w:r>
      <w:r>
        <w:t>grey list</w:t>
      </w:r>
      <w:r w:rsidR="00A91CD8">
        <w:t>’</w:t>
      </w:r>
      <w:r>
        <w:t xml:space="preserve"> (on anti-money laundering) and the hosting of the Lao Business Forum, which was chaired by the </w:t>
      </w:r>
      <w:r w:rsidR="00A91CD8">
        <w:t xml:space="preserve">Lao </w:t>
      </w:r>
      <w:r>
        <w:t>Prime Minister to develop recommendations to strengthen the private sector</w:t>
      </w:r>
      <w:r w:rsidR="00AD36CC">
        <w:t xml:space="preserve"> operating environment</w:t>
      </w:r>
      <w:r>
        <w:t xml:space="preserve">. </w:t>
      </w:r>
      <w:r w:rsidR="00553CB5">
        <w:t xml:space="preserve">We continue to </w:t>
      </w:r>
      <w:r w:rsidR="00C243F9">
        <w:t xml:space="preserve">advocate for an improved </w:t>
      </w:r>
      <w:r>
        <w:t xml:space="preserve">Minerals Law and </w:t>
      </w:r>
      <w:r w:rsidR="00C243F9">
        <w:t xml:space="preserve">the </w:t>
      </w:r>
      <w:r>
        <w:t xml:space="preserve">lifting of the moratorium on new mining licenses, </w:t>
      </w:r>
      <w:r w:rsidR="00553CB5">
        <w:t xml:space="preserve">which offer </w:t>
      </w:r>
      <w:r>
        <w:t>an important potential source of revenue</w:t>
      </w:r>
      <w:r w:rsidR="00350621">
        <w:t xml:space="preserve"> and quality investment</w:t>
      </w:r>
      <w:r>
        <w:t xml:space="preserve">. Major new </w:t>
      </w:r>
      <w:r w:rsidR="00B1665A">
        <w:t xml:space="preserve">private </w:t>
      </w:r>
      <w:r>
        <w:t>investments from Australia in logistics and plantation forestry offer the potential to stimulate local business and employment</w:t>
      </w:r>
      <w:r w:rsidR="00404323">
        <w:t>.</w:t>
      </w:r>
    </w:p>
    <w:p w:rsidR="00404323" w:rsidRDefault="00404323" w:rsidP="00DC0A27">
      <w:r>
        <w:t>In 2017-18, the program will aim to consolidate its investments as the remaining activities from our rural development program conclude</w:t>
      </w:r>
      <w:r w:rsidR="00662729">
        <w:t>, following</w:t>
      </w:r>
      <w:r w:rsidR="00A91CD8">
        <w:t xml:space="preserve"> </w:t>
      </w:r>
      <w:r w:rsidR="00662729">
        <w:t xml:space="preserve">our </w:t>
      </w:r>
      <w:r w:rsidR="00586C7B">
        <w:t>budget reductions in 2015</w:t>
      </w:r>
      <w:r>
        <w:t xml:space="preserve">. It will also be an opportunity to </w:t>
      </w:r>
      <w:r w:rsidR="00662729">
        <w:t xml:space="preserve">review </w:t>
      </w:r>
      <w:r>
        <w:t xml:space="preserve">the continued relevance and appropriateness of investments at the mid-way point of the AIP, building on the </w:t>
      </w:r>
      <w:r w:rsidR="004F1BB6">
        <w:t xml:space="preserve">findings from a </w:t>
      </w:r>
      <w:r>
        <w:t>mid-term review of our basic education program and plans for future investments in trade and private sector development.</w:t>
      </w:r>
    </w:p>
    <w:p w:rsidR="00E831CF" w:rsidRPr="00E831CF" w:rsidRDefault="00184F1E" w:rsidP="00E831CF">
      <w:pPr>
        <w:pStyle w:val="Subtitle"/>
        <w:spacing w:before="240" w:after="0"/>
      </w:pPr>
      <w:r w:rsidRPr="00E831CF">
        <w:t>Expenditure</w:t>
      </w:r>
    </w:p>
    <w:p w:rsidR="00A15529" w:rsidRDefault="00E831CF" w:rsidP="00184F1E">
      <w:r w:rsidRPr="00E831CF">
        <w:t>Australian aid to Laos in 2016-17 was estimated at $4</w:t>
      </w:r>
      <w:r w:rsidR="00A15529">
        <w:t>4</w:t>
      </w:r>
      <w:r w:rsidRPr="00E831CF">
        <w:t>.</w:t>
      </w:r>
      <w:r w:rsidR="00C849F3">
        <w:t>7</w:t>
      </w:r>
      <w:r w:rsidRPr="00E831CF">
        <w:t xml:space="preserve"> million. </w:t>
      </w:r>
      <w:r w:rsidR="00BD28E2">
        <w:t xml:space="preserve">According to </w:t>
      </w:r>
      <w:r w:rsidR="00ED2F96">
        <w:t>Laos’ Ministry of Planning and Investment</w:t>
      </w:r>
      <w:r w:rsidR="00BD28E2">
        <w:t>, Australia</w:t>
      </w:r>
      <w:r w:rsidR="00ED2F96">
        <w:t xml:space="preserve">n aid </w:t>
      </w:r>
      <w:r w:rsidRPr="00E831CF">
        <w:t xml:space="preserve">accounted for around 15 </w:t>
      </w:r>
      <w:r w:rsidR="005F6105">
        <w:t xml:space="preserve">per </w:t>
      </w:r>
      <w:r w:rsidRPr="00E831CF">
        <w:t xml:space="preserve">cent of total aid to Laos, and </w:t>
      </w:r>
      <w:r w:rsidR="00662729">
        <w:t>about</w:t>
      </w:r>
      <w:r w:rsidR="00662729" w:rsidRPr="00E831CF">
        <w:t xml:space="preserve"> </w:t>
      </w:r>
      <w:r w:rsidRPr="00E831CF">
        <w:t>0.23 per cent of GDP.</w:t>
      </w:r>
      <w:r w:rsidR="00A15529">
        <w:t xml:space="preserve"> According to the OECD DAC, Australia was the fifth largest donor to Laos in 2015 (the latest year statistics are </w:t>
      </w:r>
      <w:r w:rsidR="00662729">
        <w:t xml:space="preserve">not yet </w:t>
      </w:r>
      <w:r w:rsidR="00A15529">
        <w:t>available).</w:t>
      </w:r>
      <w:r w:rsidR="0086501B">
        <w:t xml:space="preserve"> The donor landscape in Laos is becoming more crowded, with increased </w:t>
      </w:r>
      <w:r w:rsidR="0086501B">
        <w:lastRenderedPageBreak/>
        <w:t xml:space="preserve">flows from non-traditional donors such as China and Vietnam. </w:t>
      </w:r>
      <w:r w:rsidR="009C125B">
        <w:t>Official Development Assistance (ODA)</w:t>
      </w:r>
      <w:r w:rsidR="00480116">
        <w:t xml:space="preserve"> to Laos is still dominated by Japan, ADB and Korea, but f</w:t>
      </w:r>
      <w:r w:rsidR="0086501B">
        <w:t xml:space="preserve">or the first time, Thailand </w:t>
      </w:r>
      <w:r w:rsidR="00480116">
        <w:t>surpassed Australia in the OECD’s latest ranking. We expect Australia’s relative</w:t>
      </w:r>
      <w:r w:rsidR="009C125B">
        <w:t xml:space="preserve"> position to further decline</w:t>
      </w:r>
      <w:r w:rsidR="00662729">
        <w:t>,</w:t>
      </w:r>
      <w:r w:rsidR="009C125B">
        <w:t xml:space="preserve"> given </w:t>
      </w:r>
      <w:r w:rsidR="00662729">
        <w:t xml:space="preserve">recent </w:t>
      </w:r>
      <w:r w:rsidR="00480116">
        <w:t>budget reductions</w:t>
      </w:r>
      <w:r w:rsidR="009C125B">
        <w:t xml:space="preserve"> and increased ODA </w:t>
      </w:r>
      <w:r w:rsidR="00614C7C">
        <w:t xml:space="preserve">commitments </w:t>
      </w:r>
      <w:r w:rsidR="009C125B">
        <w:t>from the US and EU.</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63642">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Pr="00E831CF" w:rsidRDefault="00CD1652" w:rsidP="00834B80">
            <w:pPr>
              <w:rPr>
                <w:b/>
                <w:sz w:val="24"/>
              </w:rPr>
            </w:pPr>
            <w:r w:rsidRPr="00E831CF">
              <w:rPr>
                <w:b/>
                <w:sz w:val="20"/>
              </w:rPr>
              <w:t>Objective</w:t>
            </w:r>
          </w:p>
        </w:tc>
        <w:tc>
          <w:tcPr>
            <w:tcW w:w="1423" w:type="dxa"/>
          </w:tcPr>
          <w:p w:rsidR="00CD1652" w:rsidRPr="00E831CF" w:rsidRDefault="00CD1652" w:rsidP="00CF2785">
            <w:pPr>
              <w:jc w:val="right"/>
              <w:rPr>
                <w:b/>
                <w:sz w:val="24"/>
              </w:rPr>
            </w:pPr>
            <w:r w:rsidRPr="00E831CF">
              <w:rPr>
                <w:b/>
                <w:sz w:val="20"/>
              </w:rPr>
              <w:t>A$ million</w:t>
            </w:r>
          </w:p>
        </w:tc>
        <w:tc>
          <w:tcPr>
            <w:tcW w:w="1417" w:type="dxa"/>
          </w:tcPr>
          <w:p w:rsidR="00CD1652" w:rsidRPr="00E831CF" w:rsidRDefault="00CD1652" w:rsidP="00CF2785">
            <w:pPr>
              <w:jc w:val="right"/>
              <w:rPr>
                <w:b/>
                <w:sz w:val="24"/>
              </w:rPr>
            </w:pPr>
            <w:r w:rsidRPr="00E831CF">
              <w:rPr>
                <w:b/>
                <w:sz w:val="20"/>
              </w:rPr>
              <w:t>% of total ODA</w:t>
            </w:r>
          </w:p>
        </w:tc>
      </w:tr>
      <w:tr w:rsidR="00CD1652" w:rsidTr="00CD1652">
        <w:tc>
          <w:tcPr>
            <w:tcW w:w="6374" w:type="dxa"/>
          </w:tcPr>
          <w:p w:rsidR="00CD1652" w:rsidRDefault="00CD1652" w:rsidP="00312909">
            <w:pPr>
              <w:ind w:left="993" w:hanging="993"/>
              <w:rPr>
                <w:b/>
                <w:sz w:val="24"/>
              </w:rPr>
            </w:pPr>
            <w:r w:rsidRPr="00BE6C6D">
              <w:rPr>
                <w:sz w:val="20"/>
              </w:rPr>
              <w:t>Objective 1</w:t>
            </w:r>
            <w:r w:rsidR="00312909">
              <w:rPr>
                <w:sz w:val="20"/>
              </w:rPr>
              <w:t xml:space="preserve"> </w:t>
            </w:r>
            <w:r w:rsidR="00312909" w:rsidRPr="00312909">
              <w:rPr>
                <w:sz w:val="20"/>
              </w:rPr>
              <w:t xml:space="preserve">More disadvantaged girls and boys complete a quality basic </w:t>
            </w:r>
            <w:r w:rsidR="00312909">
              <w:rPr>
                <w:sz w:val="20"/>
              </w:rPr>
              <w:t xml:space="preserve"> </w:t>
            </w:r>
            <w:r w:rsidR="00312909" w:rsidRPr="00312909">
              <w:rPr>
                <w:sz w:val="20"/>
              </w:rPr>
              <w:t>education</w:t>
            </w:r>
          </w:p>
        </w:tc>
        <w:tc>
          <w:tcPr>
            <w:tcW w:w="1423" w:type="dxa"/>
          </w:tcPr>
          <w:p w:rsidR="00CD1652" w:rsidRPr="00454792" w:rsidRDefault="00454792" w:rsidP="00CF2785">
            <w:pPr>
              <w:jc w:val="right"/>
              <w:rPr>
                <w:bCs/>
                <w:sz w:val="20"/>
                <w:szCs w:val="20"/>
              </w:rPr>
            </w:pPr>
            <w:r w:rsidRPr="00454792">
              <w:rPr>
                <w:bCs/>
                <w:sz w:val="20"/>
                <w:szCs w:val="20"/>
              </w:rPr>
              <w:t>$6.1</w:t>
            </w:r>
          </w:p>
        </w:tc>
        <w:tc>
          <w:tcPr>
            <w:tcW w:w="1417" w:type="dxa"/>
          </w:tcPr>
          <w:p w:rsidR="00CD1652" w:rsidRPr="00CF2785" w:rsidRDefault="00CF2785" w:rsidP="00CF2785">
            <w:pPr>
              <w:jc w:val="right"/>
              <w:rPr>
                <w:bCs/>
                <w:sz w:val="20"/>
                <w:szCs w:val="20"/>
              </w:rPr>
            </w:pPr>
            <w:r w:rsidRPr="00CF2785">
              <w:rPr>
                <w:bCs/>
                <w:sz w:val="20"/>
                <w:szCs w:val="20"/>
              </w:rPr>
              <w:t>14%</w:t>
            </w:r>
          </w:p>
        </w:tc>
      </w:tr>
      <w:tr w:rsidR="00CD1652" w:rsidTr="00CD1652">
        <w:tc>
          <w:tcPr>
            <w:tcW w:w="6374" w:type="dxa"/>
          </w:tcPr>
          <w:p w:rsidR="00CD1652" w:rsidRDefault="00CD1652" w:rsidP="00312909">
            <w:pPr>
              <w:ind w:left="993" w:hanging="993"/>
              <w:rPr>
                <w:b/>
                <w:sz w:val="24"/>
              </w:rPr>
            </w:pPr>
            <w:r w:rsidRPr="00BE6C6D">
              <w:rPr>
                <w:sz w:val="20"/>
              </w:rPr>
              <w:t>Objective 2</w:t>
            </w:r>
            <w:r w:rsidR="00312909">
              <w:rPr>
                <w:sz w:val="20"/>
              </w:rPr>
              <w:t xml:space="preserve">  </w:t>
            </w:r>
            <w:r w:rsidR="00312909" w:rsidRPr="00312909">
              <w:rPr>
                <w:sz w:val="20"/>
              </w:rPr>
              <w:t>Improving Laos’ human resources through scholarships, training and organisational capacity</w:t>
            </w:r>
            <w:r w:rsidR="00A872A4">
              <w:rPr>
                <w:sz w:val="20"/>
              </w:rPr>
              <w:t xml:space="preserve"> </w:t>
            </w:r>
            <w:r w:rsidR="00312909" w:rsidRPr="00312909">
              <w:rPr>
                <w:sz w:val="20"/>
              </w:rPr>
              <w:t>building</w:t>
            </w:r>
          </w:p>
        </w:tc>
        <w:tc>
          <w:tcPr>
            <w:tcW w:w="1423" w:type="dxa"/>
          </w:tcPr>
          <w:p w:rsidR="00CD1652" w:rsidRPr="00454792" w:rsidRDefault="00454792" w:rsidP="00CF2785">
            <w:pPr>
              <w:jc w:val="right"/>
              <w:rPr>
                <w:bCs/>
                <w:sz w:val="20"/>
                <w:szCs w:val="20"/>
              </w:rPr>
            </w:pPr>
            <w:r w:rsidRPr="00454792">
              <w:rPr>
                <w:bCs/>
                <w:sz w:val="20"/>
                <w:szCs w:val="20"/>
              </w:rPr>
              <w:t>$</w:t>
            </w:r>
            <w:r>
              <w:rPr>
                <w:bCs/>
                <w:sz w:val="20"/>
                <w:szCs w:val="20"/>
              </w:rPr>
              <w:t>8.9</w:t>
            </w:r>
          </w:p>
        </w:tc>
        <w:tc>
          <w:tcPr>
            <w:tcW w:w="1417" w:type="dxa"/>
          </w:tcPr>
          <w:p w:rsidR="00CD1652" w:rsidRPr="00CF2785" w:rsidRDefault="00CF2785" w:rsidP="00CF2785">
            <w:pPr>
              <w:jc w:val="right"/>
              <w:rPr>
                <w:bCs/>
                <w:sz w:val="20"/>
                <w:szCs w:val="20"/>
              </w:rPr>
            </w:pPr>
            <w:r w:rsidRPr="00CF2785">
              <w:rPr>
                <w:bCs/>
                <w:sz w:val="20"/>
                <w:szCs w:val="20"/>
              </w:rPr>
              <w:t>20%</w:t>
            </w:r>
          </w:p>
        </w:tc>
      </w:tr>
      <w:tr w:rsidR="00CD1652" w:rsidTr="00CD1652">
        <w:tc>
          <w:tcPr>
            <w:tcW w:w="6374" w:type="dxa"/>
          </w:tcPr>
          <w:p w:rsidR="00454792" w:rsidRDefault="00CD1652" w:rsidP="00CF2785">
            <w:pPr>
              <w:rPr>
                <w:b/>
                <w:sz w:val="24"/>
              </w:rPr>
            </w:pPr>
            <w:r w:rsidRPr="00BE6C6D">
              <w:rPr>
                <w:sz w:val="20"/>
              </w:rPr>
              <w:t>Objective 3</w:t>
            </w:r>
            <w:r w:rsidR="00312909">
              <w:rPr>
                <w:sz w:val="20"/>
              </w:rPr>
              <w:t xml:space="preserve">  </w:t>
            </w:r>
            <w:r w:rsidR="00312909" w:rsidRPr="00312909">
              <w:rPr>
                <w:sz w:val="20"/>
              </w:rPr>
              <w:t>A stronger trade regime and more competitive private sector</w:t>
            </w:r>
          </w:p>
        </w:tc>
        <w:tc>
          <w:tcPr>
            <w:tcW w:w="1423" w:type="dxa"/>
          </w:tcPr>
          <w:p w:rsidR="00454792" w:rsidRPr="00454792" w:rsidRDefault="00454792" w:rsidP="00CF2785">
            <w:pPr>
              <w:jc w:val="right"/>
              <w:rPr>
                <w:bCs/>
                <w:sz w:val="20"/>
                <w:szCs w:val="20"/>
              </w:rPr>
            </w:pPr>
            <w:r w:rsidRPr="00454792">
              <w:rPr>
                <w:bCs/>
                <w:sz w:val="20"/>
                <w:szCs w:val="20"/>
              </w:rPr>
              <w:t>$1.2</w:t>
            </w:r>
          </w:p>
        </w:tc>
        <w:tc>
          <w:tcPr>
            <w:tcW w:w="1417" w:type="dxa"/>
          </w:tcPr>
          <w:p w:rsidR="00CD1652" w:rsidRPr="00CF2785" w:rsidRDefault="00CF2785" w:rsidP="00CF2785">
            <w:pPr>
              <w:jc w:val="right"/>
              <w:rPr>
                <w:bCs/>
                <w:sz w:val="20"/>
                <w:szCs w:val="20"/>
              </w:rPr>
            </w:pPr>
            <w:r w:rsidRPr="00CF2785">
              <w:rPr>
                <w:bCs/>
                <w:sz w:val="20"/>
                <w:szCs w:val="20"/>
              </w:rPr>
              <w:t>3%</w:t>
            </w:r>
          </w:p>
        </w:tc>
      </w:tr>
      <w:tr w:rsidR="00CF2785" w:rsidTr="00CD1652">
        <w:tc>
          <w:tcPr>
            <w:tcW w:w="6374" w:type="dxa"/>
          </w:tcPr>
          <w:p w:rsidR="00CF2785" w:rsidRPr="00BE6C6D" w:rsidRDefault="00CF2785" w:rsidP="00CF2785">
            <w:pPr>
              <w:rPr>
                <w:sz w:val="20"/>
              </w:rPr>
            </w:pPr>
            <w:r>
              <w:rPr>
                <w:sz w:val="20"/>
              </w:rPr>
              <w:t>Legacy Rural Development program</w:t>
            </w:r>
          </w:p>
        </w:tc>
        <w:tc>
          <w:tcPr>
            <w:tcW w:w="1423" w:type="dxa"/>
          </w:tcPr>
          <w:p w:rsidR="00CF2785" w:rsidRPr="00454792" w:rsidRDefault="00CF2785" w:rsidP="00CF2785">
            <w:pPr>
              <w:jc w:val="right"/>
              <w:rPr>
                <w:bCs/>
                <w:sz w:val="20"/>
                <w:szCs w:val="20"/>
              </w:rPr>
            </w:pPr>
            <w:r>
              <w:rPr>
                <w:bCs/>
                <w:sz w:val="20"/>
                <w:szCs w:val="20"/>
              </w:rPr>
              <w:t>$4.2</w:t>
            </w:r>
          </w:p>
        </w:tc>
        <w:tc>
          <w:tcPr>
            <w:tcW w:w="1417" w:type="dxa"/>
          </w:tcPr>
          <w:p w:rsidR="00CF2785" w:rsidRPr="00CF2785" w:rsidRDefault="008663B4" w:rsidP="00CF2785">
            <w:pPr>
              <w:jc w:val="right"/>
              <w:rPr>
                <w:bCs/>
                <w:sz w:val="20"/>
                <w:szCs w:val="20"/>
              </w:rPr>
            </w:pPr>
            <w:r>
              <w:rPr>
                <w:bCs/>
                <w:sz w:val="20"/>
                <w:szCs w:val="20"/>
              </w:rPr>
              <w:t>9</w:t>
            </w:r>
            <w:r w:rsidR="00CF2785" w:rsidRPr="00CF2785">
              <w:rPr>
                <w:bCs/>
                <w:sz w:val="20"/>
                <w:szCs w:val="20"/>
              </w:rPr>
              <w:t>%</w:t>
            </w:r>
          </w:p>
        </w:tc>
      </w:tr>
      <w:tr w:rsidR="00CF2785" w:rsidTr="00CD1652">
        <w:tc>
          <w:tcPr>
            <w:tcW w:w="6374" w:type="dxa"/>
          </w:tcPr>
          <w:p w:rsidR="00CF2785" w:rsidRPr="00BE6C6D" w:rsidRDefault="00CF2785" w:rsidP="00834B80">
            <w:pPr>
              <w:rPr>
                <w:sz w:val="20"/>
              </w:rPr>
            </w:pPr>
            <w:r>
              <w:rPr>
                <w:sz w:val="20"/>
              </w:rPr>
              <w:t xml:space="preserve">Cross cutting </w:t>
            </w:r>
          </w:p>
        </w:tc>
        <w:tc>
          <w:tcPr>
            <w:tcW w:w="1423" w:type="dxa"/>
          </w:tcPr>
          <w:p w:rsidR="00CF2785" w:rsidRPr="00454792" w:rsidRDefault="00CF2785" w:rsidP="00CF2785">
            <w:pPr>
              <w:jc w:val="right"/>
              <w:rPr>
                <w:bCs/>
                <w:sz w:val="20"/>
                <w:szCs w:val="20"/>
              </w:rPr>
            </w:pPr>
            <w:r>
              <w:rPr>
                <w:bCs/>
                <w:sz w:val="20"/>
                <w:szCs w:val="20"/>
              </w:rPr>
              <w:t>$2.2</w:t>
            </w:r>
          </w:p>
        </w:tc>
        <w:tc>
          <w:tcPr>
            <w:tcW w:w="1417" w:type="dxa"/>
          </w:tcPr>
          <w:p w:rsidR="00CF2785" w:rsidRPr="00CF2785" w:rsidRDefault="00CF2785" w:rsidP="00CF2785">
            <w:pPr>
              <w:jc w:val="right"/>
              <w:rPr>
                <w:bCs/>
                <w:sz w:val="20"/>
                <w:szCs w:val="20"/>
              </w:rPr>
            </w:pPr>
            <w:r w:rsidRPr="00CF2785">
              <w:rPr>
                <w:bCs/>
                <w:sz w:val="20"/>
                <w:szCs w:val="20"/>
              </w:rPr>
              <w:t>5%</w:t>
            </w:r>
          </w:p>
        </w:tc>
      </w:tr>
      <w:tr w:rsidR="00CD1652" w:rsidTr="00CD1652">
        <w:tc>
          <w:tcPr>
            <w:tcW w:w="6374" w:type="dxa"/>
          </w:tcPr>
          <w:p w:rsidR="00CD1652" w:rsidRDefault="00CD1652" w:rsidP="00834B80">
            <w:pPr>
              <w:rPr>
                <w:b/>
                <w:sz w:val="24"/>
              </w:rPr>
            </w:pPr>
            <w:r w:rsidRPr="00BE6C6D">
              <w:rPr>
                <w:sz w:val="20"/>
              </w:rPr>
              <w:t>Sub-Total Bilateral</w:t>
            </w:r>
          </w:p>
        </w:tc>
        <w:tc>
          <w:tcPr>
            <w:tcW w:w="1423" w:type="dxa"/>
          </w:tcPr>
          <w:p w:rsidR="00CD1652" w:rsidRPr="00454792" w:rsidRDefault="00454792" w:rsidP="00CF2785">
            <w:pPr>
              <w:jc w:val="right"/>
              <w:rPr>
                <w:bCs/>
                <w:sz w:val="20"/>
                <w:szCs w:val="20"/>
              </w:rPr>
            </w:pPr>
            <w:r>
              <w:rPr>
                <w:bCs/>
                <w:sz w:val="20"/>
                <w:szCs w:val="20"/>
              </w:rPr>
              <w:t>$22.6</w:t>
            </w:r>
          </w:p>
        </w:tc>
        <w:tc>
          <w:tcPr>
            <w:tcW w:w="1417" w:type="dxa"/>
          </w:tcPr>
          <w:p w:rsidR="00CD1652" w:rsidRPr="00CF2785" w:rsidRDefault="008663B4" w:rsidP="00CF2785">
            <w:pPr>
              <w:jc w:val="right"/>
              <w:rPr>
                <w:bCs/>
                <w:sz w:val="20"/>
                <w:szCs w:val="20"/>
              </w:rPr>
            </w:pPr>
            <w:r>
              <w:rPr>
                <w:bCs/>
                <w:sz w:val="20"/>
                <w:szCs w:val="20"/>
              </w:rPr>
              <w:t>51</w:t>
            </w:r>
            <w:r w:rsidR="00CF2785" w:rsidRPr="00CF2785">
              <w:rPr>
                <w:bCs/>
                <w:sz w:val="20"/>
                <w:szCs w:val="20"/>
              </w:rPr>
              <w:t>%</w:t>
            </w:r>
          </w:p>
        </w:tc>
      </w:tr>
      <w:tr w:rsidR="00CD1652" w:rsidTr="00CD1652">
        <w:tc>
          <w:tcPr>
            <w:tcW w:w="6374" w:type="dxa"/>
          </w:tcPr>
          <w:p w:rsidR="00CD1652" w:rsidRDefault="00CD1652" w:rsidP="00834B80">
            <w:pPr>
              <w:rPr>
                <w:b/>
                <w:sz w:val="24"/>
              </w:rPr>
            </w:pPr>
            <w:r w:rsidRPr="00BE6C6D">
              <w:rPr>
                <w:sz w:val="20"/>
              </w:rPr>
              <w:t>Regional and Global</w:t>
            </w:r>
            <w:r w:rsidR="006C0A88">
              <w:rPr>
                <w:rStyle w:val="FootnoteReference"/>
                <w:sz w:val="20"/>
              </w:rPr>
              <w:footnoteReference w:id="5"/>
            </w:r>
          </w:p>
        </w:tc>
        <w:tc>
          <w:tcPr>
            <w:tcW w:w="1423" w:type="dxa"/>
          </w:tcPr>
          <w:p w:rsidR="00CD1652" w:rsidRPr="00454792" w:rsidRDefault="00454792" w:rsidP="00CF2785">
            <w:pPr>
              <w:jc w:val="right"/>
              <w:rPr>
                <w:bCs/>
                <w:sz w:val="20"/>
                <w:szCs w:val="20"/>
              </w:rPr>
            </w:pPr>
            <w:r w:rsidRPr="00454792">
              <w:rPr>
                <w:bCs/>
                <w:sz w:val="20"/>
                <w:szCs w:val="20"/>
              </w:rPr>
              <w:t>$</w:t>
            </w:r>
            <w:r w:rsidR="0058180E">
              <w:rPr>
                <w:bCs/>
                <w:sz w:val="20"/>
                <w:szCs w:val="20"/>
              </w:rPr>
              <w:t>15.9</w:t>
            </w:r>
          </w:p>
        </w:tc>
        <w:tc>
          <w:tcPr>
            <w:tcW w:w="1417" w:type="dxa"/>
          </w:tcPr>
          <w:p w:rsidR="00CD1652" w:rsidRPr="00CF2785" w:rsidRDefault="008663B4" w:rsidP="00CF2785">
            <w:pPr>
              <w:jc w:val="right"/>
              <w:rPr>
                <w:bCs/>
                <w:sz w:val="20"/>
                <w:szCs w:val="20"/>
              </w:rPr>
            </w:pPr>
            <w:r>
              <w:rPr>
                <w:bCs/>
                <w:sz w:val="20"/>
                <w:szCs w:val="20"/>
              </w:rPr>
              <w:t>36</w:t>
            </w:r>
            <w:r w:rsidR="00CF2785" w:rsidRPr="00CF2785">
              <w:rPr>
                <w:bCs/>
                <w:sz w:val="20"/>
                <w:szCs w:val="20"/>
              </w:rPr>
              <w:t>%</w:t>
            </w:r>
          </w:p>
        </w:tc>
      </w:tr>
      <w:tr w:rsidR="00CD1652" w:rsidTr="00CD1652">
        <w:tc>
          <w:tcPr>
            <w:tcW w:w="6374" w:type="dxa"/>
          </w:tcPr>
          <w:p w:rsidR="00CD1652" w:rsidRDefault="00CD1652" w:rsidP="00834B80">
            <w:pPr>
              <w:rPr>
                <w:b/>
                <w:sz w:val="24"/>
              </w:rPr>
            </w:pPr>
            <w:r w:rsidRPr="00BE6C6D">
              <w:rPr>
                <w:sz w:val="20"/>
              </w:rPr>
              <w:t>Other Government Departments</w:t>
            </w:r>
          </w:p>
        </w:tc>
        <w:tc>
          <w:tcPr>
            <w:tcW w:w="1423" w:type="dxa"/>
          </w:tcPr>
          <w:p w:rsidR="00CD1652" w:rsidRPr="00454792" w:rsidRDefault="0058180E" w:rsidP="00CF2785">
            <w:pPr>
              <w:jc w:val="right"/>
              <w:rPr>
                <w:bCs/>
                <w:sz w:val="20"/>
                <w:szCs w:val="20"/>
              </w:rPr>
            </w:pPr>
            <w:r>
              <w:rPr>
                <w:bCs/>
                <w:sz w:val="20"/>
                <w:szCs w:val="20"/>
              </w:rPr>
              <w:t>$6.2</w:t>
            </w:r>
          </w:p>
        </w:tc>
        <w:tc>
          <w:tcPr>
            <w:tcW w:w="1417" w:type="dxa"/>
          </w:tcPr>
          <w:p w:rsidR="00CD1652" w:rsidRPr="00CF2785" w:rsidRDefault="008663B4" w:rsidP="00CF2785">
            <w:pPr>
              <w:jc w:val="right"/>
              <w:rPr>
                <w:bCs/>
                <w:sz w:val="20"/>
                <w:szCs w:val="20"/>
              </w:rPr>
            </w:pPr>
            <w:r>
              <w:rPr>
                <w:bCs/>
                <w:sz w:val="20"/>
                <w:szCs w:val="20"/>
              </w:rPr>
              <w:t>14</w:t>
            </w:r>
            <w:r w:rsidR="00CF2785" w:rsidRPr="00CF2785">
              <w:rPr>
                <w:bCs/>
                <w:sz w:val="20"/>
                <w:szCs w:val="20"/>
              </w:rPr>
              <w:t>%</w:t>
            </w:r>
          </w:p>
        </w:tc>
      </w:tr>
      <w:tr w:rsidR="00CD1652" w:rsidTr="00CD1652">
        <w:tc>
          <w:tcPr>
            <w:tcW w:w="6374" w:type="dxa"/>
          </w:tcPr>
          <w:p w:rsidR="00CD1652" w:rsidRDefault="00CD1652" w:rsidP="00834B80">
            <w:pPr>
              <w:rPr>
                <w:b/>
                <w:sz w:val="24"/>
              </w:rPr>
            </w:pPr>
            <w:r w:rsidRPr="00BE6C6D">
              <w:rPr>
                <w:sz w:val="20"/>
              </w:rPr>
              <w:t>Total ODA Expenditure</w:t>
            </w:r>
          </w:p>
        </w:tc>
        <w:tc>
          <w:tcPr>
            <w:tcW w:w="1423" w:type="dxa"/>
          </w:tcPr>
          <w:p w:rsidR="00CD1652" w:rsidRPr="00CF2785" w:rsidRDefault="0058180E" w:rsidP="00CF2785">
            <w:pPr>
              <w:jc w:val="right"/>
              <w:rPr>
                <w:bCs/>
                <w:sz w:val="20"/>
                <w:szCs w:val="20"/>
              </w:rPr>
            </w:pPr>
            <w:r>
              <w:rPr>
                <w:bCs/>
                <w:sz w:val="20"/>
                <w:szCs w:val="20"/>
              </w:rPr>
              <w:t>$44.7</w:t>
            </w:r>
          </w:p>
        </w:tc>
        <w:tc>
          <w:tcPr>
            <w:tcW w:w="1417" w:type="dxa"/>
          </w:tcPr>
          <w:p w:rsidR="00CD1652" w:rsidRPr="00CF2785" w:rsidRDefault="00CF2785" w:rsidP="00CF2785">
            <w:pPr>
              <w:jc w:val="right"/>
              <w:rPr>
                <w:bCs/>
                <w:sz w:val="20"/>
                <w:szCs w:val="20"/>
              </w:rPr>
            </w:pPr>
            <w:r w:rsidRPr="00CF2785">
              <w:rPr>
                <w:bCs/>
                <w:sz w:val="20"/>
                <w:szCs w:val="20"/>
              </w:rPr>
              <w:t>100%</w:t>
            </w:r>
          </w:p>
        </w:tc>
      </w:tr>
      <w:tr w:rsidR="00CB1B25" w:rsidTr="00CD1652">
        <w:tc>
          <w:tcPr>
            <w:tcW w:w="6374" w:type="dxa"/>
          </w:tcPr>
          <w:p w:rsidR="00CB1B25" w:rsidRPr="00BE6C6D" w:rsidRDefault="00CB1B25" w:rsidP="00834B80">
            <w:pPr>
              <w:rPr>
                <w:sz w:val="20"/>
              </w:rPr>
            </w:pPr>
          </w:p>
        </w:tc>
        <w:tc>
          <w:tcPr>
            <w:tcW w:w="1423" w:type="dxa"/>
          </w:tcPr>
          <w:p w:rsidR="00CB1B25" w:rsidRPr="00CF2785" w:rsidRDefault="00CB1B25" w:rsidP="00CF2785">
            <w:pPr>
              <w:jc w:val="right"/>
              <w:rPr>
                <w:bCs/>
                <w:sz w:val="20"/>
                <w:szCs w:val="20"/>
              </w:rPr>
            </w:pPr>
          </w:p>
        </w:tc>
        <w:tc>
          <w:tcPr>
            <w:tcW w:w="1417" w:type="dxa"/>
          </w:tcPr>
          <w:p w:rsidR="00CB1B25" w:rsidRPr="00CF2785" w:rsidRDefault="00CB1B25" w:rsidP="008557DF">
            <w:pPr>
              <w:jc w:val="center"/>
              <w:rPr>
                <w:bCs/>
                <w:sz w:val="20"/>
                <w:szCs w:val="20"/>
              </w:rPr>
            </w:pPr>
          </w:p>
        </w:tc>
      </w:tr>
    </w:tbl>
    <w:p w:rsidR="00CB1B25" w:rsidRDefault="00CB1B25"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36" w:type="pct"/>
        <w:tblLook w:val="0000" w:firstRow="0" w:lastRow="0" w:firstColumn="0" w:lastColumn="0" w:noHBand="0" w:noVBand="0"/>
      </w:tblPr>
      <w:tblGrid>
        <w:gridCol w:w="7018"/>
        <w:gridCol w:w="1000"/>
        <w:gridCol w:w="274"/>
        <w:gridCol w:w="1127"/>
        <w:gridCol w:w="288"/>
      </w:tblGrid>
      <w:tr w:rsidR="002A4A0E" w:rsidRPr="00812509" w:rsidTr="00F770E5">
        <w:trPr>
          <w:cnfStyle w:val="000000010000" w:firstRow="0" w:lastRow="0" w:firstColumn="0" w:lastColumn="0" w:oddVBand="0" w:evenVBand="0" w:oddHBand="0" w:evenHBand="1" w:firstRowFirstColumn="0" w:firstRowLastColumn="0" w:lastRowFirstColumn="0" w:lastRowLastColumn="0"/>
          <w:trHeight w:val="536"/>
        </w:trPr>
        <w:tc>
          <w:tcPr>
            <w:tcW w:w="7248" w:type="dxa"/>
          </w:tcPr>
          <w:p w:rsidR="002A4A0E" w:rsidRPr="00812509" w:rsidRDefault="002A4A0E" w:rsidP="00F04B93">
            <w:pPr>
              <w:pStyle w:val="TableTextColumnHeading"/>
            </w:pPr>
            <w:r w:rsidRPr="00812509">
              <w:rPr>
                <w:noProof/>
              </w:rPr>
              <w:drawing>
                <wp:anchor distT="0" distB="0" distL="114300" distR="114300" simplePos="0" relativeHeight="251674624" behindDoc="0" locked="0" layoutInCell="1" allowOverlap="1" wp14:anchorId="21A64365" wp14:editId="02744BF7">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972" w:type="dxa"/>
          </w:tcPr>
          <w:p w:rsidR="002A4A0E" w:rsidRPr="00812509" w:rsidRDefault="002A4A0E" w:rsidP="00F04B93">
            <w:pPr>
              <w:pStyle w:val="TableTextColumnHeading"/>
            </w:pPr>
            <w:r w:rsidRPr="00812509">
              <w:t>Previous Rating</w:t>
            </w:r>
          </w:p>
        </w:tc>
        <w:tc>
          <w:tcPr>
            <w:tcW w:w="247" w:type="dxa"/>
          </w:tcPr>
          <w:p w:rsidR="002A4A0E" w:rsidRPr="00812509" w:rsidRDefault="002A4A0E" w:rsidP="00F04B93">
            <w:pPr>
              <w:pStyle w:val="TableTextColumnHeading"/>
            </w:pPr>
          </w:p>
        </w:tc>
        <w:tc>
          <w:tcPr>
            <w:tcW w:w="1099" w:type="dxa"/>
          </w:tcPr>
          <w:p w:rsidR="002A4A0E" w:rsidRPr="00812509" w:rsidRDefault="002A4A0E" w:rsidP="00F04B93">
            <w:pPr>
              <w:pStyle w:val="TableTextColumnHeading"/>
            </w:pPr>
            <w:r w:rsidRPr="00812509">
              <w:t>Current Rating</w:t>
            </w:r>
          </w:p>
        </w:tc>
        <w:tc>
          <w:tcPr>
            <w:tcW w:w="247" w:type="dxa"/>
          </w:tcPr>
          <w:p w:rsidR="002A4A0E" w:rsidRPr="002A4A0E" w:rsidRDefault="002A4A0E" w:rsidP="00F04B93">
            <w:pPr>
              <w:pStyle w:val="TableTextColumnHeading"/>
            </w:pPr>
          </w:p>
        </w:tc>
      </w:tr>
      <w:tr w:rsidR="002A4A0E" w:rsidRPr="00812509" w:rsidTr="003F2C24">
        <w:trPr>
          <w:cnfStyle w:val="000000010000" w:firstRow="0" w:lastRow="0" w:firstColumn="0" w:lastColumn="0" w:oddVBand="0" w:evenVBand="0" w:oddHBand="0" w:evenHBand="1" w:firstRowFirstColumn="0" w:firstRowLastColumn="0" w:lastRowFirstColumn="0" w:lastRowLastColumn="0"/>
        </w:trPr>
        <w:tc>
          <w:tcPr>
            <w:tcW w:w="7248" w:type="dxa"/>
          </w:tcPr>
          <w:p w:rsidR="002A4A0E" w:rsidRPr="00812509" w:rsidRDefault="002A4A0E" w:rsidP="002A4A0E">
            <w:pPr>
              <w:pStyle w:val="TableTextEntries"/>
              <w:rPr>
                <w:rFonts w:asciiTheme="minorHAnsi" w:hAnsiTheme="minorHAnsi"/>
              </w:rPr>
            </w:pPr>
            <w:r w:rsidRPr="00812509">
              <w:rPr>
                <w:rFonts w:asciiTheme="minorHAnsi" w:hAnsiTheme="minorHAnsi"/>
              </w:rPr>
              <w:t>Objective 1</w:t>
            </w:r>
            <w:r w:rsidR="004F151A" w:rsidRPr="004F151A">
              <w:rPr>
                <w:rFonts w:asciiTheme="minorHAnsi" w:hAnsiTheme="minorHAnsi"/>
              </w:rPr>
              <w:t>. More disadvantaged girls and boys complete a quality basic education</w:t>
            </w:r>
          </w:p>
        </w:tc>
        <w:tc>
          <w:tcPr>
            <w:tcW w:w="972" w:type="dxa"/>
            <w:shd w:val="clear" w:color="auto" w:fill="78B832"/>
            <w:noWrap/>
          </w:tcPr>
          <w:p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247" w:type="dxa"/>
          </w:tcPr>
          <w:p w:rsidR="002A4A0E" w:rsidRPr="00812509" w:rsidRDefault="002A4A0E" w:rsidP="007A6119">
            <w:pPr>
              <w:pStyle w:val="TableTextEntries"/>
              <w:jc w:val="center"/>
              <w:rPr>
                <w:rFonts w:asciiTheme="minorHAnsi" w:hAnsiTheme="minorHAnsi"/>
                <w:color w:val="FFFFFF" w:themeColor="background1"/>
              </w:rPr>
            </w:pPr>
          </w:p>
        </w:tc>
        <w:tc>
          <w:tcPr>
            <w:tcW w:w="1099" w:type="dxa"/>
            <w:shd w:val="clear" w:color="auto" w:fill="FF9900"/>
            <w:noWrap/>
          </w:tcPr>
          <w:p w:rsidR="002A4A0E" w:rsidRPr="00812509" w:rsidRDefault="00F770E5">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247" w:type="dxa"/>
            <w:shd w:val="clear" w:color="auto" w:fill="auto"/>
          </w:tcPr>
          <w:p w:rsidR="002A4A0E" w:rsidRPr="002A4A0E" w:rsidRDefault="002A4A0E" w:rsidP="00F04B93">
            <w:pPr>
              <w:pStyle w:val="TableTextEntries"/>
              <w:ind w:left="-60" w:firstLine="60"/>
              <w:jc w:val="center"/>
              <w:rPr>
                <w:rFonts w:asciiTheme="minorHAnsi" w:hAnsiTheme="minorHAnsi"/>
                <w:color w:val="FFFFFF" w:themeColor="background1"/>
              </w:rPr>
            </w:pPr>
          </w:p>
        </w:tc>
      </w:tr>
      <w:tr w:rsidR="002A4A0E" w:rsidRPr="00812509" w:rsidTr="003F2C24">
        <w:trPr>
          <w:cnfStyle w:val="000000010000" w:firstRow="0" w:lastRow="0" w:firstColumn="0" w:lastColumn="0" w:oddVBand="0" w:evenVBand="0" w:oddHBand="0" w:evenHBand="1" w:firstRowFirstColumn="0" w:firstRowLastColumn="0" w:lastRowFirstColumn="0" w:lastRowLastColumn="0"/>
        </w:trPr>
        <w:tc>
          <w:tcPr>
            <w:tcW w:w="7248" w:type="dxa"/>
          </w:tcPr>
          <w:p w:rsidR="002A4A0E" w:rsidRPr="00812509" w:rsidRDefault="002A4A0E" w:rsidP="00F04B93">
            <w:pPr>
              <w:pStyle w:val="TableTextEntries"/>
              <w:ind w:left="851" w:hanging="851"/>
              <w:rPr>
                <w:rFonts w:asciiTheme="minorHAnsi" w:hAnsiTheme="minorHAnsi"/>
              </w:rPr>
            </w:pPr>
            <w:r w:rsidRPr="00812509">
              <w:rPr>
                <w:rFonts w:asciiTheme="minorHAnsi" w:hAnsiTheme="minorHAnsi"/>
              </w:rPr>
              <w:t>Objective 2</w:t>
            </w:r>
            <w:r w:rsidR="004F151A">
              <w:t xml:space="preserve"> </w:t>
            </w:r>
            <w:r w:rsidR="004F151A" w:rsidRPr="004F151A">
              <w:rPr>
                <w:rFonts w:asciiTheme="minorHAnsi" w:hAnsiTheme="minorHAnsi"/>
              </w:rPr>
              <w:t>Improving Laos’ human resources through scholarships,</w:t>
            </w:r>
            <w:r w:rsidR="00F04B93">
              <w:rPr>
                <w:rFonts w:asciiTheme="minorHAnsi" w:hAnsiTheme="minorHAnsi"/>
              </w:rPr>
              <w:t xml:space="preserve"> </w:t>
            </w:r>
            <w:r w:rsidR="004F151A" w:rsidRPr="004F151A">
              <w:rPr>
                <w:rFonts w:asciiTheme="minorHAnsi" w:hAnsiTheme="minorHAnsi"/>
              </w:rPr>
              <w:t>training and capacity building</w:t>
            </w:r>
          </w:p>
        </w:tc>
        <w:tc>
          <w:tcPr>
            <w:tcW w:w="972" w:type="dxa"/>
            <w:shd w:val="clear" w:color="auto" w:fill="FF9900"/>
            <w:noWrap/>
          </w:tcPr>
          <w:p w:rsidR="002A4A0E" w:rsidRPr="00812509" w:rsidRDefault="00132EAB"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247" w:type="dxa"/>
          </w:tcPr>
          <w:p w:rsidR="002A4A0E" w:rsidRPr="00812509" w:rsidRDefault="002A4A0E" w:rsidP="007A6119">
            <w:pPr>
              <w:pStyle w:val="TableTextEntries"/>
              <w:jc w:val="center"/>
              <w:rPr>
                <w:rFonts w:asciiTheme="minorHAnsi" w:hAnsiTheme="minorHAnsi"/>
                <w:color w:val="FFFFFF" w:themeColor="background1"/>
              </w:rPr>
            </w:pPr>
          </w:p>
        </w:tc>
        <w:tc>
          <w:tcPr>
            <w:tcW w:w="1099" w:type="dxa"/>
            <w:shd w:val="clear" w:color="auto" w:fill="78B832"/>
            <w:noWrap/>
          </w:tcPr>
          <w:p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247" w:type="dxa"/>
            <w:shd w:val="clear" w:color="auto" w:fill="auto"/>
          </w:tcPr>
          <w:p w:rsidR="002A4A0E" w:rsidRPr="002A4A0E" w:rsidRDefault="002A4A0E" w:rsidP="00184F1E">
            <w:pPr>
              <w:pStyle w:val="TableTextEntries"/>
              <w:jc w:val="center"/>
              <w:rPr>
                <w:rFonts w:asciiTheme="minorHAnsi" w:hAnsiTheme="minorHAnsi"/>
                <w:color w:val="FFFFFF" w:themeColor="background1"/>
              </w:rPr>
            </w:pPr>
          </w:p>
        </w:tc>
      </w:tr>
      <w:tr w:rsidR="002A4A0E" w:rsidRPr="00812509" w:rsidTr="003F2C24">
        <w:trPr>
          <w:cnfStyle w:val="000000010000" w:firstRow="0" w:lastRow="0" w:firstColumn="0" w:lastColumn="0" w:oddVBand="0" w:evenVBand="0" w:oddHBand="0" w:evenHBand="1" w:firstRowFirstColumn="0" w:firstRowLastColumn="0" w:lastRowFirstColumn="0" w:lastRowLastColumn="0"/>
        </w:trPr>
        <w:tc>
          <w:tcPr>
            <w:tcW w:w="7248" w:type="dxa"/>
          </w:tcPr>
          <w:p w:rsidR="002A4A0E" w:rsidRPr="00812509" w:rsidRDefault="002A4A0E" w:rsidP="002A4A0E">
            <w:pPr>
              <w:pStyle w:val="TableTextEntries"/>
              <w:rPr>
                <w:rFonts w:asciiTheme="minorHAnsi" w:hAnsiTheme="minorHAnsi"/>
              </w:rPr>
            </w:pPr>
            <w:r w:rsidRPr="00812509">
              <w:rPr>
                <w:rFonts w:asciiTheme="minorHAnsi" w:hAnsiTheme="minorHAnsi"/>
              </w:rPr>
              <w:t>Objective 3</w:t>
            </w:r>
            <w:r w:rsidR="004F151A">
              <w:t xml:space="preserve"> </w:t>
            </w:r>
            <w:r w:rsidR="004F151A" w:rsidRPr="004F151A">
              <w:rPr>
                <w:rFonts w:asciiTheme="minorHAnsi" w:hAnsiTheme="minorHAnsi"/>
              </w:rPr>
              <w:t>A stronger trade regime and more competitive private sector</w:t>
            </w:r>
          </w:p>
        </w:tc>
        <w:tc>
          <w:tcPr>
            <w:tcW w:w="972" w:type="dxa"/>
            <w:shd w:val="clear" w:color="auto" w:fill="FF9900"/>
            <w:noWrap/>
          </w:tcPr>
          <w:p w:rsidR="002A4A0E" w:rsidRPr="00812509" w:rsidRDefault="00132EAB"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247" w:type="dxa"/>
          </w:tcPr>
          <w:p w:rsidR="002A4A0E" w:rsidRPr="00812509" w:rsidRDefault="002A4A0E" w:rsidP="007A6119">
            <w:pPr>
              <w:pStyle w:val="TableTextEntries"/>
              <w:jc w:val="center"/>
              <w:rPr>
                <w:rFonts w:asciiTheme="minorHAnsi" w:hAnsiTheme="minorHAnsi"/>
                <w:color w:val="FFFFFF" w:themeColor="background1"/>
              </w:rPr>
            </w:pPr>
          </w:p>
        </w:tc>
        <w:tc>
          <w:tcPr>
            <w:tcW w:w="1099" w:type="dxa"/>
            <w:shd w:val="clear" w:color="auto" w:fill="76B531"/>
            <w:noWrap/>
          </w:tcPr>
          <w:p w:rsidR="002A4A0E" w:rsidRPr="00812509" w:rsidRDefault="0062434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247" w:type="dxa"/>
            <w:shd w:val="clear" w:color="auto" w:fill="auto"/>
          </w:tcPr>
          <w:p w:rsidR="002A4A0E" w:rsidRPr="002A4A0E" w:rsidRDefault="002A4A0E" w:rsidP="00184F1E">
            <w:pPr>
              <w:pStyle w:val="TableTextEntries"/>
              <w:jc w:val="center"/>
              <w:rPr>
                <w:rFonts w:asciiTheme="minorHAnsi" w:hAnsiTheme="minorHAnsi"/>
                <w:color w:val="FFFFFF" w:themeColor="background1"/>
              </w:rPr>
            </w:pPr>
          </w:p>
        </w:tc>
      </w:tr>
    </w:tbl>
    <w:p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6C0A88" w:rsidRDefault="005B5769" w:rsidP="005B5769">
      <w:pPr>
        <w:pStyle w:val="Note"/>
      </w:pPr>
      <w:r w:rsidRPr="00C4114C">
        <w:t xml:space="preserve"> </w:t>
      </w:r>
    </w:p>
    <w:p w:rsidR="006C0A88" w:rsidRDefault="006C0A88">
      <w:pPr>
        <w:suppressAutoHyphens w:val="0"/>
        <w:spacing w:before="0" w:after="120" w:line="440" w:lineRule="atLeast"/>
        <w:rPr>
          <w:rFonts w:ascii="Franklin Gothic Book" w:eastAsia="Times New Roman" w:hAnsi="Franklin Gothic Book" w:cs="Times New Roman"/>
          <w:color w:val="auto"/>
          <w:sz w:val="14"/>
          <w:szCs w:val="14"/>
          <w:lang w:val="en-AU" w:eastAsia="en-AU"/>
        </w:rPr>
      </w:pPr>
      <w:r>
        <w:br w:type="page"/>
      </w:r>
    </w:p>
    <w:p w:rsidR="00DF018F" w:rsidRPr="00934882" w:rsidRDefault="005B5769" w:rsidP="00D17802">
      <w:pPr>
        <w:pStyle w:val="Note"/>
        <w:rPr>
          <w:rFonts w:asciiTheme="minorHAnsi" w:eastAsiaTheme="minorHAnsi" w:hAnsiTheme="minorHAnsi" w:cstheme="minorBidi"/>
          <w:b/>
          <w:color w:val="495965" w:themeColor="text2"/>
          <w:spacing w:val="-2"/>
          <w:sz w:val="24"/>
          <w:szCs w:val="24"/>
          <w:lang w:eastAsia="en-US"/>
        </w:rPr>
      </w:pPr>
      <w:r w:rsidRPr="00C4114C">
        <w:lastRenderedPageBreak/>
        <w:t xml:space="preserve"> </w:t>
      </w:r>
      <w:r w:rsidR="00D17802" w:rsidRPr="00D17802">
        <w:rPr>
          <w:rFonts w:asciiTheme="minorHAnsi" w:eastAsiaTheme="minorHAnsi" w:hAnsiTheme="minorHAnsi" w:cstheme="minorBidi"/>
          <w:b/>
          <w:color w:val="495965" w:themeColor="text2"/>
          <w:spacing w:val="-2"/>
          <w:sz w:val="24"/>
          <w:szCs w:val="24"/>
          <w:lang w:eastAsia="en-US"/>
        </w:rPr>
        <w:t>Objective</w:t>
      </w:r>
      <w:r w:rsidR="00D17802">
        <w:rPr>
          <w:b/>
          <w:spacing w:val="-2"/>
          <w:sz w:val="24"/>
          <w:szCs w:val="24"/>
        </w:rPr>
        <w:t xml:space="preserve"> </w:t>
      </w:r>
      <w:r w:rsidR="00D17802" w:rsidRPr="00934882">
        <w:rPr>
          <w:rFonts w:asciiTheme="minorHAnsi" w:eastAsiaTheme="minorHAnsi" w:hAnsiTheme="minorHAnsi" w:cstheme="minorBidi"/>
          <w:b/>
          <w:color w:val="495965" w:themeColor="text2"/>
          <w:spacing w:val="-2"/>
          <w:sz w:val="24"/>
          <w:szCs w:val="24"/>
          <w:lang w:eastAsia="en-US"/>
        </w:rPr>
        <w:t>1:</w:t>
      </w:r>
      <w:r w:rsidR="00D17802">
        <w:rPr>
          <w:b/>
          <w:spacing w:val="-2"/>
          <w:sz w:val="24"/>
          <w:szCs w:val="24"/>
        </w:rPr>
        <w:t xml:space="preserve"> </w:t>
      </w:r>
      <w:r w:rsidR="00DF018F" w:rsidRPr="00934882">
        <w:rPr>
          <w:rFonts w:asciiTheme="minorHAnsi" w:eastAsiaTheme="minorHAnsi" w:hAnsiTheme="minorHAnsi" w:cstheme="minorBidi"/>
          <w:b/>
          <w:color w:val="495965" w:themeColor="text2"/>
          <w:spacing w:val="-2"/>
          <w:sz w:val="24"/>
          <w:szCs w:val="24"/>
          <w:lang w:eastAsia="en-US"/>
        </w:rPr>
        <w:t>More disadvantaged girls and boys complete a quality basic education</w:t>
      </w:r>
    </w:p>
    <w:p w:rsidR="00D17802" w:rsidRDefault="00D17802" w:rsidP="0067053A">
      <w:r>
        <w:rPr>
          <w:rFonts w:ascii="Franklin Gothic Book" w:eastAsia="Times New Roman" w:hAnsi="Franklin Gothic Book" w:cs="Times New Roman"/>
          <w:noProof/>
          <w:color w:val="auto"/>
          <w:sz w:val="21"/>
          <w:szCs w:val="24"/>
          <w:lang w:val="en-AU" w:eastAsia="en-AU"/>
        </w:rPr>
        <w:drawing>
          <wp:inline distT="0" distB="0" distL="0" distR="0" wp14:anchorId="0FBC2E81">
            <wp:extent cx="1139825" cy="719455"/>
            <wp:effectExtent l="0" t="0" r="317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9825" cy="719455"/>
                    </a:xfrm>
                    <a:prstGeom prst="rect">
                      <a:avLst/>
                    </a:prstGeom>
                    <a:noFill/>
                  </pic:spPr>
                </pic:pic>
              </a:graphicData>
            </a:graphic>
          </wp:inline>
        </w:drawing>
      </w:r>
      <w:r>
        <w:rPr>
          <w:rFonts w:ascii="Franklin Gothic Book" w:eastAsia="Times New Roman" w:hAnsi="Franklin Gothic Book" w:cs="Times New Roman"/>
          <w:noProof/>
          <w:color w:val="auto"/>
          <w:sz w:val="21"/>
          <w:szCs w:val="24"/>
          <w:lang w:val="en-AU" w:eastAsia="en-AU"/>
        </w:rPr>
        <w:t xml:space="preserve"> </w:t>
      </w:r>
      <w:r w:rsidRPr="00695730">
        <w:rPr>
          <w:rFonts w:ascii="Franklin Gothic Book" w:eastAsia="Times New Roman" w:hAnsi="Franklin Gothic Book" w:cs="Times New Roman"/>
          <w:noProof/>
          <w:color w:val="auto"/>
          <w:sz w:val="21"/>
          <w:szCs w:val="24"/>
          <w:lang w:val="en-AU" w:eastAsia="en-AU"/>
        </w:rPr>
        <w:drawing>
          <wp:inline distT="0" distB="0" distL="0" distR="0" wp14:anchorId="201A3534" wp14:editId="2877C2D1">
            <wp:extent cx="612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13601187" wp14:editId="678D3238">
            <wp:extent cx="612000" cy="61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667F1C97" wp14:editId="3578C305">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393C86" w:rsidRDefault="00F17ED8" w:rsidP="0067053A">
      <w:r>
        <w:t>Laos’</w:t>
      </w:r>
      <w:r w:rsidR="00393C86" w:rsidRPr="00393C86">
        <w:t xml:space="preserve"> literacy</w:t>
      </w:r>
      <w:r w:rsidR="002846BC">
        <w:t xml:space="preserve"> and numeracy</w:t>
      </w:r>
      <w:r w:rsidR="00393C86" w:rsidRPr="00393C86">
        <w:t xml:space="preserve"> rates</w:t>
      </w:r>
      <w:r w:rsidR="00E378D7">
        <w:t xml:space="preserve"> </w:t>
      </w:r>
      <w:r w:rsidR="00393C86" w:rsidRPr="00393C86">
        <w:t>lag behind the region</w:t>
      </w:r>
      <w:r w:rsidR="00393C86">
        <w:t xml:space="preserve"> and remain a </w:t>
      </w:r>
      <w:r w:rsidR="007E463C">
        <w:t>major</w:t>
      </w:r>
      <w:r w:rsidR="00393C86">
        <w:t xml:space="preserve"> impediment to economic growth</w:t>
      </w:r>
      <w:r w:rsidR="00E22603">
        <w:rPr>
          <w:rStyle w:val="FootnoteReference"/>
        </w:rPr>
        <w:footnoteReference w:id="6"/>
      </w:r>
      <w:r w:rsidR="00393C86">
        <w:t>.</w:t>
      </w:r>
      <w:r w:rsidR="002846BC">
        <w:t xml:space="preserve"> </w:t>
      </w:r>
      <w:r w:rsidR="005475D1">
        <w:t>While Laos has achieved close to universal access to primary education</w:t>
      </w:r>
      <w:r w:rsidR="005475D1">
        <w:rPr>
          <w:rStyle w:val="FootnoteReference"/>
        </w:rPr>
        <w:footnoteReference w:id="7"/>
      </w:r>
      <w:r w:rsidR="005475D1">
        <w:t>, progress against other education performance indicators is mixed. P</w:t>
      </w:r>
      <w:r w:rsidR="00935C51">
        <w:t xml:space="preserve">rimary completion rates have risen slightly, with </w:t>
      </w:r>
      <w:r w:rsidR="00662729">
        <w:t xml:space="preserve">around </w:t>
      </w:r>
      <w:r w:rsidR="00935C51">
        <w:t xml:space="preserve">78.4 per cent of students finishing primary school. However, there is an increasing gap between advantaged and disadvantaged areas, with some districts up to 20 percentage points below the national average. Gender parity remains flat, at 96.5 per cent, with most education indicators still worse for girls than boys. </w:t>
      </w:r>
      <w:r w:rsidR="00183CE1" w:rsidRPr="00183CE1">
        <w:t xml:space="preserve">Some girls face a triple disadvantage, with an estimated 27 per cent of </w:t>
      </w:r>
      <w:r w:rsidR="00A91CD8">
        <w:t xml:space="preserve">ethnically </w:t>
      </w:r>
      <w:r w:rsidR="00183CE1" w:rsidRPr="00183CE1">
        <w:t>non-Lao girls aged 6 to 9 years in rural areas never enrolling.</w:t>
      </w:r>
      <w:r w:rsidR="00183CE1">
        <w:rPr>
          <w:rStyle w:val="FootnoteReference"/>
        </w:rPr>
        <w:footnoteReference w:id="8"/>
      </w:r>
      <w:r w:rsidR="00183CE1" w:rsidRPr="00183CE1">
        <w:t xml:space="preserve"> </w:t>
      </w:r>
      <w:r w:rsidR="002A1B39">
        <w:t>Australia</w:t>
      </w:r>
      <w:r w:rsidR="001773C6">
        <w:t xml:space="preserve">’s </w:t>
      </w:r>
      <w:r w:rsidR="0067053A" w:rsidRPr="0067053A">
        <w:t xml:space="preserve">flagship Basic Education Quality and </w:t>
      </w:r>
      <w:r w:rsidR="002A1B39">
        <w:t>A</w:t>
      </w:r>
      <w:r w:rsidR="00C3724E">
        <w:t xml:space="preserve">ccess in Laos (BEQUAL) program </w:t>
      </w:r>
      <w:r w:rsidR="00E22603">
        <w:t>helps</w:t>
      </w:r>
      <w:r w:rsidR="007E463C">
        <w:t xml:space="preserve"> the Lao Government </w:t>
      </w:r>
      <w:r w:rsidR="005F6105">
        <w:t>strengthen national systems while also providing targeted support for the 66 most educationally disadvantaged districts in Laos</w:t>
      </w:r>
      <w:r w:rsidR="007E463C">
        <w:t xml:space="preserve">. </w:t>
      </w:r>
      <w:r w:rsidR="007D43C8">
        <w:t>It</w:t>
      </w:r>
      <w:r w:rsidR="00EB3DA5">
        <w:t xml:space="preserve"> is implemented through a Managing Contractor</w:t>
      </w:r>
      <w:r w:rsidR="00C3724E">
        <w:t>,</w:t>
      </w:r>
      <w:r w:rsidR="00EB3DA5">
        <w:t xml:space="preserve"> </w:t>
      </w:r>
      <w:r w:rsidR="00E378D7">
        <w:t xml:space="preserve">a consortium of non-government organisations, </w:t>
      </w:r>
      <w:r w:rsidR="00EB3DA5">
        <w:t>the World Food Pro</w:t>
      </w:r>
      <w:r w:rsidR="00E22603">
        <w:t xml:space="preserve">gram and </w:t>
      </w:r>
      <w:r w:rsidR="005F6105">
        <w:t>UNICEF</w:t>
      </w:r>
      <w:r w:rsidR="007D43C8">
        <w:t>.</w:t>
      </w:r>
      <w:r w:rsidR="007E463C">
        <w:t xml:space="preserve"> </w:t>
      </w:r>
      <w:r w:rsidR="00E22603">
        <w:t>S</w:t>
      </w:r>
      <w:r w:rsidR="00C3724E">
        <w:t xml:space="preserve">upport through </w:t>
      </w:r>
      <w:r w:rsidR="00E22603">
        <w:t xml:space="preserve">WFP </w:t>
      </w:r>
      <w:r w:rsidR="00C3724E">
        <w:t xml:space="preserve">and </w:t>
      </w:r>
      <w:r w:rsidR="005F6105">
        <w:t xml:space="preserve">UNICEF </w:t>
      </w:r>
      <w:r w:rsidR="00E22603">
        <w:t>will c</w:t>
      </w:r>
      <w:r w:rsidR="007E463C">
        <w:t>onclude in December 2017.</w:t>
      </w:r>
    </w:p>
    <w:p w:rsidR="00E378D7" w:rsidRDefault="00F770E5" w:rsidP="00E378D7">
      <w:r>
        <w:rPr>
          <w:noProof/>
          <w:lang w:val="en-AU" w:eastAsia="en-AU" w:bidi="lo-LA"/>
        </w:rPr>
        <w:t>A</w:t>
      </w:r>
      <w:r w:rsidR="009C1B5B">
        <w:rPr>
          <w:noProof/>
          <w:lang w:val="en-AU" w:eastAsia="en-AU" w:bidi="lo-LA"/>
        </w:rPr>
        <w:t>ll three</w:t>
      </w:r>
      <w:r w:rsidR="002A1B39" w:rsidRPr="00C26AC2">
        <w:rPr>
          <w:noProof/>
          <w:lang w:val="en-AU" w:eastAsia="en-AU" w:bidi="lo-LA"/>
        </w:rPr>
        <w:t xml:space="preserve"> investment</w:t>
      </w:r>
      <w:r w:rsidR="009C1B5B">
        <w:rPr>
          <w:noProof/>
          <w:lang w:val="en-AU" w:eastAsia="en-AU" w:bidi="lo-LA"/>
        </w:rPr>
        <w:t>s</w:t>
      </w:r>
      <w:r>
        <w:rPr>
          <w:noProof/>
          <w:lang w:val="en-AU" w:eastAsia="en-AU" w:bidi="lo-LA"/>
        </w:rPr>
        <w:t xml:space="preserve"> are</w:t>
      </w:r>
      <w:r w:rsidR="002A1B39" w:rsidRPr="00C26AC2">
        <w:rPr>
          <w:noProof/>
          <w:lang w:val="en-AU" w:eastAsia="en-AU" w:bidi="lo-LA"/>
        </w:rPr>
        <w:t xml:space="preserve"> </w:t>
      </w:r>
      <w:r w:rsidR="00935C51">
        <w:rPr>
          <w:noProof/>
          <w:lang w:val="en-AU" w:eastAsia="en-AU" w:bidi="lo-LA"/>
        </w:rPr>
        <w:t xml:space="preserve">on track to </w:t>
      </w:r>
      <w:r w:rsidR="009C1B5B">
        <w:rPr>
          <w:noProof/>
          <w:lang w:val="en-AU" w:eastAsia="en-AU" w:bidi="lo-LA"/>
        </w:rPr>
        <w:t>achiev</w:t>
      </w:r>
      <w:r w:rsidR="00935C51">
        <w:rPr>
          <w:noProof/>
          <w:lang w:val="en-AU" w:eastAsia="en-AU" w:bidi="lo-LA"/>
        </w:rPr>
        <w:t>e</w:t>
      </w:r>
      <w:r w:rsidR="002A1B39" w:rsidRPr="00C26AC2">
        <w:rPr>
          <w:noProof/>
          <w:lang w:val="en-AU" w:eastAsia="en-AU" w:bidi="lo-LA"/>
        </w:rPr>
        <w:t xml:space="preserve"> </w:t>
      </w:r>
      <w:r w:rsidR="00F8705C">
        <w:rPr>
          <w:noProof/>
          <w:lang w:val="en-AU" w:eastAsia="en-AU" w:bidi="lo-LA"/>
        </w:rPr>
        <w:t xml:space="preserve">the </w:t>
      </w:r>
      <w:r w:rsidR="002A1B39">
        <w:rPr>
          <w:noProof/>
          <w:lang w:val="en-AU" w:eastAsia="en-AU" w:bidi="lo-LA"/>
        </w:rPr>
        <w:t>outputs identified</w:t>
      </w:r>
      <w:r w:rsidR="00935C51">
        <w:rPr>
          <w:noProof/>
          <w:lang w:val="en-AU" w:eastAsia="en-AU" w:bidi="lo-LA"/>
        </w:rPr>
        <w:t xml:space="preserve"> in </w:t>
      </w:r>
      <w:r w:rsidR="002A1B39">
        <w:rPr>
          <w:noProof/>
          <w:lang w:val="en-AU" w:eastAsia="en-AU" w:bidi="lo-LA"/>
        </w:rPr>
        <w:t xml:space="preserve"> </w:t>
      </w:r>
      <w:r w:rsidR="007E463C">
        <w:rPr>
          <w:noProof/>
          <w:lang w:val="en-AU" w:eastAsia="en-AU" w:bidi="lo-LA"/>
        </w:rPr>
        <w:t>annual workplans</w:t>
      </w:r>
      <w:r w:rsidR="001F60B9">
        <w:rPr>
          <w:noProof/>
          <w:lang w:val="en-AU" w:eastAsia="en-AU" w:bidi="lo-LA"/>
        </w:rPr>
        <w:t>. K</w:t>
      </w:r>
      <w:r w:rsidR="00E378D7">
        <w:rPr>
          <w:noProof/>
          <w:lang w:val="en-AU" w:eastAsia="en-AU" w:bidi="lo-LA"/>
        </w:rPr>
        <w:t>ey achieveme</w:t>
      </w:r>
      <w:r w:rsidR="005F6105">
        <w:rPr>
          <w:noProof/>
          <w:lang w:val="en-AU" w:eastAsia="en-AU" w:bidi="lo-LA"/>
        </w:rPr>
        <w:t>n</w:t>
      </w:r>
      <w:r w:rsidR="00E378D7">
        <w:rPr>
          <w:noProof/>
          <w:lang w:val="en-AU" w:eastAsia="en-AU" w:bidi="lo-LA"/>
        </w:rPr>
        <w:t xml:space="preserve">ts </w:t>
      </w:r>
      <w:r w:rsidR="007D43C8">
        <w:rPr>
          <w:noProof/>
          <w:lang w:val="en-AU" w:eastAsia="en-AU" w:bidi="lo-LA"/>
        </w:rPr>
        <w:t>d</w:t>
      </w:r>
      <w:r w:rsidR="007D43C8">
        <w:t>uring the reporting period includ</w:t>
      </w:r>
      <w:r w:rsidR="001F60B9">
        <w:t>e</w:t>
      </w:r>
      <w:r w:rsidR="007D43C8">
        <w:t xml:space="preserve"> supporting</w:t>
      </w:r>
      <w:r w:rsidR="00E378D7" w:rsidRPr="002A1B39">
        <w:t xml:space="preserve"> </w:t>
      </w:r>
      <w:r w:rsidR="00E378D7">
        <w:t xml:space="preserve">reform of </w:t>
      </w:r>
      <w:r w:rsidR="00E378D7" w:rsidRPr="002A1B39">
        <w:t>La</w:t>
      </w:r>
      <w:r w:rsidR="00E378D7">
        <w:t>os’ national primary curriculum, including developing</w:t>
      </w:r>
      <w:r w:rsidR="00E378D7" w:rsidRPr="00595DC5">
        <w:rPr>
          <w:rFonts w:cstheme="minorHAnsi"/>
        </w:rPr>
        <w:t xml:space="preserve"> new Grade 1 </w:t>
      </w:r>
      <w:r w:rsidR="00E378D7">
        <w:rPr>
          <w:rFonts w:cstheme="minorHAnsi"/>
        </w:rPr>
        <w:t>textbooks and conducting</w:t>
      </w:r>
      <w:r w:rsidR="00E378D7" w:rsidRPr="00595DC5">
        <w:rPr>
          <w:rFonts w:cstheme="minorHAnsi"/>
        </w:rPr>
        <w:t xml:space="preserve"> </w:t>
      </w:r>
      <w:r w:rsidR="00E378D7">
        <w:rPr>
          <w:rFonts w:cstheme="minorHAnsi"/>
        </w:rPr>
        <w:t xml:space="preserve">a </w:t>
      </w:r>
      <w:r w:rsidR="00E378D7" w:rsidRPr="00595DC5">
        <w:rPr>
          <w:rFonts w:cstheme="minorHAnsi"/>
        </w:rPr>
        <w:t>year-long trial of new</w:t>
      </w:r>
      <w:r w:rsidR="007D43C8">
        <w:rPr>
          <w:rFonts w:cstheme="minorHAnsi"/>
        </w:rPr>
        <w:t xml:space="preserve"> Grade 1</w:t>
      </w:r>
      <w:r w:rsidR="00E378D7" w:rsidRPr="00595DC5">
        <w:rPr>
          <w:rFonts w:cstheme="minorHAnsi"/>
        </w:rPr>
        <w:t xml:space="preserve"> materials</w:t>
      </w:r>
      <w:r w:rsidR="00E378D7">
        <w:rPr>
          <w:rFonts w:cstheme="minorHAnsi"/>
        </w:rPr>
        <w:t xml:space="preserve"> (a 2016-17 Performance Benchmark)</w:t>
      </w:r>
      <w:r w:rsidR="00E378D7" w:rsidRPr="00595DC5">
        <w:rPr>
          <w:rFonts w:cstheme="minorHAnsi"/>
        </w:rPr>
        <w:t xml:space="preserve">; </w:t>
      </w:r>
      <w:r w:rsidR="007D43C8">
        <w:rPr>
          <w:rFonts w:cstheme="minorHAnsi"/>
        </w:rPr>
        <w:t>commencing</w:t>
      </w:r>
      <w:r w:rsidR="00E378D7">
        <w:rPr>
          <w:rFonts w:cstheme="minorHAnsi"/>
        </w:rPr>
        <w:t xml:space="preserve"> reform</w:t>
      </w:r>
      <w:r w:rsidR="00E378D7" w:rsidRPr="00595DC5">
        <w:rPr>
          <w:rFonts w:cstheme="minorHAnsi"/>
        </w:rPr>
        <w:t xml:space="preserve"> of </w:t>
      </w:r>
      <w:r w:rsidR="00E378D7">
        <w:rPr>
          <w:rFonts w:cstheme="minorHAnsi"/>
        </w:rPr>
        <w:t>Laos’ teacher training system</w:t>
      </w:r>
      <w:r w:rsidR="00E378D7" w:rsidRPr="00595DC5">
        <w:rPr>
          <w:rFonts w:cstheme="minorHAnsi"/>
        </w:rPr>
        <w:t>;</w:t>
      </w:r>
      <w:r w:rsidR="00E378D7">
        <w:rPr>
          <w:rFonts w:cstheme="minorHAnsi"/>
        </w:rPr>
        <w:t xml:space="preserve"> </w:t>
      </w:r>
      <w:r w:rsidR="005F6105">
        <w:t>commenc</w:t>
      </w:r>
      <w:r w:rsidR="00A0393F">
        <w:t>ing</w:t>
      </w:r>
      <w:r w:rsidR="005F6105">
        <w:t xml:space="preserve"> training of </w:t>
      </w:r>
      <w:r w:rsidR="00E378D7">
        <w:t>an additional 152 ethnic teacher trainees</w:t>
      </w:r>
      <w:r w:rsidR="007D43C8">
        <w:t xml:space="preserve"> (</w:t>
      </w:r>
      <w:r w:rsidR="00E378D7">
        <w:t xml:space="preserve">a 2016-17 Performance Benchmark); </w:t>
      </w:r>
      <w:r w:rsidR="007D43C8">
        <w:t>providing</w:t>
      </w:r>
      <w:r w:rsidR="00E378D7" w:rsidRPr="002A1B39">
        <w:t xml:space="preserve"> Lao language support to 3,000 stude</w:t>
      </w:r>
      <w:r w:rsidR="00E378D7">
        <w:t>nts from non-Lao speaking homes</w:t>
      </w:r>
      <w:r w:rsidR="00BD28E2">
        <w:t xml:space="preserve"> </w:t>
      </w:r>
      <w:r w:rsidR="00F17ED8">
        <w:t>(</w:t>
      </w:r>
      <w:r w:rsidR="00BD28E2">
        <w:t>as planned</w:t>
      </w:r>
      <w:r w:rsidR="00F17ED8">
        <w:t>)</w:t>
      </w:r>
      <w:r w:rsidR="00662729">
        <w:t>;</w:t>
      </w:r>
      <w:r w:rsidR="00E378D7">
        <w:t xml:space="preserve"> </w:t>
      </w:r>
      <w:r w:rsidR="00A0393F">
        <w:t>piloting four innovative approaches to increas</w:t>
      </w:r>
      <w:r w:rsidR="00662729">
        <w:t>e</w:t>
      </w:r>
      <w:r w:rsidR="00A0393F">
        <w:t xml:space="preserve"> student participation</w:t>
      </w:r>
      <w:r w:rsidR="00662729">
        <w:t>,</w:t>
      </w:r>
      <w:r w:rsidR="00A0393F">
        <w:t xml:space="preserve"> through the BEQUAL Education Innovation Fund</w:t>
      </w:r>
      <w:r w:rsidR="00662729">
        <w:t>;</w:t>
      </w:r>
      <w:r w:rsidR="00A0393F" w:rsidRPr="002A1B39">
        <w:t xml:space="preserve"> </w:t>
      </w:r>
      <w:r w:rsidR="00E378D7" w:rsidRPr="002A1B39">
        <w:t>train</w:t>
      </w:r>
      <w:r w:rsidR="007D43C8">
        <w:t>ing</w:t>
      </w:r>
      <w:r w:rsidR="00E378D7">
        <w:t xml:space="preserve"> more than</w:t>
      </w:r>
      <w:r w:rsidR="00E378D7" w:rsidRPr="002A1B39">
        <w:t xml:space="preserve"> 81,500  education admi</w:t>
      </w:r>
      <w:r w:rsidR="00E378D7">
        <w:t>nistrators</w:t>
      </w:r>
      <w:r w:rsidR="00662729">
        <w:t>;</w:t>
      </w:r>
      <w:r w:rsidR="00E378D7">
        <w:t xml:space="preserve"> </w:t>
      </w:r>
      <w:r w:rsidR="007D43C8">
        <w:t>providing water and sanitation to</w:t>
      </w:r>
      <w:r w:rsidR="00E378D7" w:rsidRPr="001773C6">
        <w:t xml:space="preserve"> </w:t>
      </w:r>
      <w:r w:rsidR="005B5C5A">
        <w:t>children in 194 schools across Laos (92 schools over its target)</w:t>
      </w:r>
      <w:r w:rsidR="00E378D7">
        <w:t xml:space="preserve">(through </w:t>
      </w:r>
      <w:r w:rsidR="005F6105">
        <w:t>UNICEF</w:t>
      </w:r>
      <w:r w:rsidR="00E378D7">
        <w:t>)</w:t>
      </w:r>
      <w:r w:rsidR="00662729">
        <w:t>;</w:t>
      </w:r>
      <w:r w:rsidR="00E378D7">
        <w:t xml:space="preserve"> and </w:t>
      </w:r>
      <w:r w:rsidR="007D43C8">
        <w:t>delivering</w:t>
      </w:r>
      <w:r w:rsidR="00E378D7">
        <w:t xml:space="preserve"> school meals to more than </w:t>
      </w:r>
      <w:r w:rsidR="005B5C5A">
        <w:t>14</w:t>
      </w:r>
      <w:r w:rsidR="00E378D7">
        <w:t xml:space="preserve">0,000 </w:t>
      </w:r>
      <w:r w:rsidR="007D43C8">
        <w:t>children</w:t>
      </w:r>
      <w:r w:rsidR="00BD28E2">
        <w:t xml:space="preserve"> (as planned)</w:t>
      </w:r>
      <w:r w:rsidR="007D43C8">
        <w:t xml:space="preserve"> in disadvantaged districts</w:t>
      </w:r>
      <w:r w:rsidR="00E378D7">
        <w:t xml:space="preserve"> (through WFP).</w:t>
      </w:r>
    </w:p>
    <w:p w:rsidR="00A0393F" w:rsidRDefault="00A0393F" w:rsidP="00A0393F">
      <w:pPr>
        <w:rPr>
          <w:rFonts w:cstheme="minorHAnsi"/>
        </w:rPr>
      </w:pPr>
      <w:r>
        <w:rPr>
          <w:rFonts w:cstheme="minorHAnsi"/>
        </w:rPr>
        <w:t xml:space="preserve">As the largest donor in the sector, we exercise </w:t>
      </w:r>
      <w:r w:rsidRPr="00595DC5">
        <w:rPr>
          <w:rFonts w:cstheme="minorHAnsi"/>
        </w:rPr>
        <w:t>a leadership role,</w:t>
      </w:r>
      <w:r>
        <w:rPr>
          <w:rFonts w:cstheme="minorHAnsi"/>
        </w:rPr>
        <w:t xml:space="preserve"> including </w:t>
      </w:r>
      <w:r w:rsidR="00662729">
        <w:rPr>
          <w:rFonts w:cstheme="minorHAnsi"/>
        </w:rPr>
        <w:t>as</w:t>
      </w:r>
      <w:r w:rsidRPr="00595DC5">
        <w:rPr>
          <w:rFonts w:cstheme="minorHAnsi"/>
        </w:rPr>
        <w:t xml:space="preserve"> co-chair </w:t>
      </w:r>
      <w:r w:rsidR="00662729">
        <w:rPr>
          <w:rFonts w:cstheme="minorHAnsi"/>
        </w:rPr>
        <w:t xml:space="preserve">of </w:t>
      </w:r>
      <w:r w:rsidRPr="00595DC5">
        <w:rPr>
          <w:rFonts w:cstheme="minorHAnsi"/>
        </w:rPr>
        <w:t>the Educa</w:t>
      </w:r>
      <w:r>
        <w:rPr>
          <w:rFonts w:cstheme="minorHAnsi"/>
        </w:rPr>
        <w:t>tion Sector Working Group</w:t>
      </w:r>
      <w:r w:rsidR="00662729">
        <w:rPr>
          <w:rFonts w:cstheme="minorHAnsi"/>
        </w:rPr>
        <w:t xml:space="preserve"> and</w:t>
      </w:r>
      <w:r>
        <w:rPr>
          <w:rFonts w:cstheme="minorHAnsi"/>
        </w:rPr>
        <w:t xml:space="preserve"> informal Education Development Partner Working Group, and as Country Coordinator for the Global Partnership for Education </w:t>
      </w:r>
      <w:r w:rsidR="00662729">
        <w:rPr>
          <w:rFonts w:cstheme="minorHAnsi"/>
        </w:rPr>
        <w:t xml:space="preserve">(GPE) </w:t>
      </w:r>
      <w:r>
        <w:rPr>
          <w:rFonts w:cstheme="minorHAnsi"/>
        </w:rPr>
        <w:t>in Laos. Through our engagement on major national reform processes</w:t>
      </w:r>
      <w:r w:rsidR="00662729">
        <w:rPr>
          <w:rFonts w:cstheme="minorHAnsi"/>
        </w:rPr>
        <w:t>,</w:t>
      </w:r>
      <w:r>
        <w:rPr>
          <w:rFonts w:cstheme="minorHAnsi"/>
        </w:rPr>
        <w:t xml:space="preserve"> we have s</w:t>
      </w:r>
      <w:r w:rsidRPr="00595DC5">
        <w:t xml:space="preserve">uccessfully </w:t>
      </w:r>
      <w:r>
        <w:t xml:space="preserve">advocated for </w:t>
      </w:r>
      <w:r>
        <w:rPr>
          <w:rFonts w:cstheme="minorHAnsi"/>
        </w:rPr>
        <w:t xml:space="preserve">a number of fundamental improvements to the national primary and teacher training curricula, such as reducing the number of Lao </w:t>
      </w:r>
      <w:r w:rsidR="00A91CD8">
        <w:rPr>
          <w:rFonts w:cstheme="minorHAnsi"/>
        </w:rPr>
        <w:t xml:space="preserve">language </w:t>
      </w:r>
      <w:r>
        <w:rPr>
          <w:rFonts w:cstheme="minorHAnsi"/>
        </w:rPr>
        <w:t xml:space="preserve">characters </w:t>
      </w:r>
      <w:r w:rsidR="00A91CD8">
        <w:rPr>
          <w:rFonts w:cstheme="minorHAnsi"/>
        </w:rPr>
        <w:t xml:space="preserve">that </w:t>
      </w:r>
      <w:r>
        <w:rPr>
          <w:rFonts w:cstheme="minorHAnsi"/>
        </w:rPr>
        <w:t xml:space="preserve">children in Grade 1 are required to learn (an overcrowded Lao language curriculum has been identified as a key constraint to learning outcomes). We have also influenced the approach and implementation schedules of other development partners to </w:t>
      </w:r>
      <w:r w:rsidR="00662729">
        <w:rPr>
          <w:rFonts w:cstheme="minorHAnsi"/>
        </w:rPr>
        <w:t>strengthen support for</w:t>
      </w:r>
      <w:r>
        <w:rPr>
          <w:rFonts w:cstheme="minorHAnsi"/>
        </w:rPr>
        <w:t xml:space="preserve"> these reforms. </w:t>
      </w:r>
    </w:p>
    <w:p w:rsidR="00515EE5" w:rsidRDefault="00515EE5" w:rsidP="00F770E5">
      <w:pPr>
        <w:rPr>
          <w:rFonts w:cstheme="minorHAnsi"/>
        </w:rPr>
      </w:pPr>
      <w:r w:rsidRPr="00515EE5">
        <w:rPr>
          <w:rFonts w:cstheme="minorHAnsi"/>
        </w:rPr>
        <w:t xml:space="preserve">Despite </w:t>
      </w:r>
      <w:r w:rsidR="00A0393F">
        <w:rPr>
          <w:rFonts w:cstheme="minorHAnsi"/>
        </w:rPr>
        <w:t>these achievements,</w:t>
      </w:r>
      <w:r w:rsidRPr="00515EE5">
        <w:rPr>
          <w:rFonts w:cstheme="minorHAnsi"/>
        </w:rPr>
        <w:t xml:space="preserve"> DFAT has concerns about the design, scope and targeting of the program, justifying an amber rating during this reporting period. It has become clear BEQUAL’s design did not sufficiently acknowledge the institutional constraints and significant diversity across Laos’ education sector.</w:t>
      </w:r>
      <w:r w:rsidRPr="00515EE5">
        <w:rPr>
          <w:rStyle w:val="FootnoteReference"/>
          <w:rFonts w:cstheme="minorHAnsi"/>
        </w:rPr>
        <w:t xml:space="preserve"> </w:t>
      </w:r>
      <w:r w:rsidRPr="00515EE5">
        <w:rPr>
          <w:rStyle w:val="FootnoteReference"/>
          <w:rFonts w:cstheme="minorHAnsi"/>
        </w:rPr>
        <w:footnoteReference w:id="9"/>
      </w:r>
      <w:r w:rsidRPr="00515EE5">
        <w:rPr>
          <w:rFonts w:cstheme="minorHAnsi"/>
        </w:rPr>
        <w:t xml:space="preserve"> As a result, there is a lack of focus on system strengthening, some activities are being implemented at a pace that could compromise sustainability</w:t>
      </w:r>
      <w:r w:rsidR="00662729">
        <w:rPr>
          <w:rFonts w:cstheme="minorHAnsi"/>
        </w:rPr>
        <w:t>,</w:t>
      </w:r>
      <w:r w:rsidRPr="00515EE5">
        <w:rPr>
          <w:rFonts w:cstheme="minorHAnsi"/>
        </w:rPr>
        <w:t xml:space="preserve"> and others are not appropriately adapted to different local contexts.</w:t>
      </w:r>
      <w:r w:rsidRPr="00515EE5">
        <w:rPr>
          <w:rStyle w:val="FootnoteReference"/>
          <w:rFonts w:cstheme="minorHAnsi"/>
        </w:rPr>
        <w:t xml:space="preserve"> </w:t>
      </w:r>
      <w:r w:rsidRPr="00515EE5">
        <w:rPr>
          <w:rStyle w:val="FootnoteReference"/>
          <w:rFonts w:cstheme="minorHAnsi"/>
        </w:rPr>
        <w:footnoteReference w:id="10"/>
      </w:r>
      <w:r w:rsidRPr="00515EE5">
        <w:rPr>
          <w:rFonts w:cstheme="minorHAnsi"/>
        </w:rPr>
        <w:t xml:space="preserve"> </w:t>
      </w:r>
      <w:r w:rsidR="00A0393F">
        <w:rPr>
          <w:rFonts w:cstheme="minorHAnsi"/>
        </w:rPr>
        <w:t xml:space="preserve">BEQUAL is a flexible program designed to adapt to changes in context or new analysis. </w:t>
      </w:r>
      <w:r w:rsidRPr="00515EE5">
        <w:rPr>
          <w:rFonts w:cstheme="minorHAnsi"/>
        </w:rPr>
        <w:t xml:space="preserve">A Mid Term Review of </w:t>
      </w:r>
      <w:r w:rsidRPr="00515EE5">
        <w:rPr>
          <w:rFonts w:cstheme="minorHAnsi"/>
        </w:rPr>
        <w:lastRenderedPageBreak/>
        <w:t>BEQUAL in early 2017-18 will help articulate whether and how objectives and/or activities need to be modified to ensure BEQUAL achieves real impact in the most disadvantaged classrooms.</w:t>
      </w:r>
    </w:p>
    <w:p w:rsidR="00D17802" w:rsidRDefault="00D17802" w:rsidP="00DF018F">
      <w:pPr>
        <w:rPr>
          <w:b/>
          <w:lang w:val="en-AU"/>
        </w:rPr>
      </w:pPr>
      <w:r w:rsidRPr="00D17802">
        <w:rPr>
          <w:b/>
          <w:spacing w:val="-2"/>
          <w:sz w:val="24"/>
          <w:szCs w:val="24"/>
          <w:lang w:val="en-AU"/>
        </w:rPr>
        <w:t>Objective</w:t>
      </w:r>
      <w:r>
        <w:rPr>
          <w:b/>
          <w:spacing w:val="-2"/>
          <w:sz w:val="24"/>
          <w:szCs w:val="24"/>
          <w:lang w:val="en-AU"/>
        </w:rPr>
        <w:t xml:space="preserve"> 2: </w:t>
      </w:r>
      <w:r w:rsidRPr="000B12B6">
        <w:rPr>
          <w:b/>
          <w:sz w:val="24"/>
          <w:szCs w:val="24"/>
          <w:lang w:val="en-AU"/>
        </w:rPr>
        <w:t>Improving Laos’ human resources through scholarships, training and organisational capacity building</w:t>
      </w:r>
    </w:p>
    <w:p w:rsidR="0067053A" w:rsidRPr="000B12B6" w:rsidRDefault="00D17802" w:rsidP="0067053A">
      <w:pPr>
        <w:ind w:left="1134" w:hanging="1134"/>
        <w:rPr>
          <w:b/>
          <w:sz w:val="24"/>
          <w:szCs w:val="24"/>
          <w:lang w:val="en-AU"/>
        </w:rPr>
      </w:pPr>
      <w:r>
        <w:rPr>
          <w:rFonts w:ascii="Franklin Gothic Book" w:eastAsia="Times New Roman" w:hAnsi="Franklin Gothic Book" w:cs="Times New Roman"/>
          <w:noProof/>
          <w:color w:val="auto"/>
          <w:sz w:val="21"/>
          <w:szCs w:val="24"/>
          <w:lang w:val="en-AU" w:eastAsia="en-AU"/>
        </w:rPr>
        <w:drawing>
          <wp:inline distT="0" distB="0" distL="0" distR="0" wp14:anchorId="02630AEF" wp14:editId="2CA71E5C">
            <wp:extent cx="1139381" cy="715617"/>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2184" cy="717377"/>
                    </a:xfrm>
                    <a:prstGeom prst="rect">
                      <a:avLst/>
                    </a:prstGeom>
                    <a:noFill/>
                  </pic:spPr>
                </pic:pic>
              </a:graphicData>
            </a:graphic>
          </wp:inline>
        </w:drawing>
      </w:r>
      <w:r>
        <w:rPr>
          <w:noProof/>
          <w:lang w:val="en-AU" w:eastAsia="en-AU"/>
        </w:rPr>
        <w:t xml:space="preserve"> </w:t>
      </w:r>
      <w:r w:rsidR="0067053A">
        <w:rPr>
          <w:noProof/>
          <w:lang w:val="en-AU" w:eastAsia="en-AU"/>
        </w:rPr>
        <w:drawing>
          <wp:inline distT="0" distB="0" distL="0" distR="0" wp14:anchorId="2FB18FC8" wp14:editId="49E5B8C2">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67053A">
        <w:rPr>
          <w:noProof/>
          <w:lang w:val="en-AU" w:eastAsia="en-AU" w:bidi="lo-LA"/>
        </w:rPr>
        <w:t xml:space="preserve">  </w:t>
      </w:r>
      <w:r w:rsidR="00732CBC">
        <w:rPr>
          <w:noProof/>
          <w:lang w:val="en-AU" w:eastAsia="en-AU"/>
        </w:rPr>
        <w:drawing>
          <wp:inline distT="0" distB="0" distL="0" distR="0" wp14:anchorId="779112B3" wp14:editId="138766D3">
            <wp:extent cx="612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67053A">
        <w:rPr>
          <w:noProof/>
          <w:lang w:val="en-AU" w:eastAsia="en-AU" w:bidi="lo-LA"/>
        </w:rPr>
        <w:t xml:space="preserve"> </w:t>
      </w:r>
      <w:r w:rsidR="00732CBC">
        <w:rPr>
          <w:noProof/>
          <w:lang w:val="en-AU" w:eastAsia="en-AU"/>
        </w:rPr>
        <w:drawing>
          <wp:inline distT="0" distB="0" distL="0" distR="0" wp14:anchorId="50878ED6" wp14:editId="7B7F78D0">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67053A">
        <w:rPr>
          <w:noProof/>
          <w:lang w:val="en-AU" w:eastAsia="en-AU" w:bidi="lo-LA"/>
        </w:rPr>
        <w:t xml:space="preserve"> </w:t>
      </w:r>
      <w:r w:rsidR="00732CBC">
        <w:rPr>
          <w:noProof/>
          <w:lang w:val="en-AU" w:eastAsia="en-AU"/>
        </w:rPr>
        <w:drawing>
          <wp:inline distT="0" distB="0" distL="0" distR="0" wp14:anchorId="761F0487" wp14:editId="1EFDB4F1">
            <wp:extent cx="612000"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732CBC">
        <w:rPr>
          <w:noProof/>
          <w:lang w:val="en-AU" w:eastAsia="en-AU" w:bidi="lo-LA"/>
        </w:rPr>
        <w:t xml:space="preserve">  </w:t>
      </w:r>
    </w:p>
    <w:p w:rsidR="00C105F4" w:rsidRPr="00C26AC2" w:rsidRDefault="00C105F4" w:rsidP="00C105F4">
      <w:pPr>
        <w:rPr>
          <w:noProof/>
          <w:lang w:val="en-AU" w:eastAsia="en-AU" w:bidi="lo-LA"/>
        </w:rPr>
      </w:pPr>
      <w:r w:rsidRPr="00C26AC2">
        <w:rPr>
          <w:noProof/>
          <w:lang w:val="en-AU" w:eastAsia="en-AU" w:bidi="lo-LA"/>
        </w:rPr>
        <w:t>Lao</w:t>
      </w:r>
      <w:r>
        <w:rPr>
          <w:noProof/>
          <w:lang w:val="en-AU" w:eastAsia="en-AU" w:bidi="lo-LA"/>
        </w:rPr>
        <w:t>s’</w:t>
      </w:r>
      <w:r w:rsidRPr="00C26AC2">
        <w:rPr>
          <w:noProof/>
          <w:lang w:val="en-AU" w:eastAsia="en-AU" w:bidi="lo-LA"/>
        </w:rPr>
        <w:t xml:space="preserve"> labour market continues to fall short of demand</w:t>
      </w:r>
      <w:r w:rsidR="005B5C5A" w:rsidRPr="005B5C5A">
        <w:rPr>
          <w:rStyle w:val="FootnoteReference"/>
          <w:noProof/>
          <w:lang w:val="en-AU" w:eastAsia="en-AU" w:bidi="lo-LA"/>
        </w:rPr>
        <w:t xml:space="preserve"> </w:t>
      </w:r>
      <w:r w:rsidR="005B5C5A">
        <w:rPr>
          <w:rStyle w:val="FootnoteReference"/>
          <w:noProof/>
          <w:lang w:val="en-AU" w:eastAsia="en-AU" w:bidi="lo-LA"/>
        </w:rPr>
        <w:footnoteReference w:id="11"/>
      </w:r>
      <w:r w:rsidRPr="00C26AC2">
        <w:rPr>
          <w:noProof/>
          <w:lang w:val="en-AU" w:eastAsia="en-AU" w:bidi="lo-LA"/>
        </w:rPr>
        <w:t xml:space="preserve">, despite the government’s efforts to improve education quality and encourage vocational training opportunities. </w:t>
      </w:r>
      <w:r w:rsidR="002B0AFB">
        <w:rPr>
          <w:noProof/>
          <w:lang w:val="en-AU" w:eastAsia="en-AU" w:bidi="lo-LA"/>
        </w:rPr>
        <w:t>The Laos Australia Institute (LAI)</w:t>
      </w:r>
      <w:r w:rsidRPr="00C26AC2">
        <w:rPr>
          <w:noProof/>
          <w:lang w:val="en-AU" w:eastAsia="en-AU" w:bidi="lo-LA"/>
        </w:rPr>
        <w:t xml:space="preserve"> Phase II (</w:t>
      </w:r>
      <w:r w:rsidR="004A4D72">
        <w:rPr>
          <w:noProof/>
          <w:lang w:val="en-AU" w:eastAsia="en-AU" w:bidi="lo-LA"/>
        </w:rPr>
        <w:t xml:space="preserve">mobilised in </w:t>
      </w:r>
      <w:r w:rsidRPr="00C26AC2">
        <w:rPr>
          <w:noProof/>
          <w:lang w:val="en-AU" w:eastAsia="en-AU" w:bidi="lo-LA"/>
        </w:rPr>
        <w:t xml:space="preserve">July 2017) </w:t>
      </w:r>
      <w:r>
        <w:rPr>
          <w:noProof/>
          <w:lang w:val="en-AU" w:eastAsia="en-AU" w:bidi="lo-LA"/>
        </w:rPr>
        <w:t>continues</w:t>
      </w:r>
      <w:r w:rsidRPr="00C26AC2">
        <w:rPr>
          <w:noProof/>
          <w:lang w:val="en-AU" w:eastAsia="en-AU" w:bidi="lo-LA"/>
        </w:rPr>
        <w:t xml:space="preserve"> to </w:t>
      </w:r>
      <w:r>
        <w:rPr>
          <w:noProof/>
          <w:lang w:val="en-AU" w:eastAsia="en-AU" w:bidi="lo-LA"/>
        </w:rPr>
        <w:t xml:space="preserve">support Laos’ </w:t>
      </w:r>
      <w:r w:rsidR="004222BC">
        <w:rPr>
          <w:noProof/>
          <w:lang w:val="en-AU" w:eastAsia="en-AU" w:bidi="lo-LA"/>
        </w:rPr>
        <w:t xml:space="preserve">National Strategy on </w:t>
      </w:r>
      <w:r>
        <w:rPr>
          <w:noProof/>
          <w:lang w:val="en-AU" w:eastAsia="en-AU" w:bidi="lo-LA"/>
        </w:rPr>
        <w:t>human resources development (HRD) through sc</w:t>
      </w:r>
      <w:r w:rsidR="003B7FB4">
        <w:rPr>
          <w:noProof/>
          <w:lang w:val="en-AU" w:eastAsia="en-AU" w:bidi="lo-LA"/>
        </w:rPr>
        <w:t>holarships, training and organis</w:t>
      </w:r>
      <w:r>
        <w:rPr>
          <w:noProof/>
          <w:lang w:val="en-AU" w:eastAsia="en-AU" w:bidi="lo-LA"/>
        </w:rPr>
        <w:t>ational capacity building</w:t>
      </w:r>
      <w:r w:rsidRPr="00C26AC2">
        <w:rPr>
          <w:noProof/>
          <w:lang w:val="en-AU" w:eastAsia="en-AU" w:bidi="lo-LA"/>
        </w:rPr>
        <w:t xml:space="preserve">.  Phase II </w:t>
      </w:r>
      <w:r>
        <w:rPr>
          <w:noProof/>
          <w:lang w:val="en-AU" w:eastAsia="en-AU" w:bidi="lo-LA"/>
        </w:rPr>
        <w:t xml:space="preserve">also </w:t>
      </w:r>
      <w:r w:rsidRPr="00C26AC2">
        <w:rPr>
          <w:noProof/>
          <w:lang w:val="en-AU" w:eastAsia="en-AU" w:bidi="lo-LA"/>
        </w:rPr>
        <w:t xml:space="preserve">positions LAI to better support and influence the Lao Government’s analysis and policy-making through an annual Human Resource Development Dialogue and </w:t>
      </w:r>
      <w:r>
        <w:rPr>
          <w:noProof/>
          <w:lang w:val="en-AU" w:eastAsia="en-AU" w:bidi="lo-LA"/>
        </w:rPr>
        <w:t xml:space="preserve">targeted </w:t>
      </w:r>
      <w:r w:rsidR="004A4D72">
        <w:rPr>
          <w:noProof/>
          <w:lang w:val="en-AU" w:eastAsia="en-AU" w:bidi="lo-LA"/>
        </w:rPr>
        <w:t>technical assistance</w:t>
      </w:r>
      <w:r w:rsidRPr="00C26AC2">
        <w:rPr>
          <w:noProof/>
          <w:lang w:val="en-AU" w:eastAsia="en-AU" w:bidi="lo-LA"/>
        </w:rPr>
        <w:t xml:space="preserve"> </w:t>
      </w:r>
      <w:r>
        <w:rPr>
          <w:noProof/>
          <w:lang w:val="en-AU" w:eastAsia="en-AU" w:bidi="lo-LA"/>
        </w:rPr>
        <w:t>to improve civil service management.</w:t>
      </w:r>
    </w:p>
    <w:p w:rsidR="00C16068" w:rsidRDefault="00C16068" w:rsidP="00C16068">
      <w:pPr>
        <w:rPr>
          <w:noProof/>
          <w:lang w:val="en-AU" w:eastAsia="en-AU" w:bidi="lo-LA"/>
        </w:rPr>
      </w:pPr>
      <w:r w:rsidRPr="00C26AC2">
        <w:rPr>
          <w:noProof/>
          <w:lang w:val="en-AU" w:eastAsia="en-AU" w:bidi="lo-LA"/>
        </w:rPr>
        <w:t xml:space="preserve">Progress against this </w:t>
      </w:r>
      <w:r w:rsidR="00C105F4">
        <w:rPr>
          <w:noProof/>
          <w:lang w:val="en-AU" w:eastAsia="en-AU" w:bidi="lo-LA"/>
        </w:rPr>
        <w:t>o</w:t>
      </w:r>
      <w:r w:rsidRPr="00C26AC2">
        <w:rPr>
          <w:noProof/>
          <w:lang w:val="en-AU" w:eastAsia="en-AU" w:bidi="lo-LA"/>
        </w:rPr>
        <w:t>bjective is rated green</w:t>
      </w:r>
      <w:r w:rsidR="00831AD0">
        <w:rPr>
          <w:noProof/>
          <w:lang w:val="en-AU" w:eastAsia="en-AU" w:bidi="lo-LA"/>
        </w:rPr>
        <w:t>, with our main investment</w:t>
      </w:r>
      <w:r w:rsidRPr="00C26AC2">
        <w:rPr>
          <w:noProof/>
          <w:lang w:val="en-AU" w:eastAsia="en-AU" w:bidi="lo-LA"/>
        </w:rPr>
        <w:t xml:space="preserve"> LAI delivering strong results against the </w:t>
      </w:r>
      <w:r w:rsidR="005B5C5A">
        <w:rPr>
          <w:noProof/>
          <w:lang w:val="en-AU" w:eastAsia="en-AU" w:bidi="lo-LA"/>
        </w:rPr>
        <w:t>Performance Benchmarks</w:t>
      </w:r>
      <w:r w:rsidR="005E1F83">
        <w:rPr>
          <w:noProof/>
          <w:lang w:val="en-AU" w:eastAsia="en-AU" w:bidi="lo-LA"/>
        </w:rPr>
        <w:t>. D</w:t>
      </w:r>
      <w:r>
        <w:rPr>
          <w:noProof/>
          <w:lang w:val="en-AU" w:eastAsia="en-AU" w:bidi="lo-LA"/>
        </w:rPr>
        <w:t>uring the reporting period</w:t>
      </w:r>
      <w:r w:rsidR="005E1F83">
        <w:rPr>
          <w:noProof/>
          <w:lang w:val="en-AU" w:eastAsia="en-AU" w:bidi="lo-LA"/>
        </w:rPr>
        <w:t>,</w:t>
      </w:r>
      <w:r>
        <w:rPr>
          <w:noProof/>
          <w:lang w:val="en-AU" w:eastAsia="en-AU" w:bidi="lo-LA"/>
        </w:rPr>
        <w:t xml:space="preserve"> LAI successfully managed the 2017 Australia Awards and Laos Australia National Scholarships (LANS) selection and </w:t>
      </w:r>
      <w:r w:rsidRPr="0026176B">
        <w:rPr>
          <w:noProof/>
          <w:lang w:val="en-AU" w:eastAsia="en-AU" w:bidi="lo-LA"/>
        </w:rPr>
        <w:t xml:space="preserve">mobilisation processes, launched a Women’s Leadership Program </w:t>
      </w:r>
      <w:r w:rsidR="00E5695E" w:rsidRPr="0026176B">
        <w:rPr>
          <w:noProof/>
          <w:lang w:val="en-AU" w:eastAsia="en-AU" w:bidi="lo-LA"/>
        </w:rPr>
        <w:t xml:space="preserve">(through a Gender Equality Fund award) </w:t>
      </w:r>
      <w:r w:rsidRPr="0026176B">
        <w:rPr>
          <w:noProof/>
          <w:lang w:val="en-AU" w:eastAsia="en-AU" w:bidi="lo-LA"/>
        </w:rPr>
        <w:t>and a Disability</w:t>
      </w:r>
      <w:r w:rsidR="00A63E1B">
        <w:rPr>
          <w:noProof/>
          <w:lang w:val="en-AU" w:eastAsia="en-AU" w:bidi="lo-LA"/>
        </w:rPr>
        <w:t xml:space="preserve"> Inclusive Development activity</w:t>
      </w:r>
      <w:r w:rsidRPr="0026176B">
        <w:rPr>
          <w:noProof/>
          <w:lang w:val="en-AU" w:eastAsia="en-AU" w:bidi="lo-LA"/>
        </w:rPr>
        <w:t xml:space="preserve">. </w:t>
      </w:r>
      <w:r w:rsidR="008A1FFB" w:rsidRPr="0026176B">
        <w:rPr>
          <w:noProof/>
          <w:lang w:val="en-AU" w:eastAsia="en-AU" w:bidi="lo-LA"/>
        </w:rPr>
        <w:t>At a high</w:t>
      </w:r>
      <w:r w:rsidR="00DC19C3">
        <w:rPr>
          <w:noProof/>
          <w:lang w:val="en-AU" w:eastAsia="en-AU" w:bidi="lo-LA"/>
        </w:rPr>
        <w:t>-</w:t>
      </w:r>
      <w:r w:rsidR="008A1FFB" w:rsidRPr="0026176B">
        <w:rPr>
          <w:noProof/>
          <w:lang w:val="en-AU" w:eastAsia="en-AU" w:bidi="lo-LA"/>
        </w:rPr>
        <w:t>profile scholarships ceremony in September 2016, Prime Minister Malcolm Turnbull handed out</w:t>
      </w:r>
      <w:r w:rsidR="0026176B" w:rsidRPr="0026176B">
        <w:rPr>
          <w:noProof/>
          <w:lang w:val="en-AU" w:eastAsia="en-AU" w:bidi="lo-LA"/>
        </w:rPr>
        <w:t xml:space="preserve"> 32 Australia Awards, including </w:t>
      </w:r>
      <w:r w:rsidR="00831AD0">
        <w:rPr>
          <w:noProof/>
          <w:lang w:val="en-AU" w:eastAsia="en-AU" w:bidi="lo-LA"/>
        </w:rPr>
        <w:t xml:space="preserve">to </w:t>
      </w:r>
      <w:r w:rsidR="0026176B" w:rsidRPr="0026176B">
        <w:rPr>
          <w:noProof/>
          <w:lang w:val="en-AU" w:eastAsia="en-AU" w:bidi="lo-LA"/>
        </w:rPr>
        <w:t>22 female</w:t>
      </w:r>
      <w:r w:rsidR="008A1FFB" w:rsidRPr="0026176B">
        <w:rPr>
          <w:noProof/>
          <w:lang w:val="en-AU" w:eastAsia="en-AU" w:bidi="lo-LA"/>
        </w:rPr>
        <w:t xml:space="preserve"> </w:t>
      </w:r>
      <w:r w:rsidR="0026176B" w:rsidRPr="0026176B">
        <w:rPr>
          <w:noProof/>
          <w:lang w:val="en-AU" w:eastAsia="en-AU" w:bidi="lo-LA"/>
        </w:rPr>
        <w:t xml:space="preserve">recipients (surpassing the 50 per cent target). </w:t>
      </w:r>
      <w:r w:rsidR="004222BC">
        <w:rPr>
          <w:noProof/>
          <w:lang w:val="en-AU" w:eastAsia="en-AU" w:bidi="lo-LA"/>
        </w:rPr>
        <w:t>The awardees selected are all studying in areas considered crucial to Laos’ socio</w:t>
      </w:r>
      <w:r w:rsidR="00DC19C3">
        <w:rPr>
          <w:noProof/>
          <w:lang w:val="en-AU" w:eastAsia="en-AU" w:bidi="lo-LA"/>
        </w:rPr>
        <w:t>-</w:t>
      </w:r>
      <w:r w:rsidR="004222BC">
        <w:rPr>
          <w:noProof/>
          <w:lang w:val="en-AU" w:eastAsia="en-AU" w:bidi="lo-LA"/>
        </w:rPr>
        <w:t xml:space="preserve">economic development, including trade and private sector development in line with the AIP. </w:t>
      </w:r>
      <w:r w:rsidR="0026176B" w:rsidRPr="0026176B">
        <w:rPr>
          <w:noProof/>
          <w:lang w:val="en-AU" w:eastAsia="en-AU" w:bidi="lo-LA"/>
        </w:rPr>
        <w:t>Of the 70 LANS recipients</w:t>
      </w:r>
      <w:r w:rsidR="00831AD0">
        <w:rPr>
          <w:noProof/>
          <w:lang w:val="en-AU" w:eastAsia="en-AU" w:bidi="lo-LA"/>
        </w:rPr>
        <w:t xml:space="preserve"> in 2016</w:t>
      </w:r>
      <w:r w:rsidR="0026176B" w:rsidRPr="0026176B">
        <w:rPr>
          <w:noProof/>
          <w:lang w:val="en-AU" w:eastAsia="en-AU" w:bidi="lo-LA"/>
        </w:rPr>
        <w:t xml:space="preserve">, 39 were female (meeting the 50 per cent target) and three had a disability. </w:t>
      </w:r>
      <w:r w:rsidRPr="0026176B">
        <w:rPr>
          <w:noProof/>
          <w:lang w:val="en-AU" w:eastAsia="en-AU" w:bidi="lo-LA"/>
        </w:rPr>
        <w:t>A total of 9</w:t>
      </w:r>
      <w:r w:rsidR="004222BC">
        <w:rPr>
          <w:noProof/>
          <w:lang w:val="en-AU" w:eastAsia="en-AU" w:bidi="lo-LA"/>
        </w:rPr>
        <w:t>6</w:t>
      </w:r>
      <w:r w:rsidRPr="0026176B">
        <w:rPr>
          <w:noProof/>
          <w:lang w:val="en-AU" w:eastAsia="en-AU" w:bidi="lo-LA"/>
        </w:rPr>
        <w:t xml:space="preserve"> per</w:t>
      </w:r>
      <w:r w:rsidRPr="008A1FFB">
        <w:rPr>
          <w:noProof/>
          <w:lang w:val="en-AU" w:eastAsia="en-AU" w:bidi="lo-LA"/>
        </w:rPr>
        <w:t xml:space="preserve"> cent of Australia Awards students successully graduated (exceeding the </w:t>
      </w:r>
      <w:r w:rsidR="006D446A" w:rsidRPr="008A1FFB">
        <w:rPr>
          <w:noProof/>
          <w:lang w:val="en-AU" w:eastAsia="en-AU" w:bidi="lo-LA"/>
        </w:rPr>
        <w:t xml:space="preserve">Performance Benchmark </w:t>
      </w:r>
      <w:r w:rsidRPr="008A1FFB">
        <w:rPr>
          <w:noProof/>
          <w:lang w:val="en-AU" w:eastAsia="en-AU" w:bidi="lo-LA"/>
        </w:rPr>
        <w:t>of 85 per cent)</w:t>
      </w:r>
      <w:r w:rsidR="00DC19C3">
        <w:rPr>
          <w:noProof/>
          <w:lang w:val="en-AU" w:eastAsia="en-AU" w:bidi="lo-LA"/>
        </w:rPr>
        <w:t>,</w:t>
      </w:r>
      <w:r w:rsidRPr="008A1FFB">
        <w:rPr>
          <w:noProof/>
          <w:lang w:val="en-AU" w:eastAsia="en-AU" w:bidi="lo-LA"/>
        </w:rPr>
        <w:t xml:space="preserve"> and </w:t>
      </w:r>
      <w:r w:rsidR="004A4D72" w:rsidRPr="008A1FFB">
        <w:rPr>
          <w:noProof/>
          <w:lang w:val="en-AU" w:eastAsia="en-AU" w:bidi="lo-LA"/>
        </w:rPr>
        <w:t>all</w:t>
      </w:r>
      <w:r w:rsidRPr="008A1FFB">
        <w:rPr>
          <w:noProof/>
          <w:lang w:val="en-AU" w:eastAsia="en-AU" w:bidi="lo-LA"/>
        </w:rPr>
        <w:t xml:space="preserve"> </w:t>
      </w:r>
      <w:r w:rsidR="004A4D72" w:rsidRPr="008A1FFB">
        <w:rPr>
          <w:noProof/>
          <w:lang w:val="en-AU" w:eastAsia="en-AU" w:bidi="lo-LA"/>
        </w:rPr>
        <w:t>LANS</w:t>
      </w:r>
      <w:r w:rsidRPr="008A1FFB">
        <w:rPr>
          <w:noProof/>
          <w:lang w:val="en-AU" w:eastAsia="en-AU" w:bidi="lo-LA"/>
        </w:rPr>
        <w:t xml:space="preserve"> recipients are on track to complete their studies (exceeding the </w:t>
      </w:r>
      <w:r w:rsidR="006D446A" w:rsidRPr="008A1FFB">
        <w:rPr>
          <w:noProof/>
          <w:lang w:val="en-AU" w:eastAsia="en-AU" w:bidi="lo-LA"/>
        </w:rPr>
        <w:t xml:space="preserve">Performance Benchmark </w:t>
      </w:r>
      <w:r w:rsidRPr="008A1FFB">
        <w:rPr>
          <w:noProof/>
          <w:lang w:val="en-AU" w:eastAsia="en-AU" w:bidi="lo-LA"/>
        </w:rPr>
        <w:t>of 85 per cent). LAI</w:t>
      </w:r>
      <w:r w:rsidR="00C105F4" w:rsidRPr="008A1FFB">
        <w:rPr>
          <w:noProof/>
          <w:lang w:val="en-AU" w:eastAsia="en-AU" w:bidi="lo-LA"/>
        </w:rPr>
        <w:t xml:space="preserve"> also</w:t>
      </w:r>
      <w:r w:rsidRPr="008A1FFB">
        <w:rPr>
          <w:noProof/>
          <w:lang w:val="en-AU" w:eastAsia="en-AU" w:bidi="lo-LA"/>
        </w:rPr>
        <w:t xml:space="preserve"> commenced a new program of Competency Based Training to improve human resource practices in the Ministries of Home Affairs an</w:t>
      </w:r>
      <w:r>
        <w:rPr>
          <w:noProof/>
          <w:lang w:val="en-AU" w:eastAsia="en-AU" w:bidi="lo-LA"/>
        </w:rPr>
        <w:t>d Education and Sports</w:t>
      </w:r>
      <w:r w:rsidR="00DC19C3">
        <w:rPr>
          <w:noProof/>
          <w:lang w:val="en-AU" w:eastAsia="en-AU" w:bidi="lo-LA"/>
        </w:rPr>
        <w:t>,</w:t>
      </w:r>
      <w:r w:rsidR="00C105F4">
        <w:rPr>
          <w:noProof/>
          <w:lang w:val="en-AU" w:eastAsia="en-AU" w:bidi="lo-LA"/>
        </w:rPr>
        <w:t xml:space="preserve"> </w:t>
      </w:r>
      <w:r>
        <w:rPr>
          <w:noProof/>
          <w:lang w:val="en-AU" w:eastAsia="en-AU" w:bidi="lo-LA"/>
        </w:rPr>
        <w:t xml:space="preserve">and provided English Language training </w:t>
      </w:r>
      <w:r w:rsidR="005E1F83">
        <w:rPr>
          <w:noProof/>
          <w:lang w:val="en-AU" w:eastAsia="en-AU" w:bidi="lo-LA"/>
        </w:rPr>
        <w:t>to 16 Lao Government officials</w:t>
      </w:r>
      <w:r w:rsidR="008A1FFB">
        <w:rPr>
          <w:noProof/>
          <w:lang w:val="en-AU" w:eastAsia="en-AU" w:bidi="lo-LA"/>
        </w:rPr>
        <w:t xml:space="preserve"> and a representative from the Lao Disabled People’s Assocation</w:t>
      </w:r>
      <w:r w:rsidR="005E1F83">
        <w:rPr>
          <w:noProof/>
          <w:lang w:val="en-AU" w:eastAsia="en-AU" w:bidi="lo-LA"/>
        </w:rPr>
        <w:t>.</w:t>
      </w:r>
    </w:p>
    <w:p w:rsidR="00C16068" w:rsidRDefault="004A4D72" w:rsidP="00C16068">
      <w:pPr>
        <w:rPr>
          <w:noProof/>
          <w:lang w:val="en-AU" w:eastAsia="en-AU" w:bidi="lo-LA"/>
        </w:rPr>
      </w:pPr>
      <w:r>
        <w:rPr>
          <w:noProof/>
          <w:lang w:val="en-AU" w:eastAsia="en-AU" w:bidi="lo-LA"/>
        </w:rPr>
        <w:t xml:space="preserve">During the reporting period, </w:t>
      </w:r>
      <w:r w:rsidR="00C16068" w:rsidRPr="00DB5CE0">
        <w:rPr>
          <w:noProof/>
          <w:lang w:val="en-AU" w:eastAsia="en-AU" w:bidi="lo-LA"/>
        </w:rPr>
        <w:t>LAI</w:t>
      </w:r>
      <w:r>
        <w:rPr>
          <w:noProof/>
          <w:lang w:val="en-AU" w:eastAsia="en-AU" w:bidi="lo-LA"/>
        </w:rPr>
        <w:t xml:space="preserve"> </w:t>
      </w:r>
      <w:r w:rsidR="00CE07A9">
        <w:rPr>
          <w:noProof/>
          <w:lang w:val="en-AU" w:eastAsia="en-AU" w:bidi="lo-LA"/>
        </w:rPr>
        <w:t>implemented a range of activities to empower</w:t>
      </w:r>
      <w:r w:rsidR="00C16068">
        <w:rPr>
          <w:noProof/>
          <w:lang w:val="en-AU" w:eastAsia="en-AU" w:bidi="lo-LA"/>
        </w:rPr>
        <w:t xml:space="preserve"> women, people with disabilities, and </w:t>
      </w:r>
      <w:r>
        <w:rPr>
          <w:noProof/>
          <w:lang w:val="en-AU" w:eastAsia="en-AU" w:bidi="lo-LA"/>
        </w:rPr>
        <w:t>people</w:t>
      </w:r>
      <w:r w:rsidR="00C16068">
        <w:rPr>
          <w:noProof/>
          <w:lang w:val="en-AU" w:eastAsia="en-AU" w:bidi="lo-LA"/>
        </w:rPr>
        <w:t xml:space="preserve"> from disadvantaged </w:t>
      </w:r>
      <w:r>
        <w:rPr>
          <w:noProof/>
          <w:lang w:val="en-AU" w:eastAsia="en-AU" w:bidi="lo-LA"/>
        </w:rPr>
        <w:t>communities</w:t>
      </w:r>
      <w:r w:rsidR="00C16068">
        <w:rPr>
          <w:noProof/>
          <w:lang w:val="en-AU" w:eastAsia="en-AU" w:bidi="lo-LA"/>
        </w:rPr>
        <w:t xml:space="preserve">. </w:t>
      </w:r>
      <w:r w:rsidR="00C16068" w:rsidRPr="00C26AC2">
        <w:rPr>
          <w:noProof/>
          <w:lang w:val="en-AU" w:eastAsia="en-AU" w:bidi="lo-LA"/>
        </w:rPr>
        <w:t xml:space="preserve">The entire 2016 LANS cohort came from </w:t>
      </w:r>
      <w:r>
        <w:rPr>
          <w:noProof/>
          <w:lang w:val="en-AU" w:eastAsia="en-AU" w:bidi="lo-LA"/>
        </w:rPr>
        <w:t xml:space="preserve">disadvantaged districts, with more than </w:t>
      </w:r>
      <w:r w:rsidR="00C16068" w:rsidRPr="00C26AC2">
        <w:rPr>
          <w:noProof/>
          <w:lang w:val="en-AU" w:eastAsia="en-AU" w:bidi="lo-LA"/>
        </w:rPr>
        <w:t>80 per cent</w:t>
      </w:r>
      <w:r>
        <w:rPr>
          <w:noProof/>
          <w:lang w:val="en-AU" w:eastAsia="en-AU" w:bidi="lo-LA"/>
        </w:rPr>
        <w:t xml:space="preserve"> of students from a minority ethnic group</w:t>
      </w:r>
      <w:r w:rsidR="00C16068" w:rsidRPr="00C26AC2">
        <w:rPr>
          <w:noProof/>
          <w:lang w:val="en-AU" w:eastAsia="en-AU" w:bidi="lo-LA"/>
        </w:rPr>
        <w:t>. However, female alumni continue to fall behind their male counterparts in car</w:t>
      </w:r>
      <w:r w:rsidR="00C16068">
        <w:rPr>
          <w:noProof/>
          <w:lang w:val="en-AU" w:eastAsia="en-AU" w:bidi="lo-LA"/>
        </w:rPr>
        <w:t>eer progression.</w:t>
      </w:r>
      <w:r w:rsidR="004E621A">
        <w:rPr>
          <w:rStyle w:val="FootnoteReference"/>
          <w:noProof/>
          <w:lang w:val="en-AU" w:eastAsia="en-AU" w:bidi="lo-LA"/>
        </w:rPr>
        <w:footnoteReference w:id="12"/>
      </w:r>
      <w:r w:rsidR="00C16068">
        <w:rPr>
          <w:noProof/>
          <w:lang w:val="en-AU" w:eastAsia="en-AU" w:bidi="lo-LA"/>
        </w:rPr>
        <w:t xml:space="preserve"> In response, </w:t>
      </w:r>
      <w:r w:rsidR="008A1FFB" w:rsidRPr="008A1FFB">
        <w:rPr>
          <w:noProof/>
          <w:lang w:val="en-AU" w:eastAsia="en-AU" w:bidi="lo-LA"/>
        </w:rPr>
        <w:t xml:space="preserve">through the </w:t>
      </w:r>
      <w:r w:rsidR="004222BC">
        <w:rPr>
          <w:noProof/>
          <w:lang w:val="en-AU" w:eastAsia="en-AU" w:bidi="lo-LA"/>
        </w:rPr>
        <w:t xml:space="preserve">innovative </w:t>
      </w:r>
      <w:r w:rsidR="008A1FFB" w:rsidRPr="008A1FFB">
        <w:rPr>
          <w:noProof/>
          <w:lang w:val="en-AU" w:eastAsia="en-AU" w:bidi="lo-LA"/>
        </w:rPr>
        <w:t xml:space="preserve">Women’s Leadership Program, </w:t>
      </w:r>
      <w:r w:rsidR="008A1FFB">
        <w:rPr>
          <w:noProof/>
          <w:lang w:val="en-AU" w:eastAsia="en-AU" w:bidi="lo-LA"/>
        </w:rPr>
        <w:t xml:space="preserve">LAI </w:t>
      </w:r>
      <w:r w:rsidR="008A1FFB" w:rsidRPr="008A1FFB">
        <w:rPr>
          <w:noProof/>
          <w:lang w:val="en-AU" w:eastAsia="en-AU" w:bidi="lo-LA"/>
        </w:rPr>
        <w:t>is supporting</w:t>
      </w:r>
      <w:r w:rsidR="008A1FFB">
        <w:rPr>
          <w:noProof/>
          <w:lang w:val="en-AU" w:eastAsia="en-AU" w:bidi="lo-LA"/>
        </w:rPr>
        <w:t xml:space="preserve"> </w:t>
      </w:r>
      <w:r w:rsidR="008A1FFB" w:rsidRPr="008A1FFB">
        <w:rPr>
          <w:noProof/>
          <w:lang w:val="en-AU" w:eastAsia="en-AU" w:bidi="lo-LA"/>
        </w:rPr>
        <w:t>LANS graduates to be ‘work ready’, sponsoring executive development among returned Australia Awards alumni, and matching senior women alumni with younger LANS graduates as mentors</w:t>
      </w:r>
      <w:r w:rsidR="00C16068" w:rsidRPr="00C26AC2">
        <w:rPr>
          <w:noProof/>
          <w:lang w:val="en-AU" w:eastAsia="en-AU" w:bidi="lo-LA"/>
        </w:rPr>
        <w:t>.</w:t>
      </w:r>
      <w:r w:rsidR="00A83AC0">
        <w:rPr>
          <w:noProof/>
          <w:lang w:val="en-AU" w:eastAsia="en-AU" w:bidi="lo-LA"/>
        </w:rPr>
        <w:t xml:space="preserve"> </w:t>
      </w:r>
      <w:r w:rsidR="00A91CD8">
        <w:rPr>
          <w:noProof/>
          <w:lang w:val="en-AU" w:eastAsia="en-AU" w:bidi="lo-LA"/>
        </w:rPr>
        <w:t>W</w:t>
      </w:r>
      <w:r w:rsidR="009A6691">
        <w:rPr>
          <w:noProof/>
          <w:lang w:val="en-AU" w:eastAsia="en-AU" w:bidi="lo-LA"/>
        </w:rPr>
        <w:t>orking with the Ministry of Home Affairs</w:t>
      </w:r>
      <w:r w:rsidR="00A91CD8">
        <w:rPr>
          <w:noProof/>
          <w:lang w:val="en-AU" w:eastAsia="en-AU" w:bidi="lo-LA"/>
        </w:rPr>
        <w:t>, LAI provided technical assiatance</w:t>
      </w:r>
      <w:r w:rsidR="009A6691">
        <w:rPr>
          <w:noProof/>
          <w:lang w:val="en-AU" w:eastAsia="en-AU" w:bidi="lo-LA"/>
        </w:rPr>
        <w:t xml:space="preserve"> to improve public sector policies on performance management, promotion and training, which will reduce barriers for women to progress their care</w:t>
      </w:r>
      <w:r w:rsidR="00DC19C3">
        <w:rPr>
          <w:noProof/>
          <w:lang w:val="en-AU" w:eastAsia="en-AU" w:bidi="lo-LA"/>
        </w:rPr>
        <w:t>e</w:t>
      </w:r>
      <w:r w:rsidR="009A6691">
        <w:rPr>
          <w:noProof/>
          <w:lang w:val="en-AU" w:eastAsia="en-AU" w:bidi="lo-LA"/>
        </w:rPr>
        <w:t>rs</w:t>
      </w:r>
      <w:r w:rsidR="00DC19C3">
        <w:rPr>
          <w:noProof/>
          <w:lang w:val="en-AU" w:eastAsia="en-AU" w:bidi="lo-LA"/>
        </w:rPr>
        <w:t>,</w:t>
      </w:r>
      <w:r w:rsidR="009A6691">
        <w:rPr>
          <w:noProof/>
          <w:lang w:val="en-AU" w:eastAsia="en-AU" w:bidi="lo-LA"/>
        </w:rPr>
        <w:t xml:space="preserve"> and fully utilise their skills and experience.</w:t>
      </w:r>
    </w:p>
    <w:p w:rsidR="00C16068" w:rsidRDefault="006E0BDA" w:rsidP="000C0421">
      <w:pPr>
        <w:spacing w:after="240"/>
        <w:rPr>
          <w:noProof/>
          <w:lang w:val="en-AU" w:eastAsia="en-AU" w:bidi="lo-LA"/>
        </w:rPr>
      </w:pPr>
      <w:r>
        <w:rPr>
          <w:noProof/>
          <w:lang w:val="en-AU" w:eastAsia="en-AU" w:bidi="lo-LA"/>
        </w:rPr>
        <w:t xml:space="preserve">LAI experienced </w:t>
      </w:r>
      <w:r w:rsidR="00C105F4" w:rsidRPr="00C26AC2">
        <w:rPr>
          <w:noProof/>
          <w:lang w:val="en-AU" w:eastAsia="en-AU" w:bidi="lo-LA"/>
        </w:rPr>
        <w:t xml:space="preserve">challenges in component design and monitoring and evaluation </w:t>
      </w:r>
      <w:r w:rsidR="00CE07A9">
        <w:rPr>
          <w:noProof/>
          <w:lang w:val="en-AU" w:eastAsia="en-AU" w:bidi="lo-LA"/>
        </w:rPr>
        <w:t>during the reporting period.</w:t>
      </w:r>
      <w:r w:rsidR="00C16068">
        <w:rPr>
          <w:noProof/>
          <w:lang w:val="en-AU" w:eastAsia="en-AU" w:bidi="lo-LA"/>
        </w:rPr>
        <w:t xml:space="preserve"> </w:t>
      </w:r>
      <w:r w:rsidR="00CE07A9">
        <w:rPr>
          <w:noProof/>
          <w:lang w:val="en-AU" w:eastAsia="en-AU" w:bidi="lo-LA"/>
        </w:rPr>
        <w:t>C</w:t>
      </w:r>
      <w:r w:rsidR="00C16068" w:rsidRPr="00C26AC2">
        <w:rPr>
          <w:noProof/>
          <w:lang w:val="en-AU" w:eastAsia="en-AU" w:bidi="lo-LA"/>
        </w:rPr>
        <w:t>ompletion and implementation of a re-design for the LANS program was delayed due to resourcing issues</w:t>
      </w:r>
      <w:r w:rsidR="00DC19C3">
        <w:rPr>
          <w:noProof/>
          <w:lang w:val="en-AU" w:eastAsia="en-AU" w:bidi="lo-LA"/>
        </w:rPr>
        <w:t>. A</w:t>
      </w:r>
      <w:r w:rsidR="00C16068" w:rsidRPr="00C26AC2">
        <w:rPr>
          <w:noProof/>
          <w:lang w:val="en-AU" w:eastAsia="en-AU" w:bidi="lo-LA"/>
        </w:rPr>
        <w:t>s a re</w:t>
      </w:r>
      <w:r w:rsidR="00CE07A9">
        <w:rPr>
          <w:noProof/>
          <w:lang w:val="en-AU" w:eastAsia="en-AU" w:bidi="lo-LA"/>
        </w:rPr>
        <w:t xml:space="preserve">sult, some of the recommendedations </w:t>
      </w:r>
      <w:r w:rsidR="00C16068" w:rsidRPr="00C26AC2">
        <w:rPr>
          <w:noProof/>
          <w:lang w:val="en-AU" w:eastAsia="en-AU" w:bidi="lo-LA"/>
        </w:rPr>
        <w:t xml:space="preserve">(such </w:t>
      </w:r>
      <w:r w:rsidR="002848BF">
        <w:rPr>
          <w:noProof/>
          <w:lang w:val="en-AU" w:eastAsia="en-AU" w:bidi="lo-LA"/>
        </w:rPr>
        <w:t>as udpates to the Academic Supp</w:t>
      </w:r>
      <w:r w:rsidR="00C16068" w:rsidRPr="00C26AC2">
        <w:rPr>
          <w:noProof/>
          <w:lang w:val="en-AU" w:eastAsia="en-AU" w:bidi="lo-LA"/>
        </w:rPr>
        <w:t>o</w:t>
      </w:r>
      <w:r w:rsidR="002848BF">
        <w:rPr>
          <w:noProof/>
          <w:lang w:val="en-AU" w:eastAsia="en-AU" w:bidi="lo-LA"/>
        </w:rPr>
        <w:t>r</w:t>
      </w:r>
      <w:r w:rsidR="00C16068" w:rsidRPr="00C26AC2">
        <w:rPr>
          <w:noProof/>
          <w:lang w:val="en-AU" w:eastAsia="en-AU" w:bidi="lo-LA"/>
        </w:rPr>
        <w:t>t Program) were not implemented in time for the 2017 cohort</w:t>
      </w:r>
      <w:r w:rsidR="004222BC">
        <w:rPr>
          <w:noProof/>
          <w:lang w:val="en-AU" w:eastAsia="en-AU" w:bidi="lo-LA"/>
        </w:rPr>
        <w:t>’s first year</w:t>
      </w:r>
      <w:r w:rsidR="00C16068" w:rsidRPr="00C26AC2">
        <w:rPr>
          <w:noProof/>
          <w:lang w:val="en-AU" w:eastAsia="en-AU" w:bidi="lo-LA"/>
        </w:rPr>
        <w:t xml:space="preserve">. Monitoring and evaluation (M&amp;E) was another challenge for the program, with improvement required for outcome-level reporting. These shortcomings </w:t>
      </w:r>
      <w:r w:rsidR="00F1470B">
        <w:rPr>
          <w:noProof/>
          <w:lang w:val="en-AU" w:eastAsia="en-AU" w:bidi="lo-LA"/>
        </w:rPr>
        <w:t xml:space="preserve">are </w:t>
      </w:r>
      <w:r w:rsidR="00F1470B">
        <w:rPr>
          <w:noProof/>
          <w:lang w:val="en-AU" w:eastAsia="en-AU" w:bidi="lo-LA"/>
        </w:rPr>
        <w:lastRenderedPageBreak/>
        <w:t xml:space="preserve">being addressed through </w:t>
      </w:r>
      <w:r w:rsidR="00EA340D">
        <w:rPr>
          <w:noProof/>
          <w:lang w:val="en-AU" w:eastAsia="en-AU" w:bidi="lo-LA"/>
        </w:rPr>
        <w:t xml:space="preserve">the </w:t>
      </w:r>
      <w:r w:rsidR="00C16068" w:rsidRPr="00C26AC2">
        <w:rPr>
          <w:noProof/>
          <w:lang w:val="en-AU" w:eastAsia="en-AU" w:bidi="lo-LA"/>
        </w:rPr>
        <w:t>develop</w:t>
      </w:r>
      <w:r w:rsidR="00EA340D">
        <w:rPr>
          <w:noProof/>
          <w:lang w:val="en-AU" w:eastAsia="en-AU" w:bidi="lo-LA"/>
        </w:rPr>
        <w:t>ment of the Phase II M&amp;E system, with new outcome</w:t>
      </w:r>
      <w:r w:rsidR="00DC19C3">
        <w:rPr>
          <w:noProof/>
          <w:lang w:val="en-AU" w:eastAsia="en-AU" w:bidi="lo-LA"/>
        </w:rPr>
        <w:t>-</w:t>
      </w:r>
      <w:r w:rsidR="00EA340D">
        <w:rPr>
          <w:noProof/>
          <w:lang w:val="en-AU" w:eastAsia="en-AU" w:bidi="lo-LA"/>
        </w:rPr>
        <w:t>level Performan</w:t>
      </w:r>
      <w:r w:rsidR="00DC19C3">
        <w:rPr>
          <w:noProof/>
          <w:lang w:val="en-AU" w:eastAsia="en-AU" w:bidi="lo-LA"/>
        </w:rPr>
        <w:t>c</w:t>
      </w:r>
      <w:r w:rsidR="00EA340D">
        <w:rPr>
          <w:noProof/>
          <w:lang w:val="en-AU" w:eastAsia="en-AU" w:bidi="lo-LA"/>
        </w:rPr>
        <w:t>e Benchmarks identified for 2017</w:t>
      </w:r>
      <w:r w:rsidR="00EA340D">
        <w:rPr>
          <w:noProof/>
          <w:lang w:val="en-AU" w:eastAsia="en-AU" w:bidi="lo-LA"/>
        </w:rPr>
        <w:noBreakHyphen/>
        <w:t>18.</w:t>
      </w:r>
    </w:p>
    <w:p w:rsidR="00D17802" w:rsidRDefault="00D17802" w:rsidP="000C0421">
      <w:pPr>
        <w:spacing w:after="240"/>
        <w:rPr>
          <w:noProof/>
          <w:lang w:val="en-AU" w:eastAsia="en-AU" w:bidi="lo-LA"/>
        </w:rPr>
      </w:pPr>
      <w:r w:rsidRPr="00D17802">
        <w:rPr>
          <w:b/>
          <w:spacing w:val="-2"/>
          <w:sz w:val="24"/>
          <w:szCs w:val="24"/>
          <w:lang w:val="en-AU"/>
        </w:rPr>
        <w:t>Objective</w:t>
      </w:r>
      <w:r>
        <w:rPr>
          <w:b/>
          <w:spacing w:val="-2"/>
          <w:sz w:val="24"/>
          <w:szCs w:val="24"/>
          <w:lang w:val="en-AU"/>
        </w:rPr>
        <w:t xml:space="preserve"> 3: </w:t>
      </w:r>
      <w:r w:rsidRPr="000B12B6">
        <w:rPr>
          <w:b/>
          <w:sz w:val="24"/>
          <w:szCs w:val="24"/>
          <w:lang w:val="en-AU"/>
        </w:rPr>
        <w:t>A stronger trade regime and more competitive private sector</w:t>
      </w:r>
    </w:p>
    <w:p w:rsidR="00DF018F" w:rsidRPr="000B12B6" w:rsidRDefault="00D17802" w:rsidP="00DF018F">
      <w:pPr>
        <w:rPr>
          <w:b/>
          <w:sz w:val="24"/>
          <w:szCs w:val="24"/>
          <w:lang w:val="en-AU"/>
        </w:rPr>
      </w:pPr>
      <w:r>
        <w:rPr>
          <w:b/>
          <w:lang w:val="en-AU"/>
        </w:rPr>
        <w:t xml:space="preserve"> </w:t>
      </w:r>
      <w:r>
        <w:rPr>
          <w:rFonts w:ascii="Franklin Gothic Book" w:eastAsia="Times New Roman" w:hAnsi="Franklin Gothic Book" w:cs="Times New Roman"/>
          <w:noProof/>
          <w:color w:val="auto"/>
          <w:sz w:val="21"/>
          <w:szCs w:val="24"/>
          <w:lang w:val="en-AU" w:eastAsia="en-AU"/>
        </w:rPr>
        <w:drawing>
          <wp:inline distT="0" distB="0" distL="0" distR="0" wp14:anchorId="02630AEF" wp14:editId="2CA71E5C">
            <wp:extent cx="1139825" cy="719455"/>
            <wp:effectExtent l="0" t="0" r="317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9825" cy="719455"/>
                    </a:xfrm>
                    <a:prstGeom prst="rect">
                      <a:avLst/>
                    </a:prstGeom>
                    <a:noFill/>
                  </pic:spPr>
                </pic:pic>
              </a:graphicData>
            </a:graphic>
          </wp:inline>
        </w:drawing>
      </w:r>
      <w:r>
        <w:rPr>
          <w:b/>
          <w:lang w:val="en-AU"/>
        </w:rPr>
        <w:t xml:space="preserve"> </w:t>
      </w:r>
      <w:r w:rsidR="00DF018F">
        <w:rPr>
          <w:b/>
          <w:lang w:val="en-AU"/>
        </w:rPr>
        <w:t xml:space="preserve"> </w:t>
      </w:r>
      <w:r w:rsidR="00743BD4">
        <w:rPr>
          <w:noProof/>
          <w:lang w:val="en-AU" w:eastAsia="en-AU"/>
        </w:rPr>
        <w:drawing>
          <wp:inline distT="0" distB="0" distL="0" distR="0" wp14:anchorId="16F4D1A7" wp14:editId="491BB4EE">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DF018F">
        <w:rPr>
          <w:b/>
          <w:lang w:val="en-AU"/>
        </w:rPr>
        <w:t xml:space="preserve"> </w:t>
      </w:r>
      <w:r w:rsidR="00934882">
        <w:rPr>
          <w:noProof/>
          <w:lang w:val="en-AU" w:eastAsia="en-AU"/>
        </w:rPr>
        <w:drawing>
          <wp:inline distT="0" distB="0" distL="0" distR="0" wp14:anchorId="37BA921F" wp14:editId="0B8482A9">
            <wp:extent cx="609600" cy="609600"/>
            <wp:effectExtent l="0" t="0" r="0" b="0"/>
            <wp:docPr id="44" name="Picture 44"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934882">
        <w:rPr>
          <w:noProof/>
          <w:lang w:val="en-AU" w:eastAsia="en-AU"/>
        </w:rPr>
        <w:t xml:space="preserve"> </w:t>
      </w:r>
      <w:r w:rsidR="00474483">
        <w:rPr>
          <w:noProof/>
          <w:lang w:val="en-AU" w:eastAsia="en-AU"/>
        </w:rPr>
        <w:drawing>
          <wp:inline distT="0" distB="0" distL="0" distR="0" wp14:anchorId="6366B62C" wp14:editId="76679674">
            <wp:extent cx="612396" cy="612396"/>
            <wp:effectExtent l="0" t="0" r="0" b="0"/>
            <wp:docPr id="5" name="Picture 5" descr="C:\Users\anzurbru\AppData\Local\Microsoft\Windows\Temporary Internet Files\Content.Outlook\60HPXBZN\sdg-0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zurbru\AppData\Local\Microsoft\Windows\Temporary Internet Files\Content.Outlook\60HPXBZN\sdg-09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396" cy="612396"/>
                    </a:xfrm>
                    <a:prstGeom prst="rect">
                      <a:avLst/>
                    </a:prstGeom>
                    <a:noFill/>
                    <a:ln>
                      <a:noFill/>
                    </a:ln>
                  </pic:spPr>
                </pic:pic>
              </a:graphicData>
            </a:graphic>
          </wp:inline>
        </w:drawing>
      </w:r>
      <w:r w:rsidR="0067053A">
        <w:rPr>
          <w:b/>
          <w:lang w:val="en-AU"/>
        </w:rPr>
        <w:t xml:space="preserve"> </w:t>
      </w:r>
    </w:p>
    <w:p w:rsidR="00171A4F" w:rsidRPr="0050079E" w:rsidRDefault="000A6C9A" w:rsidP="00D17802">
      <w:pPr>
        <w:spacing w:before="240" w:line="240" w:lineRule="auto"/>
        <w:rPr>
          <w:rFonts w:eastAsia="Times New Roman"/>
        </w:rPr>
      </w:pPr>
      <w:r w:rsidRPr="0050079E">
        <w:rPr>
          <w:rFonts w:eastAsia="Times New Roman"/>
        </w:rPr>
        <w:t>Laos has enjoyed high GDP growth over the last decade (</w:t>
      </w:r>
      <w:r w:rsidR="0057148D">
        <w:rPr>
          <w:rFonts w:eastAsia="Times New Roman"/>
        </w:rPr>
        <w:t xml:space="preserve">averaging around </w:t>
      </w:r>
      <w:r w:rsidR="00C66EB3">
        <w:rPr>
          <w:rFonts w:eastAsia="Times New Roman"/>
        </w:rPr>
        <w:t>7</w:t>
      </w:r>
      <w:r w:rsidR="0057148D">
        <w:rPr>
          <w:rFonts w:eastAsia="Times New Roman"/>
        </w:rPr>
        <w:t xml:space="preserve"> per cent)</w:t>
      </w:r>
      <w:r w:rsidRPr="0050079E">
        <w:rPr>
          <w:rFonts w:eastAsia="Times New Roman"/>
        </w:rPr>
        <w:t xml:space="preserve">, </w:t>
      </w:r>
      <w:r w:rsidR="0057148D">
        <w:rPr>
          <w:rFonts w:eastAsia="Times New Roman"/>
        </w:rPr>
        <w:t xml:space="preserve">but </w:t>
      </w:r>
      <w:r w:rsidR="00E01A8B">
        <w:rPr>
          <w:rFonts w:eastAsia="Times New Roman"/>
        </w:rPr>
        <w:t xml:space="preserve">more work is </w:t>
      </w:r>
      <w:r w:rsidR="00DC7E3D">
        <w:rPr>
          <w:rFonts w:eastAsia="Times New Roman"/>
        </w:rPr>
        <w:t>required</w:t>
      </w:r>
      <w:r w:rsidR="00E01A8B">
        <w:rPr>
          <w:rFonts w:eastAsia="Times New Roman"/>
        </w:rPr>
        <w:t xml:space="preserve"> to </w:t>
      </w:r>
      <w:r w:rsidRPr="0050079E">
        <w:rPr>
          <w:rFonts w:eastAsia="Times New Roman"/>
        </w:rPr>
        <w:t>ensur</w:t>
      </w:r>
      <w:r w:rsidR="00E01A8B">
        <w:rPr>
          <w:rFonts w:eastAsia="Times New Roman"/>
        </w:rPr>
        <w:t>e</w:t>
      </w:r>
      <w:r w:rsidR="00383458">
        <w:rPr>
          <w:rFonts w:eastAsia="Times New Roman"/>
        </w:rPr>
        <w:t xml:space="preserve"> Laos remains </w:t>
      </w:r>
      <w:r w:rsidRPr="0050079E">
        <w:rPr>
          <w:rFonts w:eastAsia="Times New Roman"/>
        </w:rPr>
        <w:t>competitive</w:t>
      </w:r>
      <w:r w:rsidR="00383458">
        <w:rPr>
          <w:rFonts w:eastAsia="Times New Roman"/>
        </w:rPr>
        <w:t xml:space="preserve"> within </w:t>
      </w:r>
      <w:r w:rsidR="00DC19C3">
        <w:rPr>
          <w:rFonts w:eastAsia="Times New Roman"/>
        </w:rPr>
        <w:t>a</w:t>
      </w:r>
      <w:r w:rsidR="00DC19C3" w:rsidRPr="0050079E">
        <w:rPr>
          <w:rFonts w:eastAsia="Times New Roman"/>
        </w:rPr>
        <w:t xml:space="preserve"> </w:t>
      </w:r>
      <w:r w:rsidRPr="0050079E">
        <w:rPr>
          <w:rFonts w:eastAsia="Times New Roman"/>
        </w:rPr>
        <w:t>dynamic and economically active region.</w:t>
      </w:r>
      <w:r w:rsidR="00DC7E3D">
        <w:rPr>
          <w:rFonts w:eastAsia="Times New Roman"/>
        </w:rPr>
        <w:t xml:space="preserve"> </w:t>
      </w:r>
      <w:r w:rsidR="00265F0D" w:rsidRPr="003B3103">
        <w:rPr>
          <w:rFonts w:eastAsia="Times New Roman"/>
        </w:rPr>
        <w:t>Australia</w:t>
      </w:r>
      <w:r w:rsidR="00265F0D" w:rsidRPr="0050079E">
        <w:rPr>
          <w:rFonts w:eastAsia="Times New Roman"/>
        </w:rPr>
        <w:t xml:space="preserve"> supports trade reform and inclusive growth </w:t>
      </w:r>
      <w:r w:rsidR="00CF1B26">
        <w:rPr>
          <w:rFonts w:eastAsia="Times New Roman"/>
        </w:rPr>
        <w:t xml:space="preserve">in Lao PDR </w:t>
      </w:r>
      <w:r w:rsidR="00265F0D" w:rsidRPr="0050079E">
        <w:rPr>
          <w:rFonts w:eastAsia="Times New Roman"/>
        </w:rPr>
        <w:t xml:space="preserve">through </w:t>
      </w:r>
      <w:r w:rsidR="00CF1B26">
        <w:rPr>
          <w:rFonts w:eastAsia="Times New Roman"/>
        </w:rPr>
        <w:t>the</w:t>
      </w:r>
      <w:r w:rsidR="00265F0D" w:rsidRPr="0050079E">
        <w:rPr>
          <w:rFonts w:eastAsia="Times New Roman"/>
        </w:rPr>
        <w:t xml:space="preserve"> World Bank managed multi-donor Trade Development Facility Phase 2 (TDF2). </w:t>
      </w:r>
      <w:r w:rsidRPr="0050079E">
        <w:rPr>
          <w:rFonts w:eastAsia="Times New Roman"/>
        </w:rPr>
        <w:t xml:space="preserve">TDF2 is a five-year program </w:t>
      </w:r>
      <w:r w:rsidR="00265F0D" w:rsidRPr="0050079E">
        <w:rPr>
          <w:rFonts w:eastAsia="Times New Roman"/>
        </w:rPr>
        <w:t>helping</w:t>
      </w:r>
      <w:r w:rsidRPr="0050079E">
        <w:rPr>
          <w:rFonts w:eastAsia="Times New Roman"/>
        </w:rPr>
        <w:t xml:space="preserve"> Lao</w:t>
      </w:r>
      <w:r w:rsidR="00383458">
        <w:rPr>
          <w:rFonts w:eastAsia="Times New Roman"/>
        </w:rPr>
        <w:t>s a</w:t>
      </w:r>
      <w:r w:rsidRPr="0050079E">
        <w:rPr>
          <w:rFonts w:eastAsia="Times New Roman"/>
        </w:rPr>
        <w:t xml:space="preserve">ddress impediments to trade and investment in sectors </w:t>
      </w:r>
      <w:r w:rsidR="00265F0D" w:rsidRPr="0050079E">
        <w:rPr>
          <w:rFonts w:eastAsia="Times New Roman"/>
        </w:rPr>
        <w:t>with a</w:t>
      </w:r>
      <w:r w:rsidRPr="0050079E">
        <w:rPr>
          <w:rFonts w:eastAsia="Times New Roman"/>
        </w:rPr>
        <w:t xml:space="preserve"> high potential to </w:t>
      </w:r>
      <w:r w:rsidR="00D07D12">
        <w:rPr>
          <w:rFonts w:eastAsia="Times New Roman"/>
        </w:rPr>
        <w:t>contribute to inclusive growth.</w:t>
      </w:r>
      <w:r w:rsidR="005B1234">
        <w:rPr>
          <w:rFonts w:eastAsia="Times New Roman"/>
        </w:rPr>
        <w:t xml:space="preserve"> TDF2 is a </w:t>
      </w:r>
      <w:r w:rsidR="00DC19C3">
        <w:rPr>
          <w:rFonts w:eastAsia="Times New Roman"/>
        </w:rPr>
        <w:t>well-regarded</w:t>
      </w:r>
      <w:r w:rsidR="005B1234">
        <w:rPr>
          <w:rFonts w:eastAsia="Times New Roman"/>
        </w:rPr>
        <w:t xml:space="preserve"> program </w:t>
      </w:r>
      <w:r w:rsidR="00DC19C3">
        <w:rPr>
          <w:rFonts w:eastAsia="Times New Roman"/>
        </w:rPr>
        <w:t xml:space="preserve">in Laos </w:t>
      </w:r>
      <w:r w:rsidR="005B1234">
        <w:rPr>
          <w:rFonts w:eastAsia="Times New Roman"/>
        </w:rPr>
        <w:t>that has supported reform</w:t>
      </w:r>
      <w:r w:rsidR="00DC19C3">
        <w:rPr>
          <w:rFonts w:eastAsia="Times New Roman"/>
        </w:rPr>
        <w:t>s to Laos’</w:t>
      </w:r>
      <w:r w:rsidR="005B1234">
        <w:rPr>
          <w:rFonts w:eastAsia="Times New Roman"/>
        </w:rPr>
        <w:t xml:space="preserve"> </w:t>
      </w:r>
      <w:r w:rsidR="00DC19C3">
        <w:rPr>
          <w:rFonts w:eastAsia="Times New Roman"/>
        </w:rPr>
        <w:t xml:space="preserve"> </w:t>
      </w:r>
      <w:r w:rsidR="005B1234">
        <w:rPr>
          <w:rFonts w:eastAsia="Times New Roman"/>
        </w:rPr>
        <w:t xml:space="preserve"> trad</w:t>
      </w:r>
      <w:r w:rsidR="00DC19C3">
        <w:rPr>
          <w:rFonts w:eastAsia="Times New Roman"/>
        </w:rPr>
        <w:t>e</w:t>
      </w:r>
      <w:r w:rsidR="005B1234">
        <w:rPr>
          <w:rFonts w:eastAsia="Times New Roman"/>
        </w:rPr>
        <w:t xml:space="preserve"> regime, in line with WTO and regional free trade agreements. This has helped the Lao economy </w:t>
      </w:r>
      <w:r w:rsidR="00254814">
        <w:rPr>
          <w:rFonts w:eastAsia="Times New Roman"/>
        </w:rPr>
        <w:t>diversify</w:t>
      </w:r>
      <w:r w:rsidR="005B1234">
        <w:rPr>
          <w:rFonts w:eastAsia="Times New Roman"/>
        </w:rPr>
        <w:t xml:space="preserve">, with natural resources less dominant and significant growth in services as a percentage of GDP. As Laos’ economy integrates more closely with </w:t>
      </w:r>
      <w:r w:rsidR="00DC19C3">
        <w:rPr>
          <w:rFonts w:eastAsia="Times New Roman"/>
        </w:rPr>
        <w:t>the</w:t>
      </w:r>
      <w:r w:rsidR="005B1234">
        <w:rPr>
          <w:rFonts w:eastAsia="Times New Roman"/>
        </w:rPr>
        <w:t xml:space="preserve"> region, the focus will need to shift to supporting Lao business competitiveness and reforming </w:t>
      </w:r>
      <w:r w:rsidR="00DC19C3">
        <w:rPr>
          <w:rFonts w:eastAsia="Times New Roman"/>
        </w:rPr>
        <w:t>its</w:t>
      </w:r>
      <w:r w:rsidR="005B1234">
        <w:rPr>
          <w:rFonts w:eastAsia="Times New Roman"/>
        </w:rPr>
        <w:t xml:space="preserve"> restrictive business climate.</w:t>
      </w:r>
    </w:p>
    <w:p w:rsidR="00C20182" w:rsidRDefault="000A6C9A" w:rsidP="00C20182">
      <w:pPr>
        <w:spacing w:after="0" w:line="240" w:lineRule="auto"/>
        <w:rPr>
          <w:rFonts w:eastAsia="Times New Roman"/>
          <w:iCs/>
          <w:szCs w:val="17"/>
        </w:rPr>
      </w:pPr>
      <w:r w:rsidRPr="0050079E">
        <w:rPr>
          <w:rFonts w:eastAsia="Times New Roman"/>
        </w:rPr>
        <w:t xml:space="preserve">Progress </w:t>
      </w:r>
      <w:r w:rsidR="007F313D">
        <w:rPr>
          <w:rFonts w:eastAsia="Times New Roman"/>
        </w:rPr>
        <w:t>against TDF</w:t>
      </w:r>
      <w:r w:rsidR="00A134B6">
        <w:rPr>
          <w:rFonts w:eastAsia="Times New Roman"/>
        </w:rPr>
        <w:t>2</w:t>
      </w:r>
      <w:r w:rsidR="007F313D">
        <w:rPr>
          <w:rFonts w:eastAsia="Times New Roman"/>
        </w:rPr>
        <w:t xml:space="preserve">’s annual workplan and program objectives </w:t>
      </w:r>
      <w:r w:rsidR="00265F0D" w:rsidRPr="0050079E">
        <w:rPr>
          <w:rFonts w:eastAsia="Times New Roman"/>
        </w:rPr>
        <w:t xml:space="preserve">during the reporting period </w:t>
      </w:r>
      <w:r w:rsidRPr="0050079E">
        <w:rPr>
          <w:rFonts w:eastAsia="Times New Roman"/>
        </w:rPr>
        <w:t>has been steady</w:t>
      </w:r>
      <w:r w:rsidR="00265F0D" w:rsidRPr="0050079E">
        <w:rPr>
          <w:rFonts w:eastAsia="Times New Roman"/>
        </w:rPr>
        <w:t>,</w:t>
      </w:r>
      <w:r w:rsidRPr="0050079E">
        <w:rPr>
          <w:rFonts w:eastAsia="Times New Roman"/>
        </w:rPr>
        <w:t xml:space="preserve"> with </w:t>
      </w:r>
      <w:r w:rsidR="00CF1B26">
        <w:rPr>
          <w:rFonts w:eastAsia="Times New Roman"/>
        </w:rPr>
        <w:t>movement</w:t>
      </w:r>
      <w:r w:rsidRPr="0050079E">
        <w:rPr>
          <w:rFonts w:eastAsia="Times New Roman"/>
        </w:rPr>
        <w:t xml:space="preserve"> on key trade reforms</w:t>
      </w:r>
      <w:r w:rsidR="00554598" w:rsidRPr="0050079E">
        <w:rPr>
          <w:rFonts w:eastAsia="Times New Roman"/>
        </w:rPr>
        <w:t xml:space="preserve"> and establishment of a Non-Tariff Measure </w:t>
      </w:r>
      <w:r w:rsidR="00DC19C3">
        <w:rPr>
          <w:rFonts w:eastAsia="Times New Roman"/>
        </w:rPr>
        <w:t xml:space="preserve">(NTM) </w:t>
      </w:r>
      <w:r w:rsidR="00554598" w:rsidRPr="0050079E">
        <w:rPr>
          <w:rFonts w:eastAsia="Times New Roman"/>
        </w:rPr>
        <w:t xml:space="preserve">Review Working Group to reduce trade related barriers (delays to this work were the main reason </w:t>
      </w:r>
      <w:r w:rsidR="000A0807">
        <w:rPr>
          <w:rFonts w:eastAsia="Times New Roman"/>
        </w:rPr>
        <w:t>for an amber rating in the 2015-</w:t>
      </w:r>
      <w:r w:rsidR="00554598" w:rsidRPr="0050079E">
        <w:rPr>
          <w:rFonts w:eastAsia="Times New Roman"/>
        </w:rPr>
        <w:t xml:space="preserve">16 APPR). </w:t>
      </w:r>
      <w:r w:rsidR="000A0807">
        <w:rPr>
          <w:rFonts w:eastAsia="Times New Roman"/>
        </w:rPr>
        <w:t xml:space="preserve">TDF2 </w:t>
      </w:r>
      <w:r w:rsidR="00CA24A3">
        <w:rPr>
          <w:rFonts w:eastAsia="Times New Roman"/>
        </w:rPr>
        <w:t>worked to enhance the regulation of the agriculture sector by</w:t>
      </w:r>
      <w:r w:rsidR="000A0807">
        <w:rPr>
          <w:rFonts w:eastAsia="Times New Roman"/>
        </w:rPr>
        <w:t xml:space="preserve"> </w:t>
      </w:r>
      <w:r w:rsidR="00CA24A3">
        <w:rPr>
          <w:rFonts w:eastAsia="Times New Roman"/>
        </w:rPr>
        <w:t>supporting</w:t>
      </w:r>
      <w:r w:rsidR="00CE7EA7">
        <w:rPr>
          <w:rFonts w:eastAsia="Times New Roman"/>
        </w:rPr>
        <w:t xml:space="preserve"> the introduction of new </w:t>
      </w:r>
      <w:r w:rsidR="00CE7EA7" w:rsidRPr="0050079E">
        <w:rPr>
          <w:rFonts w:eastAsia="Times New Roman"/>
        </w:rPr>
        <w:t xml:space="preserve">Plant Protection, Livestock and Chemicals </w:t>
      </w:r>
      <w:r w:rsidR="00CE7EA7">
        <w:rPr>
          <w:rFonts w:eastAsia="Times New Roman"/>
        </w:rPr>
        <w:t>l</w:t>
      </w:r>
      <w:r w:rsidR="00CE7EA7" w:rsidRPr="0050079E">
        <w:rPr>
          <w:rFonts w:eastAsia="Times New Roman"/>
        </w:rPr>
        <w:t>aw</w:t>
      </w:r>
      <w:r w:rsidR="00CE7EA7">
        <w:rPr>
          <w:rFonts w:eastAsia="Times New Roman"/>
        </w:rPr>
        <w:t xml:space="preserve">s, </w:t>
      </w:r>
      <w:r w:rsidR="00CA24A3">
        <w:rPr>
          <w:rFonts w:eastAsia="Times New Roman"/>
        </w:rPr>
        <w:t xml:space="preserve">which have the potential to benefit the 60 per cent of the workforce employed in subsistence agriculture. TDF2 also </w:t>
      </w:r>
      <w:r w:rsidR="000A0807">
        <w:rPr>
          <w:rFonts w:eastAsia="Times New Roman"/>
        </w:rPr>
        <w:t>helped eliminate i</w:t>
      </w:r>
      <w:r w:rsidR="0050079E" w:rsidRPr="0050079E">
        <w:rPr>
          <w:rFonts w:eastAsia="Times New Roman"/>
        </w:rPr>
        <w:t xml:space="preserve">mport licenses for </w:t>
      </w:r>
      <w:r w:rsidR="000A0807">
        <w:rPr>
          <w:rFonts w:eastAsia="Times New Roman"/>
        </w:rPr>
        <w:t xml:space="preserve">crude oil and </w:t>
      </w:r>
      <w:r w:rsidR="0050079E" w:rsidRPr="0050079E">
        <w:rPr>
          <w:rFonts w:eastAsia="Times New Roman"/>
        </w:rPr>
        <w:t>vehicle spare</w:t>
      </w:r>
      <w:r w:rsidR="000A0807">
        <w:rPr>
          <w:rFonts w:eastAsia="Times New Roman"/>
        </w:rPr>
        <w:t xml:space="preserve"> parts </w:t>
      </w:r>
      <w:r w:rsidR="00CE7EA7">
        <w:rPr>
          <w:rFonts w:eastAsia="Times New Roman"/>
        </w:rPr>
        <w:t xml:space="preserve">through its </w:t>
      </w:r>
      <w:r w:rsidR="00DC19C3">
        <w:rPr>
          <w:rFonts w:eastAsia="Times New Roman"/>
        </w:rPr>
        <w:t>NTM</w:t>
      </w:r>
      <w:r w:rsidR="00CE7EA7">
        <w:rPr>
          <w:rFonts w:eastAsia="Times New Roman"/>
        </w:rPr>
        <w:t xml:space="preserve"> working group</w:t>
      </w:r>
      <w:r w:rsidR="000A0807">
        <w:rPr>
          <w:rFonts w:eastAsia="Times New Roman"/>
        </w:rPr>
        <w:t xml:space="preserve">. </w:t>
      </w:r>
      <w:r w:rsidR="007F313D">
        <w:rPr>
          <w:rFonts w:eastAsia="Times New Roman"/>
        </w:rPr>
        <w:t xml:space="preserve">On </w:t>
      </w:r>
      <w:r w:rsidR="00CE7EA7">
        <w:rPr>
          <w:rFonts w:eastAsia="Times New Roman"/>
        </w:rPr>
        <w:t>the business environment, TDF2 supported the revitalisation of the Lao Business Forum</w:t>
      </w:r>
      <w:r w:rsidR="00DC19C3">
        <w:rPr>
          <w:rFonts w:eastAsia="Times New Roman"/>
        </w:rPr>
        <w:t xml:space="preserve"> (the country’s primary forum for public-private dialogue)</w:t>
      </w:r>
      <w:r w:rsidR="00A91CD8">
        <w:rPr>
          <w:rFonts w:eastAsia="Times New Roman"/>
        </w:rPr>
        <w:t>; the Forums was</w:t>
      </w:r>
      <w:r w:rsidR="00CE7EA7">
        <w:rPr>
          <w:rFonts w:eastAsia="Times New Roman"/>
        </w:rPr>
        <w:t xml:space="preserve"> successfully held in March 2017 for th</w:t>
      </w:r>
      <w:r w:rsidR="00C20182">
        <w:rPr>
          <w:rFonts w:eastAsia="Times New Roman"/>
        </w:rPr>
        <w:t xml:space="preserve">e first time in several years. </w:t>
      </w:r>
      <w:r w:rsidR="00C20182" w:rsidRPr="003C50F9">
        <w:rPr>
          <w:rFonts w:eastAsia="Times New Roman"/>
        </w:rPr>
        <w:t xml:space="preserve">Australia </w:t>
      </w:r>
      <w:r w:rsidR="00C20182">
        <w:rPr>
          <w:rFonts w:eastAsia="Times New Roman"/>
        </w:rPr>
        <w:t>provided</w:t>
      </w:r>
      <w:r w:rsidR="00C20182" w:rsidRPr="003C50F9">
        <w:rPr>
          <w:rFonts w:eastAsia="Times New Roman"/>
        </w:rPr>
        <w:t xml:space="preserve"> additional support of </w:t>
      </w:r>
      <w:r w:rsidR="00C20182">
        <w:rPr>
          <w:rFonts w:eastAsia="Times New Roman"/>
        </w:rPr>
        <w:t>$700,000 during 2016-17,</w:t>
      </w:r>
      <w:r w:rsidR="00C20182" w:rsidRPr="003C50F9">
        <w:rPr>
          <w:rFonts w:eastAsia="Times New Roman"/>
        </w:rPr>
        <w:t xml:space="preserve"> to help mainstream gender across TDF2.</w:t>
      </w:r>
      <w:r w:rsidR="00C20182">
        <w:rPr>
          <w:rFonts w:eastAsia="Times New Roman"/>
        </w:rPr>
        <w:t xml:space="preserve"> T</w:t>
      </w:r>
      <w:r w:rsidR="00C20182" w:rsidRPr="0089578A">
        <w:rPr>
          <w:rFonts w:eastAsia="Times New Roman"/>
          <w:iCs/>
          <w:szCs w:val="17"/>
        </w:rPr>
        <w:t>he pro</w:t>
      </w:r>
      <w:r w:rsidR="00C20182">
        <w:rPr>
          <w:rFonts w:eastAsia="Times New Roman"/>
          <w:iCs/>
          <w:szCs w:val="17"/>
        </w:rPr>
        <w:t xml:space="preserve">gram </w:t>
      </w:r>
      <w:r w:rsidR="00C20182" w:rsidRPr="0089578A">
        <w:rPr>
          <w:rFonts w:eastAsia="Times New Roman"/>
          <w:iCs/>
          <w:szCs w:val="17"/>
        </w:rPr>
        <w:t xml:space="preserve">is conducting </w:t>
      </w:r>
      <w:r w:rsidR="00C20182">
        <w:rPr>
          <w:rFonts w:eastAsia="Times New Roman"/>
          <w:iCs/>
          <w:szCs w:val="17"/>
        </w:rPr>
        <w:t xml:space="preserve">provincial </w:t>
      </w:r>
      <w:r w:rsidR="00C20182" w:rsidRPr="0089578A">
        <w:rPr>
          <w:rFonts w:eastAsia="Times New Roman"/>
          <w:iCs/>
          <w:szCs w:val="17"/>
        </w:rPr>
        <w:t xml:space="preserve">consultation workshops with women businesses to help </w:t>
      </w:r>
      <w:r w:rsidR="00C20182">
        <w:rPr>
          <w:rFonts w:eastAsia="Times New Roman"/>
          <w:iCs/>
          <w:szCs w:val="17"/>
        </w:rPr>
        <w:t>them engage in</w:t>
      </w:r>
      <w:r w:rsidR="00C20182" w:rsidRPr="0089578A">
        <w:rPr>
          <w:rFonts w:eastAsia="Times New Roman"/>
          <w:iCs/>
          <w:szCs w:val="17"/>
        </w:rPr>
        <w:t xml:space="preserve"> the </w:t>
      </w:r>
      <w:r w:rsidR="00C20182">
        <w:rPr>
          <w:rFonts w:eastAsia="Times New Roman"/>
          <w:iCs/>
          <w:szCs w:val="17"/>
        </w:rPr>
        <w:t>next</w:t>
      </w:r>
      <w:r w:rsidR="00C20182" w:rsidRPr="0089578A">
        <w:rPr>
          <w:rFonts w:eastAsia="Times New Roman"/>
          <w:iCs/>
          <w:szCs w:val="17"/>
        </w:rPr>
        <w:t xml:space="preserve"> Lao Business Forum, scheduled in early 2018.</w:t>
      </w:r>
      <w:r w:rsidR="00C20182">
        <w:rPr>
          <w:rFonts w:eastAsia="Times New Roman"/>
          <w:iCs/>
          <w:szCs w:val="17"/>
        </w:rPr>
        <w:t xml:space="preserve"> </w:t>
      </w:r>
    </w:p>
    <w:p w:rsidR="00CB64FE" w:rsidRDefault="00C20182" w:rsidP="00CB64FE">
      <w:pPr>
        <w:spacing w:line="240" w:lineRule="auto"/>
        <w:rPr>
          <w:rFonts w:eastAsia="Times New Roman"/>
        </w:rPr>
      </w:pPr>
      <w:r>
        <w:rPr>
          <w:rFonts w:eastAsia="Times New Roman"/>
        </w:rPr>
        <w:t xml:space="preserve">TDF2 also </w:t>
      </w:r>
      <w:r w:rsidR="00CE7EA7">
        <w:rPr>
          <w:rFonts w:eastAsia="Times New Roman"/>
        </w:rPr>
        <w:t>enhanced competitiveness of Lao SMEs by providing co-financing and business skills to 208 companies in total (58 more than originally planned) through the Business Assistance Facility (BAF). The BAF</w:t>
      </w:r>
      <w:r w:rsidR="00DC19C3">
        <w:rPr>
          <w:rFonts w:eastAsia="Times New Roman"/>
        </w:rPr>
        <w:t>’s matching grants program</w:t>
      </w:r>
      <w:r w:rsidR="00A91CD8">
        <w:rPr>
          <w:rFonts w:eastAsia="Times New Roman"/>
        </w:rPr>
        <w:t xml:space="preserve"> </w:t>
      </w:r>
      <w:r w:rsidR="00CE7EA7">
        <w:rPr>
          <w:rFonts w:eastAsia="Times New Roman"/>
        </w:rPr>
        <w:t>su</w:t>
      </w:r>
      <w:r w:rsidR="00A134B6">
        <w:rPr>
          <w:rFonts w:eastAsia="Times New Roman"/>
        </w:rPr>
        <w:t>pported 56 companies in 2016-</w:t>
      </w:r>
      <w:r w:rsidR="00CE7EA7">
        <w:rPr>
          <w:rFonts w:eastAsia="Times New Roman"/>
        </w:rPr>
        <w:t xml:space="preserve">17, </w:t>
      </w:r>
      <w:r w:rsidR="00CE7EA7" w:rsidRPr="00A134B6">
        <w:rPr>
          <w:rFonts w:eastAsia="Times New Roman"/>
        </w:rPr>
        <w:t>exceeding the performance benchmark of 50 companies</w:t>
      </w:r>
      <w:r w:rsidR="00D07D12" w:rsidRPr="00A134B6">
        <w:rPr>
          <w:rFonts w:eastAsia="Times New Roman"/>
        </w:rPr>
        <w:t xml:space="preserve">. </w:t>
      </w:r>
      <w:r w:rsidRPr="0050079E">
        <w:rPr>
          <w:rFonts w:eastAsia="Times New Roman"/>
        </w:rPr>
        <w:t>The BAF exceeded its gender targets</w:t>
      </w:r>
      <w:r>
        <w:rPr>
          <w:rFonts w:eastAsia="Times New Roman"/>
        </w:rPr>
        <w:t xml:space="preserve"> during the reporting period:</w:t>
      </w:r>
      <w:r w:rsidRPr="0050079E">
        <w:rPr>
          <w:rFonts w:eastAsia="Times New Roman"/>
        </w:rPr>
        <w:t xml:space="preserve">  34 per cent of BAF grants </w:t>
      </w:r>
      <w:r w:rsidR="00DC19C3">
        <w:rPr>
          <w:rFonts w:eastAsia="Times New Roman"/>
        </w:rPr>
        <w:t xml:space="preserve">were </w:t>
      </w:r>
      <w:r w:rsidRPr="0050079E">
        <w:rPr>
          <w:rFonts w:eastAsia="Times New Roman"/>
        </w:rPr>
        <w:t xml:space="preserve">awarded to women-owned businesses (from a target of 30 per cent); and women </w:t>
      </w:r>
      <w:r>
        <w:rPr>
          <w:rFonts w:eastAsia="Times New Roman"/>
        </w:rPr>
        <w:t>made</w:t>
      </w:r>
      <w:r w:rsidRPr="0050079E">
        <w:rPr>
          <w:rFonts w:eastAsia="Times New Roman"/>
        </w:rPr>
        <w:t xml:space="preserve"> up 42 per cent of employees in BAF-supported businesses (from a target of 30 per cent).</w:t>
      </w:r>
      <w:r>
        <w:rPr>
          <w:rFonts w:eastAsia="Times New Roman"/>
        </w:rPr>
        <w:t xml:space="preserve"> </w:t>
      </w:r>
      <w:r w:rsidR="00D07D12" w:rsidRPr="00A134B6">
        <w:rPr>
          <w:rFonts w:eastAsia="Times New Roman"/>
        </w:rPr>
        <w:t xml:space="preserve">An </w:t>
      </w:r>
      <w:r w:rsidR="008450C0">
        <w:rPr>
          <w:rFonts w:eastAsia="Times New Roman"/>
        </w:rPr>
        <w:t>impact assessment survey</w:t>
      </w:r>
      <w:r w:rsidR="00D07D12" w:rsidRPr="00A134B6">
        <w:rPr>
          <w:rFonts w:eastAsia="Times New Roman"/>
        </w:rPr>
        <w:t xml:space="preserve"> found BAF-assisted firms achieved average growth rates 21 per cent</w:t>
      </w:r>
      <w:r w:rsidR="00A91CD8">
        <w:rPr>
          <w:rFonts w:eastAsia="Times New Roman"/>
        </w:rPr>
        <w:t>,</w:t>
      </w:r>
      <w:r w:rsidR="00D07D12" w:rsidRPr="00A134B6">
        <w:rPr>
          <w:rFonts w:eastAsia="Times New Roman"/>
        </w:rPr>
        <w:t xml:space="preserve"> higher than companies not benefitting from assistance.</w:t>
      </w:r>
      <w:r w:rsidR="008450C0">
        <w:rPr>
          <w:rStyle w:val="FootnoteReference"/>
          <w:rFonts w:eastAsia="Times New Roman"/>
        </w:rPr>
        <w:footnoteReference w:id="13"/>
      </w:r>
    </w:p>
    <w:p w:rsidR="00166689" w:rsidRPr="007455A1" w:rsidRDefault="00784034" w:rsidP="00C20182">
      <w:pPr>
        <w:spacing w:after="0" w:line="240" w:lineRule="auto"/>
        <w:rPr>
          <w:rFonts w:eastAsia="Times New Roman"/>
        </w:rPr>
      </w:pPr>
      <w:r>
        <w:rPr>
          <w:rFonts w:eastAsia="Times New Roman"/>
        </w:rPr>
        <w:t>T</w:t>
      </w:r>
      <w:r w:rsidR="00166689">
        <w:rPr>
          <w:rFonts w:eastAsia="Times New Roman"/>
        </w:rPr>
        <w:t xml:space="preserve">wo financial inclusion programs, Access to Finance for the Poor (AFP) and Making Access to Finance Inclusive for Poor People (MAFIPP), were initially conceived as part of the rural livelihoods portfolio, but have now been brought under the trade and inclusive growth objective. Both performed well against their annual </w:t>
      </w:r>
      <w:r w:rsidR="00166689" w:rsidRPr="00A134B6">
        <w:rPr>
          <w:rFonts w:eastAsia="Times New Roman"/>
        </w:rPr>
        <w:t>workplans in the last year</w:t>
      </w:r>
      <w:r w:rsidRPr="00A134B6">
        <w:rPr>
          <w:rFonts w:eastAsia="Times New Roman"/>
        </w:rPr>
        <w:t xml:space="preserve">, supporting improved access to finance for Laos’ poor. Our funding has supported AFP to expand the </w:t>
      </w:r>
      <w:r w:rsidR="00A91CD8">
        <w:rPr>
          <w:rFonts w:eastAsia="Times New Roman"/>
        </w:rPr>
        <w:t>‘V</w:t>
      </w:r>
      <w:r w:rsidRPr="00A134B6">
        <w:rPr>
          <w:rFonts w:eastAsia="Times New Roman"/>
        </w:rPr>
        <w:t xml:space="preserve">illage </w:t>
      </w:r>
      <w:r w:rsidR="00A91CD8">
        <w:rPr>
          <w:rFonts w:eastAsia="Times New Roman"/>
        </w:rPr>
        <w:t>B</w:t>
      </w:r>
      <w:r w:rsidRPr="00A134B6">
        <w:rPr>
          <w:rFonts w:eastAsia="Times New Roman"/>
        </w:rPr>
        <w:t>ank</w:t>
      </w:r>
      <w:r w:rsidR="00A91CD8">
        <w:rPr>
          <w:rFonts w:eastAsia="Times New Roman"/>
        </w:rPr>
        <w:t>’</w:t>
      </w:r>
      <w:r w:rsidRPr="00A134B6">
        <w:rPr>
          <w:rFonts w:eastAsia="Times New Roman"/>
        </w:rPr>
        <w:t xml:space="preserve"> network to provide access to finance for </w:t>
      </w:r>
      <w:r w:rsidR="00166689" w:rsidRPr="00A134B6">
        <w:rPr>
          <w:rFonts w:eastAsia="Times New Roman"/>
        </w:rPr>
        <w:t>more than 47,</w:t>
      </w:r>
      <w:r w:rsidR="00244204">
        <w:rPr>
          <w:rFonts w:eastAsia="Times New Roman"/>
        </w:rPr>
        <w:t>811</w:t>
      </w:r>
      <w:r w:rsidR="00166689" w:rsidRPr="00A134B6">
        <w:rPr>
          <w:rFonts w:eastAsia="Times New Roman"/>
        </w:rPr>
        <w:t xml:space="preserve"> </w:t>
      </w:r>
      <w:r w:rsidRPr="00A134B6">
        <w:rPr>
          <w:rFonts w:eastAsia="Times New Roman"/>
        </w:rPr>
        <w:t>additional members</w:t>
      </w:r>
      <w:r w:rsidR="008450C0">
        <w:rPr>
          <w:rFonts w:eastAsia="Times New Roman"/>
        </w:rPr>
        <w:t xml:space="preserve"> (exceeding the outreach target</w:t>
      </w:r>
      <w:r w:rsidR="00244204">
        <w:rPr>
          <w:rFonts w:eastAsia="Times New Roman"/>
        </w:rPr>
        <w:t xml:space="preserve"> of at least 31,600 clients</w:t>
      </w:r>
      <w:r w:rsidR="0026488A">
        <w:rPr>
          <w:rFonts w:eastAsia="Times New Roman"/>
        </w:rPr>
        <w:t xml:space="preserve">, an achievement rate of </w:t>
      </w:r>
      <w:r w:rsidR="00244204">
        <w:rPr>
          <w:rFonts w:eastAsia="Times New Roman"/>
        </w:rPr>
        <w:t>151</w:t>
      </w:r>
      <w:r w:rsidR="00DC19C3">
        <w:rPr>
          <w:rFonts w:eastAsia="Times New Roman"/>
        </w:rPr>
        <w:t xml:space="preserve"> per cent)</w:t>
      </w:r>
      <w:r w:rsidR="00DC19C3" w:rsidRPr="00A134B6">
        <w:rPr>
          <w:rFonts w:eastAsia="Times New Roman"/>
        </w:rPr>
        <w:t xml:space="preserve">. </w:t>
      </w:r>
      <w:r w:rsidR="00C20182">
        <w:rPr>
          <w:rFonts w:eastAsia="Times New Roman"/>
        </w:rPr>
        <w:t>Women form more than 30 per cent of AFP’s village bank committee members</w:t>
      </w:r>
      <w:r w:rsidR="0026488A">
        <w:rPr>
          <w:rFonts w:eastAsia="Times New Roman"/>
        </w:rPr>
        <w:t xml:space="preserve"> (as per the target)</w:t>
      </w:r>
      <w:r w:rsidR="00C20182">
        <w:rPr>
          <w:rFonts w:eastAsia="Times New Roman"/>
        </w:rPr>
        <w:t>. W</w:t>
      </w:r>
      <w:r w:rsidR="00A5183F" w:rsidRPr="00A134B6">
        <w:rPr>
          <w:rFonts w:eastAsia="Times New Roman"/>
        </w:rPr>
        <w:t xml:space="preserve">ith </w:t>
      </w:r>
      <w:r w:rsidR="00166689" w:rsidRPr="00A134B6">
        <w:rPr>
          <w:rFonts w:eastAsia="Times New Roman"/>
        </w:rPr>
        <w:lastRenderedPageBreak/>
        <w:t>MAFIPP</w:t>
      </w:r>
      <w:r w:rsidR="00A5183F" w:rsidRPr="00A134B6">
        <w:rPr>
          <w:rFonts w:eastAsia="Times New Roman"/>
        </w:rPr>
        <w:t>’s support, the major local retail bank</w:t>
      </w:r>
      <w:r w:rsidR="00A91CD8">
        <w:rPr>
          <w:rFonts w:eastAsia="Times New Roman"/>
        </w:rPr>
        <w:t>,</w:t>
      </w:r>
      <w:r w:rsidR="00A5183F" w:rsidRPr="00A134B6">
        <w:rPr>
          <w:rFonts w:eastAsia="Times New Roman"/>
        </w:rPr>
        <w:t xml:space="preserve"> BCEL</w:t>
      </w:r>
      <w:r w:rsidR="00A91CD8">
        <w:rPr>
          <w:rFonts w:eastAsia="Times New Roman"/>
        </w:rPr>
        <w:t>,</w:t>
      </w:r>
      <w:r w:rsidR="00166689" w:rsidRPr="00A134B6">
        <w:rPr>
          <w:rFonts w:eastAsia="Times New Roman"/>
        </w:rPr>
        <w:t xml:space="preserve"> has </w:t>
      </w:r>
      <w:r w:rsidR="00A5183F" w:rsidRPr="00A134B6">
        <w:rPr>
          <w:rFonts w:eastAsia="Times New Roman"/>
        </w:rPr>
        <w:t>scaled-up its</w:t>
      </w:r>
      <w:r w:rsidR="00166689" w:rsidRPr="00A134B6">
        <w:rPr>
          <w:rFonts w:eastAsia="Times New Roman"/>
        </w:rPr>
        <w:t xml:space="preserve"> pilot of a new</w:t>
      </w:r>
      <w:r w:rsidR="00166689">
        <w:rPr>
          <w:rFonts w:eastAsia="Times New Roman"/>
        </w:rPr>
        <w:t xml:space="preserve"> Digital Financial Service platform</w:t>
      </w:r>
      <w:r w:rsidR="00A5183F">
        <w:rPr>
          <w:rFonts w:eastAsia="Times New Roman"/>
        </w:rPr>
        <w:t>, which</w:t>
      </w:r>
      <w:r w:rsidR="00166689">
        <w:rPr>
          <w:rFonts w:eastAsia="Times New Roman"/>
        </w:rPr>
        <w:t xml:space="preserve"> allows for mobile transfer of money through a network of </w:t>
      </w:r>
      <w:r>
        <w:rPr>
          <w:rFonts w:eastAsia="Times New Roman"/>
        </w:rPr>
        <w:t xml:space="preserve">banking </w:t>
      </w:r>
      <w:r w:rsidR="00166689">
        <w:rPr>
          <w:rFonts w:eastAsia="Times New Roman"/>
        </w:rPr>
        <w:t>agen</w:t>
      </w:r>
      <w:r w:rsidR="0026488A">
        <w:rPr>
          <w:rFonts w:eastAsia="Times New Roman"/>
        </w:rPr>
        <w:t>ts.</w:t>
      </w:r>
    </w:p>
    <w:p w:rsidR="000A6C9A" w:rsidRPr="0050079E" w:rsidRDefault="007F313D" w:rsidP="00F42AD0">
      <w:pPr>
        <w:spacing w:after="0" w:line="240" w:lineRule="auto"/>
        <w:rPr>
          <w:rFonts w:eastAsia="Times New Roman"/>
        </w:rPr>
      </w:pPr>
      <w:r>
        <w:rPr>
          <w:rFonts w:eastAsia="Times New Roman"/>
        </w:rPr>
        <w:t xml:space="preserve">TDF2 and the two financial inclusion programs, MAFIPP and AFP, will conclude in late 2018. </w:t>
      </w:r>
      <w:r w:rsidR="005A08F9">
        <w:rPr>
          <w:rFonts w:eastAsia="Times New Roman"/>
        </w:rPr>
        <w:t xml:space="preserve">The Lao Prime Minister is focused on reform to the business climate, and supporting SMEs and </w:t>
      </w:r>
      <w:r w:rsidR="00DC19C3">
        <w:rPr>
          <w:rFonts w:eastAsia="Times New Roman"/>
        </w:rPr>
        <w:t xml:space="preserve">the </w:t>
      </w:r>
      <w:r w:rsidR="005A08F9">
        <w:rPr>
          <w:rFonts w:eastAsia="Times New Roman"/>
        </w:rPr>
        <w:t xml:space="preserve">services sector to drive inclusive growth. Support for inclusive trade and economic empowerment remains a policy </w:t>
      </w:r>
      <w:r w:rsidR="00F42AD0">
        <w:rPr>
          <w:rFonts w:eastAsia="Times New Roman"/>
        </w:rPr>
        <w:t xml:space="preserve">priority </w:t>
      </w:r>
      <w:r w:rsidR="005A08F9">
        <w:rPr>
          <w:rFonts w:eastAsia="Times New Roman"/>
        </w:rPr>
        <w:t xml:space="preserve">for </w:t>
      </w:r>
      <w:r w:rsidR="00F42AD0">
        <w:rPr>
          <w:rFonts w:eastAsia="Times New Roman"/>
        </w:rPr>
        <w:t>both Australia and Laos</w:t>
      </w:r>
      <w:r w:rsidR="00DC19C3">
        <w:rPr>
          <w:rFonts w:eastAsia="Times New Roman"/>
        </w:rPr>
        <w:t>. W</w:t>
      </w:r>
      <w:r w:rsidR="00F42AD0">
        <w:rPr>
          <w:rFonts w:eastAsia="Times New Roman"/>
        </w:rPr>
        <w:t xml:space="preserve">ork will begin </w:t>
      </w:r>
      <w:r w:rsidR="0026488A">
        <w:rPr>
          <w:rFonts w:eastAsia="Times New Roman"/>
        </w:rPr>
        <w:t xml:space="preserve">in early 2017-18 </w:t>
      </w:r>
      <w:r w:rsidR="00F42AD0">
        <w:rPr>
          <w:rFonts w:eastAsia="Times New Roman"/>
        </w:rPr>
        <w:t xml:space="preserve">to plan </w:t>
      </w:r>
      <w:r>
        <w:rPr>
          <w:rFonts w:eastAsia="Times New Roman"/>
        </w:rPr>
        <w:t xml:space="preserve">for future </w:t>
      </w:r>
      <w:r w:rsidR="00A134B6">
        <w:rPr>
          <w:rFonts w:eastAsia="Times New Roman"/>
        </w:rPr>
        <w:t xml:space="preserve">potential </w:t>
      </w:r>
      <w:r>
        <w:rPr>
          <w:rFonts w:eastAsia="Times New Roman"/>
        </w:rPr>
        <w:t>investment</w:t>
      </w:r>
      <w:r w:rsidR="0039654A">
        <w:rPr>
          <w:rFonts w:eastAsia="Times New Roman"/>
        </w:rPr>
        <w:t>s</w:t>
      </w:r>
      <w:r>
        <w:rPr>
          <w:rFonts w:eastAsia="Times New Roman"/>
        </w:rPr>
        <w:t xml:space="preserve"> i</w:t>
      </w:r>
      <w:r w:rsidR="0039654A">
        <w:rPr>
          <w:rFonts w:eastAsia="Times New Roman"/>
        </w:rPr>
        <w:t xml:space="preserve">n these </w:t>
      </w:r>
      <w:r w:rsidR="00F42AD0">
        <w:rPr>
          <w:rFonts w:eastAsia="Times New Roman"/>
        </w:rPr>
        <w:t>sectors</w:t>
      </w:r>
      <w:r w:rsidR="00791DFE">
        <w:rPr>
          <w:rFonts w:eastAsia="Times New Roman"/>
        </w:rPr>
        <w:t>.</w:t>
      </w:r>
    </w:p>
    <w:p w:rsidR="004836E2" w:rsidRPr="00DF018F" w:rsidRDefault="004836E2" w:rsidP="00D3432B">
      <w:pPr>
        <w:spacing w:before="0" w:after="0"/>
        <w:rPr>
          <w:b/>
          <w:lang w:val="en-AU"/>
        </w:rPr>
      </w:pPr>
    </w:p>
    <w:p w:rsidR="00ED3990" w:rsidRDefault="00ED3990" w:rsidP="0050079E">
      <w:pPr>
        <w:spacing w:before="0"/>
        <w:rPr>
          <w:b/>
          <w:lang w:val="en-AU"/>
        </w:rPr>
      </w:pPr>
      <w:r>
        <w:rPr>
          <w:b/>
          <w:lang w:val="en-AU"/>
        </w:rPr>
        <w:t>Legacy rural development investments</w:t>
      </w:r>
    </w:p>
    <w:p w:rsidR="0052003A" w:rsidRPr="0050079E" w:rsidRDefault="00A232E5" w:rsidP="00D3432B">
      <w:pPr>
        <w:spacing w:after="0" w:line="240" w:lineRule="auto"/>
        <w:rPr>
          <w:rFonts w:eastAsia="Times New Roman"/>
        </w:rPr>
      </w:pPr>
      <w:r w:rsidRPr="0050079E">
        <w:rPr>
          <w:rFonts w:eastAsia="Times New Roman"/>
        </w:rPr>
        <w:t xml:space="preserve">We are continuing to support a number of existing rural development investments until </w:t>
      </w:r>
      <w:r w:rsidR="003E53B7">
        <w:rPr>
          <w:rFonts w:eastAsia="Times New Roman"/>
        </w:rPr>
        <w:t>their conclusion at the end of 2017</w:t>
      </w:r>
      <w:r w:rsidRPr="0050079E">
        <w:rPr>
          <w:rFonts w:eastAsia="Times New Roman"/>
        </w:rPr>
        <w:t>. These investments are progressing as expected</w:t>
      </w:r>
      <w:r w:rsidR="00DC19C3">
        <w:rPr>
          <w:rFonts w:eastAsia="Times New Roman"/>
        </w:rPr>
        <w:t>,</w:t>
      </w:r>
      <w:r w:rsidRPr="0050079E">
        <w:rPr>
          <w:rFonts w:eastAsia="Times New Roman"/>
        </w:rPr>
        <w:t xml:space="preserve"> </w:t>
      </w:r>
      <w:r w:rsidR="00DC19C3">
        <w:rPr>
          <w:rFonts w:eastAsia="Times New Roman"/>
        </w:rPr>
        <w:t xml:space="preserve">helping to </w:t>
      </w:r>
      <w:r w:rsidRPr="0050079E">
        <w:rPr>
          <w:rFonts w:eastAsia="Times New Roman"/>
        </w:rPr>
        <w:t>increas</w:t>
      </w:r>
      <w:r w:rsidR="00DC19C3">
        <w:rPr>
          <w:rFonts w:eastAsia="Times New Roman"/>
        </w:rPr>
        <w:t>e</w:t>
      </w:r>
      <w:r w:rsidRPr="0050079E">
        <w:rPr>
          <w:rFonts w:eastAsia="Times New Roman"/>
        </w:rPr>
        <w:t xml:space="preserve"> household productivity and incomes and reduc</w:t>
      </w:r>
      <w:r w:rsidR="00DC19C3">
        <w:rPr>
          <w:rFonts w:eastAsia="Times New Roman"/>
        </w:rPr>
        <w:t>e</w:t>
      </w:r>
      <w:r w:rsidRPr="0050079E">
        <w:rPr>
          <w:rFonts w:eastAsia="Times New Roman"/>
        </w:rPr>
        <w:t xml:space="preserve"> unexploded ordnance </w:t>
      </w:r>
      <w:r w:rsidR="0050290F">
        <w:rPr>
          <w:rFonts w:eastAsia="Times New Roman"/>
        </w:rPr>
        <w:t xml:space="preserve">(UXO) </w:t>
      </w:r>
      <w:r w:rsidRPr="0050079E">
        <w:rPr>
          <w:rFonts w:eastAsia="Times New Roman"/>
        </w:rPr>
        <w:t xml:space="preserve">contamination.  </w:t>
      </w:r>
      <w:r w:rsidR="0052003A" w:rsidRPr="003E53B7">
        <w:rPr>
          <w:rFonts w:eastAsia="Times New Roman"/>
        </w:rPr>
        <w:t>During the reporting period, Australia’s support helped clear 180 hectares of UXO contaminated land</w:t>
      </w:r>
      <w:r w:rsidR="003E53B7" w:rsidRPr="003E53B7">
        <w:rPr>
          <w:rFonts w:eastAsia="Times New Roman"/>
        </w:rPr>
        <w:t xml:space="preserve"> (target was 190 ha)</w:t>
      </w:r>
      <w:r w:rsidR="0050290F">
        <w:rPr>
          <w:rFonts w:eastAsia="Times New Roman"/>
        </w:rPr>
        <w:t>,</w:t>
      </w:r>
      <w:r w:rsidR="0052003A" w:rsidRPr="003E53B7">
        <w:rPr>
          <w:rFonts w:eastAsia="Times New Roman"/>
        </w:rPr>
        <w:t xml:space="preserve"> benefiting over 17,699 people</w:t>
      </w:r>
      <w:r w:rsidR="00AF4756">
        <w:rPr>
          <w:rFonts w:eastAsia="Times New Roman"/>
        </w:rPr>
        <w:t>. Our support to the Poverty Reduction Fund phase II</w:t>
      </w:r>
      <w:r w:rsidRPr="003E53B7">
        <w:rPr>
          <w:rFonts w:eastAsia="Times New Roman"/>
        </w:rPr>
        <w:t xml:space="preserve"> </w:t>
      </w:r>
      <w:r w:rsidR="00AF380D">
        <w:rPr>
          <w:rFonts w:eastAsia="Times New Roman"/>
        </w:rPr>
        <w:t xml:space="preserve">(PRF2) </w:t>
      </w:r>
      <w:r w:rsidR="0052003A" w:rsidRPr="003E53B7">
        <w:rPr>
          <w:rFonts w:eastAsia="Times New Roman"/>
        </w:rPr>
        <w:t xml:space="preserve">provided </w:t>
      </w:r>
      <w:r w:rsidRPr="003E53B7">
        <w:rPr>
          <w:rFonts w:eastAsia="Times New Roman"/>
        </w:rPr>
        <w:t>more than</w:t>
      </w:r>
      <w:r w:rsidR="0052003A" w:rsidRPr="003E53B7">
        <w:rPr>
          <w:rFonts w:eastAsia="Times New Roman"/>
        </w:rPr>
        <w:t xml:space="preserve"> 63,800 people with access to small-scale community-based infrastructure</w:t>
      </w:r>
      <w:r w:rsidR="00AF4756">
        <w:rPr>
          <w:rFonts w:eastAsia="Times New Roman"/>
        </w:rPr>
        <w:t xml:space="preserve"> (139% of the target)</w:t>
      </w:r>
      <w:r w:rsidR="00AF4756">
        <w:rPr>
          <w:rStyle w:val="FootnoteReference"/>
          <w:rFonts w:eastAsia="Times New Roman"/>
        </w:rPr>
        <w:footnoteReference w:id="14"/>
      </w:r>
      <w:r w:rsidR="00AF4756">
        <w:rPr>
          <w:rFonts w:eastAsia="Times New Roman"/>
        </w:rPr>
        <w:t>.</w:t>
      </w:r>
      <w:r w:rsidR="00AF380D">
        <w:rPr>
          <w:rFonts w:eastAsia="Times New Roman"/>
        </w:rPr>
        <w:t xml:space="preserve"> An impact evaluation of PRF2 found </w:t>
      </w:r>
      <w:r w:rsidR="005C0862">
        <w:rPr>
          <w:rFonts w:eastAsia="Times New Roman"/>
        </w:rPr>
        <w:t xml:space="preserve">the program generated </w:t>
      </w:r>
      <w:r w:rsidR="00651365">
        <w:rPr>
          <w:rFonts w:eastAsia="Times New Roman"/>
        </w:rPr>
        <w:t xml:space="preserve">high </w:t>
      </w:r>
      <w:r w:rsidR="005C0862">
        <w:rPr>
          <w:rFonts w:eastAsia="Times New Roman"/>
        </w:rPr>
        <w:t>impact where the small-scale infrastructure was located in or near target villages (but less so when households need to travel far away).</w:t>
      </w:r>
      <w:r w:rsidR="005C0862">
        <w:rPr>
          <w:rStyle w:val="FootnoteReference"/>
          <w:rFonts w:eastAsia="Times New Roman"/>
        </w:rPr>
        <w:footnoteReference w:id="15"/>
      </w:r>
      <w:r w:rsidR="005C0862">
        <w:rPr>
          <w:rFonts w:eastAsia="Times New Roman"/>
        </w:rPr>
        <w:t xml:space="preserve"> </w:t>
      </w:r>
      <w:r w:rsidR="0050290F">
        <w:rPr>
          <w:rFonts w:eastAsia="Times New Roman"/>
        </w:rPr>
        <w:t>L</w:t>
      </w:r>
      <w:r w:rsidR="005C0862">
        <w:rPr>
          <w:rFonts w:eastAsia="Times New Roman"/>
        </w:rPr>
        <w:t xml:space="preserve">essons learned from the </w:t>
      </w:r>
      <w:r w:rsidR="00651365">
        <w:rPr>
          <w:rFonts w:eastAsia="Times New Roman"/>
        </w:rPr>
        <w:t>evaluation</w:t>
      </w:r>
      <w:r w:rsidR="005C0862">
        <w:rPr>
          <w:rFonts w:eastAsia="Times New Roman"/>
        </w:rPr>
        <w:t xml:space="preserve"> were to ensure service support follow infrastructure development</w:t>
      </w:r>
      <w:r w:rsidR="0050290F">
        <w:rPr>
          <w:rFonts w:eastAsia="Times New Roman"/>
        </w:rPr>
        <w:t>,</w:t>
      </w:r>
      <w:r w:rsidR="005C0862">
        <w:rPr>
          <w:rFonts w:eastAsia="Times New Roman"/>
        </w:rPr>
        <w:t xml:space="preserve"> and the need to align planning processes at the local level. </w:t>
      </w:r>
      <w:r w:rsidR="00BC1639">
        <w:rPr>
          <w:rFonts w:eastAsia="Times New Roman"/>
        </w:rPr>
        <w:t>The Social Protection and Sustainable Livelihoods (SPSL) project completed in August 2017</w:t>
      </w:r>
      <w:r w:rsidR="00E44675">
        <w:rPr>
          <w:rFonts w:eastAsia="Times New Roman"/>
        </w:rPr>
        <w:t xml:space="preserve"> and </w:t>
      </w:r>
      <w:r w:rsidR="00E44675" w:rsidRPr="003E53B7">
        <w:rPr>
          <w:rFonts w:eastAsia="Times New Roman"/>
        </w:rPr>
        <w:t>provided 1132 poor households (target was 1200) with productive assets,</w:t>
      </w:r>
      <w:r w:rsidR="00E44675" w:rsidRPr="0050079E">
        <w:rPr>
          <w:rFonts w:eastAsia="Times New Roman"/>
        </w:rPr>
        <w:t xml:space="preserve"> stipends and </w:t>
      </w:r>
      <w:r w:rsidR="00E44675">
        <w:rPr>
          <w:rFonts w:eastAsia="Times New Roman"/>
        </w:rPr>
        <w:t>capacity building</w:t>
      </w:r>
      <w:r w:rsidR="00BC1639">
        <w:rPr>
          <w:rFonts w:eastAsia="Times New Roman"/>
        </w:rPr>
        <w:t>. The World Bank is planning to build on the work of SPSL to develop a National Strategy on Social Protection</w:t>
      </w:r>
      <w:r w:rsidR="0050290F">
        <w:rPr>
          <w:rFonts w:eastAsia="Times New Roman"/>
        </w:rPr>
        <w:t>,</w:t>
      </w:r>
      <w:r w:rsidR="00BC1639">
        <w:rPr>
          <w:rFonts w:eastAsia="Times New Roman"/>
        </w:rPr>
        <w:t xml:space="preserve"> and pilot an early childhood grant</w:t>
      </w:r>
      <w:r w:rsidR="0050290F">
        <w:rPr>
          <w:rFonts w:eastAsia="Times New Roman"/>
        </w:rPr>
        <w:t xml:space="preserve">. This </w:t>
      </w:r>
      <w:r w:rsidR="00586C7B">
        <w:rPr>
          <w:rFonts w:eastAsia="Times New Roman"/>
        </w:rPr>
        <w:t xml:space="preserve"> follow</w:t>
      </w:r>
      <w:r w:rsidR="0050290F">
        <w:rPr>
          <w:rFonts w:eastAsia="Times New Roman"/>
        </w:rPr>
        <w:t>s</w:t>
      </w:r>
      <w:r w:rsidR="00586C7B">
        <w:rPr>
          <w:rFonts w:eastAsia="Times New Roman"/>
        </w:rPr>
        <w:t xml:space="preserve"> good progress by the government </w:t>
      </w:r>
      <w:r w:rsidR="0050290F">
        <w:rPr>
          <w:rFonts w:eastAsia="Times New Roman"/>
        </w:rPr>
        <w:t xml:space="preserve">in </w:t>
      </w:r>
      <w:r w:rsidR="00586C7B">
        <w:rPr>
          <w:rFonts w:eastAsia="Times New Roman"/>
        </w:rPr>
        <w:t>issu</w:t>
      </w:r>
      <w:r w:rsidR="0050290F">
        <w:rPr>
          <w:rFonts w:eastAsia="Times New Roman"/>
        </w:rPr>
        <w:t>ing</w:t>
      </w:r>
      <w:r w:rsidR="00586C7B">
        <w:rPr>
          <w:rFonts w:eastAsia="Times New Roman"/>
        </w:rPr>
        <w:t xml:space="preserve"> </w:t>
      </w:r>
      <w:r w:rsidR="00651365">
        <w:rPr>
          <w:rFonts w:eastAsia="Times New Roman"/>
        </w:rPr>
        <w:t>a</w:t>
      </w:r>
      <w:r w:rsidR="00586C7B">
        <w:rPr>
          <w:rFonts w:eastAsia="Times New Roman"/>
        </w:rPr>
        <w:t xml:space="preserve"> Social Welfare Decree</w:t>
      </w:r>
      <w:r w:rsidR="00651365">
        <w:rPr>
          <w:rFonts w:eastAsia="Times New Roman"/>
        </w:rPr>
        <w:t xml:space="preserve"> </w:t>
      </w:r>
      <w:r w:rsidR="0050290F">
        <w:rPr>
          <w:rFonts w:eastAsia="Times New Roman"/>
        </w:rPr>
        <w:t xml:space="preserve">to </w:t>
      </w:r>
      <w:r w:rsidR="00651365">
        <w:rPr>
          <w:rFonts w:eastAsia="Times New Roman"/>
        </w:rPr>
        <w:t>creat</w:t>
      </w:r>
      <w:r w:rsidR="0050290F">
        <w:rPr>
          <w:rFonts w:eastAsia="Times New Roman"/>
        </w:rPr>
        <w:t>e</w:t>
      </w:r>
      <w:r w:rsidR="00651365">
        <w:rPr>
          <w:rFonts w:eastAsia="Times New Roman"/>
        </w:rPr>
        <w:t xml:space="preserve"> a Social Welfare Fund</w:t>
      </w:r>
      <w:r w:rsidR="00BC1639">
        <w:rPr>
          <w:rFonts w:eastAsia="Times New Roman"/>
        </w:rPr>
        <w:t xml:space="preserve">. </w:t>
      </w:r>
      <w:r w:rsidR="001E4E53">
        <w:rPr>
          <w:rFonts w:eastAsia="Times New Roman"/>
        </w:rPr>
        <w:t>S</w:t>
      </w:r>
      <w:r w:rsidR="00BC1639">
        <w:rPr>
          <w:rFonts w:eastAsia="Times New Roman"/>
        </w:rPr>
        <w:t xml:space="preserve">ome of </w:t>
      </w:r>
      <w:r w:rsidR="0050290F">
        <w:rPr>
          <w:rFonts w:eastAsia="Times New Roman"/>
        </w:rPr>
        <w:t xml:space="preserve">our </w:t>
      </w:r>
      <w:r w:rsidR="001E4E53">
        <w:rPr>
          <w:rFonts w:eastAsia="Times New Roman"/>
        </w:rPr>
        <w:t xml:space="preserve">rural </w:t>
      </w:r>
      <w:r w:rsidR="00BC1639">
        <w:rPr>
          <w:rFonts w:eastAsia="Times New Roman"/>
        </w:rPr>
        <w:t xml:space="preserve">livelihoods work </w:t>
      </w:r>
      <w:r w:rsidR="0050290F">
        <w:rPr>
          <w:rFonts w:eastAsia="Times New Roman"/>
        </w:rPr>
        <w:t xml:space="preserve">in southern Laos </w:t>
      </w:r>
      <w:r w:rsidR="001E4E53">
        <w:rPr>
          <w:rFonts w:eastAsia="Times New Roman"/>
        </w:rPr>
        <w:t xml:space="preserve">will continue with </w:t>
      </w:r>
      <w:r w:rsidR="0050290F">
        <w:rPr>
          <w:rFonts w:eastAsia="Times New Roman"/>
        </w:rPr>
        <w:t>third-party f</w:t>
      </w:r>
      <w:r w:rsidR="00BC1639">
        <w:rPr>
          <w:rFonts w:eastAsia="Times New Roman"/>
        </w:rPr>
        <w:t>unding.</w:t>
      </w:r>
    </w:p>
    <w:p w:rsidR="00624346" w:rsidRDefault="00624346" w:rsidP="0050079E">
      <w:pPr>
        <w:spacing w:before="0" w:after="0"/>
        <w:rPr>
          <w:b/>
          <w:lang w:val="en-AU"/>
        </w:rPr>
      </w:pPr>
    </w:p>
    <w:p w:rsidR="00ED3990" w:rsidRPr="008337F6" w:rsidRDefault="00ED3990" w:rsidP="0050079E">
      <w:pPr>
        <w:spacing w:before="0"/>
        <w:rPr>
          <w:b/>
          <w:lang w:val="en-AU"/>
        </w:rPr>
      </w:pPr>
      <w:r w:rsidRPr="008337F6">
        <w:rPr>
          <w:b/>
          <w:lang w:val="en-AU"/>
        </w:rPr>
        <w:t>Australian Centre for International Agricultural Research (ACIAR)</w:t>
      </w:r>
    </w:p>
    <w:p w:rsidR="00DF018F" w:rsidRPr="0050079E" w:rsidRDefault="00A232E5" w:rsidP="0050079E">
      <w:pPr>
        <w:spacing w:line="240" w:lineRule="auto"/>
        <w:rPr>
          <w:rFonts w:eastAsia="Times New Roman"/>
        </w:rPr>
      </w:pPr>
      <w:r w:rsidRPr="0050079E">
        <w:rPr>
          <w:rFonts w:eastAsia="Times New Roman"/>
        </w:rPr>
        <w:t xml:space="preserve">Australia’s </w:t>
      </w:r>
      <w:r w:rsidR="00660C3C">
        <w:rPr>
          <w:rFonts w:eastAsia="Times New Roman"/>
        </w:rPr>
        <w:t xml:space="preserve">development </w:t>
      </w:r>
      <w:r w:rsidRPr="0050079E">
        <w:rPr>
          <w:rFonts w:eastAsia="Times New Roman"/>
        </w:rPr>
        <w:t>assistance</w:t>
      </w:r>
      <w:r w:rsidR="00660C3C">
        <w:rPr>
          <w:rFonts w:eastAsia="Times New Roman"/>
        </w:rPr>
        <w:t xml:space="preserve"> program</w:t>
      </w:r>
      <w:r w:rsidRPr="0050079E">
        <w:rPr>
          <w:rFonts w:eastAsia="Times New Roman"/>
        </w:rPr>
        <w:t xml:space="preserve"> in Laos is also partly delivered by ACIAR. In 201</w:t>
      </w:r>
      <w:r w:rsidR="00251C20">
        <w:rPr>
          <w:rFonts w:eastAsia="Times New Roman"/>
        </w:rPr>
        <w:t>6</w:t>
      </w:r>
      <w:r w:rsidRPr="0050079E">
        <w:rPr>
          <w:rFonts w:eastAsia="Times New Roman"/>
        </w:rPr>
        <w:t>-1</w:t>
      </w:r>
      <w:r w:rsidR="00251C20">
        <w:rPr>
          <w:rFonts w:eastAsia="Times New Roman"/>
        </w:rPr>
        <w:t>7</w:t>
      </w:r>
      <w:r w:rsidRPr="0050079E">
        <w:rPr>
          <w:rFonts w:eastAsia="Times New Roman"/>
        </w:rPr>
        <w:t>, ACIAR delivered a research program (valued at $5.3 million) focused on improving agricultural production systems and market linkages</w:t>
      </w:r>
      <w:r w:rsidR="0050290F">
        <w:rPr>
          <w:rFonts w:eastAsia="Times New Roman"/>
        </w:rPr>
        <w:t>,</w:t>
      </w:r>
      <w:r w:rsidRPr="0050079E">
        <w:rPr>
          <w:rFonts w:eastAsia="Times New Roman"/>
        </w:rPr>
        <w:t xml:space="preserve"> and increasing smallholder income. These investment</w:t>
      </w:r>
      <w:r w:rsidR="007B32CD">
        <w:rPr>
          <w:rFonts w:eastAsia="Times New Roman"/>
        </w:rPr>
        <w:t>s</w:t>
      </w:r>
      <w:r w:rsidRPr="0050079E">
        <w:rPr>
          <w:rFonts w:eastAsia="Times New Roman"/>
        </w:rPr>
        <w:t xml:space="preserve"> re</w:t>
      </w:r>
      <w:r w:rsidR="005C3F1D" w:rsidRPr="0050079E">
        <w:rPr>
          <w:rFonts w:eastAsia="Times New Roman"/>
        </w:rPr>
        <w:t>sulted in: production of genetically-improved teak seedlings that</w:t>
      </w:r>
      <w:r w:rsidR="00660C3C">
        <w:rPr>
          <w:rFonts w:eastAsia="Times New Roman"/>
        </w:rPr>
        <w:t xml:space="preserve"> </w:t>
      </w:r>
      <w:r w:rsidR="000A0807">
        <w:rPr>
          <w:rFonts w:eastAsia="Times New Roman"/>
        </w:rPr>
        <w:t xml:space="preserve">provide better quality wood and </w:t>
      </w:r>
      <w:r w:rsidR="00117598" w:rsidRPr="0050079E">
        <w:rPr>
          <w:rFonts w:eastAsia="Times New Roman"/>
        </w:rPr>
        <w:t xml:space="preserve">increase </w:t>
      </w:r>
      <w:r w:rsidR="005C3F1D" w:rsidRPr="0050079E">
        <w:rPr>
          <w:rFonts w:eastAsia="Times New Roman"/>
        </w:rPr>
        <w:t>returns t</w:t>
      </w:r>
      <w:r w:rsidR="0013481F">
        <w:rPr>
          <w:rFonts w:eastAsia="Times New Roman"/>
        </w:rPr>
        <w:t>o farmers; adoption and scaling-</w:t>
      </w:r>
      <w:r w:rsidR="00117598" w:rsidRPr="0050079E">
        <w:rPr>
          <w:rFonts w:eastAsia="Times New Roman"/>
        </w:rPr>
        <w:t xml:space="preserve">up </w:t>
      </w:r>
      <w:r w:rsidR="0013481F" w:rsidRPr="0050079E">
        <w:rPr>
          <w:rFonts w:eastAsia="Times New Roman"/>
        </w:rPr>
        <w:t>(</w:t>
      </w:r>
      <w:r w:rsidR="0013481F">
        <w:rPr>
          <w:rFonts w:eastAsia="Times New Roman"/>
        </w:rPr>
        <w:t xml:space="preserve">together with </w:t>
      </w:r>
      <w:r w:rsidR="0013481F" w:rsidRPr="0050079E">
        <w:rPr>
          <w:rFonts w:eastAsia="Times New Roman"/>
        </w:rPr>
        <w:t xml:space="preserve">ADB, WB and USAID) </w:t>
      </w:r>
      <w:r w:rsidR="0013481F">
        <w:rPr>
          <w:rFonts w:eastAsia="Times New Roman"/>
        </w:rPr>
        <w:t>Australian fish passage technology in Laos to help overcome man-made obstacles to fish migration, vital to protect the Mekong as a fishery</w:t>
      </w:r>
      <w:r w:rsidR="005C3F1D" w:rsidRPr="0050079E">
        <w:rPr>
          <w:rFonts w:eastAsia="Times New Roman"/>
        </w:rPr>
        <w:t xml:space="preserve">; and </w:t>
      </w:r>
      <w:r w:rsidR="00117598" w:rsidRPr="0050079E">
        <w:rPr>
          <w:rFonts w:eastAsia="Times New Roman"/>
        </w:rPr>
        <w:t xml:space="preserve">a </w:t>
      </w:r>
      <w:r w:rsidR="005C3F1D" w:rsidRPr="0050079E">
        <w:rPr>
          <w:rFonts w:eastAsia="Times New Roman"/>
        </w:rPr>
        <w:t xml:space="preserve">rapid increase in adoption of mechanised drill seeding </w:t>
      </w:r>
      <w:r w:rsidR="00117598" w:rsidRPr="0050079E">
        <w:rPr>
          <w:rFonts w:eastAsia="Times New Roman"/>
        </w:rPr>
        <w:t>by smallholders (especially women farmers) across more than</w:t>
      </w:r>
      <w:r w:rsidR="00BE67C7">
        <w:rPr>
          <w:rFonts w:eastAsia="Times New Roman"/>
        </w:rPr>
        <w:t xml:space="preserve"> 17,000 hectares of farm land. ACIAR undertakes climate proofing of its investments in Laos.</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B73C43" w:rsidRDefault="00B73C43" w:rsidP="00B73C43">
      <w:pPr>
        <w:rPr>
          <w:rFonts w:eastAsia="Times New Roman"/>
        </w:rPr>
      </w:pPr>
      <w:r w:rsidRPr="006B3774">
        <w:rPr>
          <w:rFonts w:eastAsia="Times New Roman"/>
        </w:rPr>
        <w:t xml:space="preserve">The Laos Program </w:t>
      </w:r>
      <w:r w:rsidR="00651365">
        <w:rPr>
          <w:rFonts w:eastAsia="Times New Roman"/>
        </w:rPr>
        <w:t>AIP</w:t>
      </w:r>
      <w:r w:rsidRPr="006B3774">
        <w:rPr>
          <w:rFonts w:eastAsia="Times New Roman"/>
        </w:rPr>
        <w:t xml:space="preserve"> represents jointly agreed priorities of the</w:t>
      </w:r>
      <w:r w:rsidR="000A0807">
        <w:rPr>
          <w:rFonts w:eastAsia="Times New Roman"/>
        </w:rPr>
        <w:t xml:space="preserve"> Australian and Lao Governments, </w:t>
      </w:r>
      <w:r w:rsidRPr="006B3774">
        <w:rPr>
          <w:rFonts w:eastAsia="Times New Roman"/>
        </w:rPr>
        <w:t>confirmed at high-level aid consultations in 2015</w:t>
      </w:r>
      <w:r w:rsidR="00A109F2">
        <w:rPr>
          <w:rFonts w:eastAsia="Times New Roman"/>
        </w:rPr>
        <w:t xml:space="preserve"> and </w:t>
      </w:r>
      <w:r w:rsidR="000A0807">
        <w:rPr>
          <w:rFonts w:eastAsia="Times New Roman"/>
        </w:rPr>
        <w:t xml:space="preserve">2017. </w:t>
      </w:r>
      <w:r w:rsidR="0050290F">
        <w:rPr>
          <w:rFonts w:eastAsia="Times New Roman"/>
        </w:rPr>
        <w:t xml:space="preserve"> </w:t>
      </w:r>
      <w:r w:rsidRPr="006B3774">
        <w:rPr>
          <w:rFonts w:eastAsia="Times New Roman"/>
        </w:rPr>
        <w:t xml:space="preserve"> </w:t>
      </w:r>
      <w:r w:rsidR="0050290F">
        <w:rPr>
          <w:rFonts w:eastAsia="Times New Roman"/>
        </w:rPr>
        <w:t>T</w:t>
      </w:r>
      <w:r w:rsidRPr="006B3774">
        <w:rPr>
          <w:rFonts w:eastAsia="Times New Roman"/>
        </w:rPr>
        <w:t>he Lao Government has made a series of policy commitments in national planning documents that support the effectiveness of Au</w:t>
      </w:r>
      <w:r w:rsidR="00651365">
        <w:rPr>
          <w:rFonts w:eastAsia="Times New Roman"/>
        </w:rPr>
        <w:t>stralian aid in priority areas.</w:t>
      </w:r>
    </w:p>
    <w:p w:rsidR="005A792E" w:rsidRDefault="00B60704" w:rsidP="00312B7B">
      <w:pPr>
        <w:rPr>
          <w:rFonts w:eastAsia="Times New Roman"/>
          <w:lang w:val="en-US"/>
        </w:rPr>
      </w:pPr>
      <w:r w:rsidRPr="006B3774">
        <w:rPr>
          <w:rFonts w:eastAsia="Times New Roman"/>
        </w:rPr>
        <w:t xml:space="preserve">In the education sector, </w:t>
      </w:r>
      <w:r w:rsidR="00A109F2">
        <w:rPr>
          <w:rFonts w:eastAsia="Times New Roman"/>
        </w:rPr>
        <w:t>Laos</w:t>
      </w:r>
      <w:r w:rsidR="003C460B">
        <w:rPr>
          <w:rFonts w:eastAsia="Times New Roman"/>
        </w:rPr>
        <w:t xml:space="preserve"> has made a commitment</w:t>
      </w:r>
      <w:r w:rsidRPr="006B3774">
        <w:rPr>
          <w:rFonts w:eastAsia="Times New Roman"/>
        </w:rPr>
        <w:t xml:space="preserve"> </w:t>
      </w:r>
      <w:r w:rsidR="00A91CD8">
        <w:rPr>
          <w:rFonts w:eastAsia="Times New Roman"/>
        </w:rPr>
        <w:t>‘</w:t>
      </w:r>
      <w:r w:rsidRPr="006B3774">
        <w:rPr>
          <w:rFonts w:eastAsia="Times New Roman"/>
        </w:rPr>
        <w:t>subject to b</w:t>
      </w:r>
      <w:r w:rsidR="00251C20">
        <w:rPr>
          <w:rFonts w:eastAsia="Times New Roman"/>
        </w:rPr>
        <w:t>udget constraints</w:t>
      </w:r>
      <w:r w:rsidR="00A91CD8">
        <w:rPr>
          <w:rFonts w:eastAsia="Times New Roman"/>
        </w:rPr>
        <w:t>’</w:t>
      </w:r>
      <w:r w:rsidR="00251C20">
        <w:rPr>
          <w:rFonts w:eastAsia="Times New Roman"/>
        </w:rPr>
        <w:t xml:space="preserve"> to increase</w:t>
      </w:r>
      <w:r w:rsidRPr="006B3774">
        <w:rPr>
          <w:rFonts w:eastAsia="Times New Roman"/>
        </w:rPr>
        <w:t xml:space="preserve"> the proportion of t</w:t>
      </w:r>
      <w:r w:rsidR="00A109F2">
        <w:rPr>
          <w:rFonts w:eastAsia="Times New Roman"/>
        </w:rPr>
        <w:t>he budget devoted to education</w:t>
      </w:r>
      <w:r w:rsidR="0050290F">
        <w:rPr>
          <w:rFonts w:eastAsia="Times New Roman"/>
        </w:rPr>
        <w:t>,</w:t>
      </w:r>
      <w:r w:rsidR="00A109F2">
        <w:rPr>
          <w:rFonts w:eastAsia="Times New Roman"/>
        </w:rPr>
        <w:t xml:space="preserve"> </w:t>
      </w:r>
      <w:r w:rsidR="00DC7E3D">
        <w:rPr>
          <w:rFonts w:eastAsia="Times New Roman"/>
        </w:rPr>
        <w:t xml:space="preserve">and </w:t>
      </w:r>
      <w:r w:rsidRPr="006B3774">
        <w:rPr>
          <w:rFonts w:eastAsia="Times New Roman"/>
        </w:rPr>
        <w:t xml:space="preserve">the proportion of the education budget </w:t>
      </w:r>
      <w:r w:rsidR="00DC7E3D">
        <w:rPr>
          <w:rFonts w:eastAsia="Times New Roman"/>
        </w:rPr>
        <w:t>allocated</w:t>
      </w:r>
      <w:r w:rsidRPr="006B3774">
        <w:rPr>
          <w:rFonts w:eastAsia="Times New Roman"/>
        </w:rPr>
        <w:t xml:space="preserve"> to </w:t>
      </w:r>
      <w:r w:rsidR="00A109F2">
        <w:rPr>
          <w:rFonts w:eastAsia="Times New Roman"/>
        </w:rPr>
        <w:t xml:space="preserve">non-wage </w:t>
      </w:r>
      <w:r w:rsidR="002B2C72">
        <w:rPr>
          <w:rFonts w:eastAsia="Times New Roman"/>
        </w:rPr>
        <w:t xml:space="preserve">recurrent </w:t>
      </w:r>
      <w:r w:rsidR="00A109F2">
        <w:rPr>
          <w:rFonts w:eastAsia="Times New Roman"/>
        </w:rPr>
        <w:t>expenditure (</w:t>
      </w:r>
      <w:r w:rsidRPr="006B3774">
        <w:rPr>
          <w:rFonts w:eastAsia="Times New Roman"/>
        </w:rPr>
        <w:t>such as text books</w:t>
      </w:r>
      <w:r w:rsidR="005A792E">
        <w:rPr>
          <w:rFonts w:eastAsia="Times New Roman"/>
        </w:rPr>
        <w:t xml:space="preserve"> and teacher training</w:t>
      </w:r>
      <w:r w:rsidR="00A109F2">
        <w:rPr>
          <w:rFonts w:eastAsia="Times New Roman"/>
        </w:rPr>
        <w:t>)</w:t>
      </w:r>
      <w:r w:rsidRPr="006B3774">
        <w:rPr>
          <w:rFonts w:eastAsia="Times New Roman"/>
        </w:rPr>
        <w:t xml:space="preserve">. </w:t>
      </w:r>
      <w:r w:rsidR="00791DFE">
        <w:rPr>
          <w:rFonts w:eastAsia="Times New Roman"/>
        </w:rPr>
        <w:t xml:space="preserve">However, </w:t>
      </w:r>
      <w:r w:rsidR="00791DFE" w:rsidRPr="000A78AD">
        <w:rPr>
          <w:rFonts w:eastAsia="Times New Roman"/>
          <w:lang w:val="en-US"/>
        </w:rPr>
        <w:t>deterioration</w:t>
      </w:r>
      <w:r w:rsidR="00FB380E" w:rsidRPr="000A78AD">
        <w:rPr>
          <w:rFonts w:eastAsia="Times New Roman"/>
          <w:lang w:val="en-US"/>
        </w:rPr>
        <w:t xml:space="preserve"> of the economic and fiscal outlook </w:t>
      </w:r>
      <w:r w:rsidR="000A78AD">
        <w:rPr>
          <w:rFonts w:eastAsia="Times New Roman"/>
          <w:lang w:val="en-US"/>
        </w:rPr>
        <w:t>(</w:t>
      </w:r>
      <w:r w:rsidR="000A78AD" w:rsidRPr="000A78AD">
        <w:rPr>
          <w:rFonts w:eastAsia="Times New Roman"/>
          <w:lang w:val="en-US"/>
        </w:rPr>
        <w:t>lower GDP growth, lower revenue, and high debt</w:t>
      </w:r>
      <w:r w:rsidR="000A78AD">
        <w:rPr>
          <w:rFonts w:eastAsia="Times New Roman"/>
          <w:lang w:val="en-US"/>
        </w:rPr>
        <w:t>)</w:t>
      </w:r>
      <w:r w:rsidR="000A78AD" w:rsidRPr="000A78AD">
        <w:rPr>
          <w:rFonts w:eastAsia="Times New Roman"/>
          <w:lang w:val="en-US"/>
        </w:rPr>
        <w:t xml:space="preserve"> </w:t>
      </w:r>
      <w:r w:rsidR="000A78AD">
        <w:rPr>
          <w:rFonts w:eastAsia="Times New Roman"/>
          <w:lang w:val="en-US"/>
        </w:rPr>
        <w:t xml:space="preserve">has led to a </w:t>
      </w:r>
      <w:r w:rsidR="00FB380E" w:rsidRPr="000A78AD">
        <w:rPr>
          <w:rFonts w:eastAsia="Times New Roman"/>
          <w:lang w:val="en-US"/>
        </w:rPr>
        <w:t xml:space="preserve">substantial revision of </w:t>
      </w:r>
      <w:r w:rsidR="000A78AD">
        <w:rPr>
          <w:rFonts w:eastAsia="Times New Roman"/>
          <w:lang w:val="en-US"/>
        </w:rPr>
        <w:t>budget projections to 2020</w:t>
      </w:r>
      <w:r w:rsidR="005A792E" w:rsidRPr="00865478">
        <w:rPr>
          <w:rFonts w:eastAsia="Times New Roman"/>
          <w:lang w:val="en-US"/>
        </w:rPr>
        <w:t>. While</w:t>
      </w:r>
      <w:r w:rsidR="0050290F">
        <w:rPr>
          <w:rFonts w:eastAsia="Times New Roman"/>
          <w:lang w:val="en-US"/>
        </w:rPr>
        <w:t>,</w:t>
      </w:r>
      <w:r w:rsidR="005A792E" w:rsidRPr="00865478">
        <w:rPr>
          <w:rFonts w:eastAsia="Times New Roman"/>
          <w:lang w:val="en-US"/>
        </w:rPr>
        <w:t xml:space="preserve"> </w:t>
      </w:r>
      <w:r w:rsidR="00DC7E3D" w:rsidRPr="00865478">
        <w:rPr>
          <w:rFonts w:eastAsia="Times New Roman"/>
          <w:lang w:val="en-US"/>
        </w:rPr>
        <w:t xml:space="preserve">in nominal terms, </w:t>
      </w:r>
      <w:r w:rsidR="005A792E" w:rsidRPr="00865478">
        <w:rPr>
          <w:rFonts w:eastAsia="Times New Roman"/>
          <w:lang w:val="en-US"/>
        </w:rPr>
        <w:t xml:space="preserve">the education budget remained stable in </w:t>
      </w:r>
      <w:r w:rsidR="005A792E" w:rsidRPr="00865478">
        <w:rPr>
          <w:rFonts w:eastAsia="Times New Roman"/>
          <w:lang w:val="en-US"/>
        </w:rPr>
        <w:lastRenderedPageBreak/>
        <w:t xml:space="preserve">2017, there is a risk of </w:t>
      </w:r>
      <w:r w:rsidR="00DC7E3D" w:rsidRPr="00865478">
        <w:rPr>
          <w:rFonts w:eastAsia="Times New Roman"/>
          <w:lang w:val="en-US"/>
        </w:rPr>
        <w:t>cuts</w:t>
      </w:r>
      <w:r w:rsidR="005A792E" w:rsidRPr="00865478">
        <w:rPr>
          <w:rFonts w:eastAsia="Times New Roman"/>
          <w:lang w:val="en-US"/>
        </w:rPr>
        <w:t xml:space="preserve"> in future years.</w:t>
      </w:r>
      <w:r w:rsidR="000C0421" w:rsidRPr="00251C20">
        <w:rPr>
          <w:rFonts w:eastAsia="Times New Roman"/>
          <w:lang w:val="en-US"/>
        </w:rPr>
        <w:t xml:space="preserve"> </w:t>
      </w:r>
      <w:r w:rsidR="0000620F">
        <w:rPr>
          <w:rFonts w:eastAsia="Times New Roman"/>
          <w:lang w:val="en-US"/>
        </w:rPr>
        <w:t xml:space="preserve">Moreover, as a proportion of Laos’ budget, the education sector has reduced from an estimated 15.63 per cent in 2015-16 to a projected 13.11 per cent in 2017 (the target set by the Education Law is 17 per cent). </w:t>
      </w:r>
      <w:r w:rsidR="005A792E" w:rsidRPr="00251C20">
        <w:rPr>
          <w:rFonts w:eastAsia="Times New Roman"/>
        </w:rPr>
        <w:t>The</w:t>
      </w:r>
      <w:r w:rsidR="005A792E" w:rsidRPr="006B3774">
        <w:rPr>
          <w:rFonts w:eastAsia="Times New Roman"/>
        </w:rPr>
        <w:t xml:space="preserve"> proportion of the education budget allocated to non-wage recurrent expenditure </w:t>
      </w:r>
      <w:r w:rsidR="00DC7E3D">
        <w:rPr>
          <w:rFonts w:eastAsia="Times New Roman"/>
        </w:rPr>
        <w:t>has</w:t>
      </w:r>
      <w:r w:rsidR="005A792E" w:rsidRPr="006B3774">
        <w:rPr>
          <w:rFonts w:eastAsia="Times New Roman"/>
        </w:rPr>
        <w:t xml:space="preserve"> increase</w:t>
      </w:r>
      <w:r w:rsidR="00DC7E3D">
        <w:rPr>
          <w:rFonts w:eastAsia="Times New Roman"/>
        </w:rPr>
        <w:t>d</w:t>
      </w:r>
      <w:r w:rsidR="005A792E" w:rsidRPr="006B3774">
        <w:rPr>
          <w:rFonts w:eastAsia="Times New Roman"/>
        </w:rPr>
        <w:t xml:space="preserve"> sl</w:t>
      </w:r>
      <w:r w:rsidR="005A792E">
        <w:rPr>
          <w:rFonts w:eastAsia="Times New Roman"/>
        </w:rPr>
        <w:t>ightly from</w:t>
      </w:r>
      <w:r w:rsidR="00DC7E3D">
        <w:rPr>
          <w:rFonts w:eastAsia="Times New Roman"/>
        </w:rPr>
        <w:t xml:space="preserve"> 12 to 13</w:t>
      </w:r>
      <w:r w:rsidR="005A792E">
        <w:rPr>
          <w:rFonts w:eastAsia="Times New Roman"/>
        </w:rPr>
        <w:t xml:space="preserve"> per cent, but </w:t>
      </w:r>
      <w:r w:rsidR="005A792E" w:rsidRPr="006B3774">
        <w:rPr>
          <w:rFonts w:eastAsia="Times New Roman"/>
        </w:rPr>
        <w:t>remains low by international standards.</w:t>
      </w:r>
      <w:r w:rsidR="003C460B">
        <w:rPr>
          <w:rFonts w:eastAsia="Times New Roman"/>
        </w:rPr>
        <w:t xml:space="preserve"> We are urging the EU to include similar policy provisions as it negotiates a new package of budget support for Laos.</w:t>
      </w:r>
    </w:p>
    <w:p w:rsidR="00B73C43" w:rsidRDefault="00B60704" w:rsidP="00B73C43">
      <w:pPr>
        <w:rPr>
          <w:rFonts w:eastAsia="Times New Roman"/>
        </w:rPr>
      </w:pPr>
      <w:r>
        <w:rPr>
          <w:lang w:val="en-AU"/>
        </w:rPr>
        <w:t xml:space="preserve">There has been good progress on </w:t>
      </w:r>
      <w:r w:rsidRPr="00982C79">
        <w:rPr>
          <w:lang w:val="en-AU"/>
        </w:rPr>
        <w:t xml:space="preserve">policy and institutional </w:t>
      </w:r>
      <w:r w:rsidR="00312B7B">
        <w:rPr>
          <w:lang w:val="en-AU"/>
        </w:rPr>
        <w:t xml:space="preserve">improvements </w:t>
      </w:r>
      <w:r w:rsidRPr="00982C79">
        <w:rPr>
          <w:lang w:val="en-AU"/>
        </w:rPr>
        <w:t>in the trade sector</w:t>
      </w:r>
      <w:r>
        <w:rPr>
          <w:lang w:val="en-AU"/>
        </w:rPr>
        <w:t xml:space="preserve">. </w:t>
      </w:r>
      <w:r w:rsidR="00B73C43" w:rsidRPr="0050079E">
        <w:rPr>
          <w:rFonts w:eastAsia="Times New Roman"/>
        </w:rPr>
        <w:t xml:space="preserve">With the establishment of </w:t>
      </w:r>
      <w:r w:rsidR="00A5183F">
        <w:rPr>
          <w:rFonts w:eastAsia="Times New Roman"/>
        </w:rPr>
        <w:t xml:space="preserve">a regular meeting of </w:t>
      </w:r>
      <w:r w:rsidR="00B73C43" w:rsidRPr="0050079E">
        <w:rPr>
          <w:rFonts w:eastAsia="Times New Roman"/>
        </w:rPr>
        <w:t>the NTM Wor</w:t>
      </w:r>
      <w:r w:rsidR="00312B7B">
        <w:rPr>
          <w:rFonts w:eastAsia="Times New Roman"/>
        </w:rPr>
        <w:t>king Group in late 2016</w:t>
      </w:r>
      <w:r w:rsidR="00A5183F">
        <w:rPr>
          <w:rFonts w:eastAsia="Times New Roman"/>
        </w:rPr>
        <w:t>,</w:t>
      </w:r>
      <w:r w:rsidR="00312B7B">
        <w:rPr>
          <w:rFonts w:eastAsia="Times New Roman"/>
        </w:rPr>
        <w:t xml:space="preserve"> there has been</w:t>
      </w:r>
      <w:r w:rsidR="00B73C43" w:rsidRPr="0050079E">
        <w:rPr>
          <w:rFonts w:eastAsia="Times New Roman"/>
        </w:rPr>
        <w:t xml:space="preserve"> progress </w:t>
      </w:r>
      <w:r w:rsidR="00A91CD8">
        <w:rPr>
          <w:rFonts w:eastAsia="Times New Roman"/>
        </w:rPr>
        <w:t xml:space="preserve">in </w:t>
      </w:r>
      <w:r w:rsidR="002B2C72">
        <w:rPr>
          <w:rFonts w:eastAsia="Times New Roman"/>
        </w:rPr>
        <w:t>reducing</w:t>
      </w:r>
      <w:r w:rsidR="002B2C72" w:rsidRPr="0050079E">
        <w:rPr>
          <w:rFonts w:eastAsia="Times New Roman"/>
        </w:rPr>
        <w:t xml:space="preserve"> </w:t>
      </w:r>
      <w:r w:rsidR="00B73C43" w:rsidRPr="0050079E">
        <w:rPr>
          <w:rFonts w:eastAsia="Times New Roman"/>
        </w:rPr>
        <w:t xml:space="preserve">import/export barriers for traders. </w:t>
      </w:r>
      <w:r w:rsidR="00941F31">
        <w:rPr>
          <w:rFonts w:eastAsia="Times New Roman"/>
        </w:rPr>
        <w:t>The Ministry of Industry and Commerce</w:t>
      </w:r>
      <w:r w:rsidR="00941F31" w:rsidRPr="0050079E">
        <w:rPr>
          <w:rFonts w:eastAsia="Times New Roman"/>
        </w:rPr>
        <w:t xml:space="preserve"> </w:t>
      </w:r>
      <w:r w:rsidR="00B73C43" w:rsidRPr="0050079E">
        <w:rPr>
          <w:rFonts w:eastAsia="Times New Roman"/>
        </w:rPr>
        <w:t>is now finalising the Trade Fac</w:t>
      </w:r>
      <w:r>
        <w:rPr>
          <w:rFonts w:eastAsia="Times New Roman"/>
        </w:rPr>
        <w:t>ilitation Road Map (2017-2022)</w:t>
      </w:r>
      <w:r w:rsidR="005A08F9">
        <w:rPr>
          <w:rFonts w:eastAsia="Times New Roman"/>
        </w:rPr>
        <w:t xml:space="preserve">, driven by Laos’ </w:t>
      </w:r>
      <w:r w:rsidR="0050290F">
        <w:rPr>
          <w:rFonts w:eastAsia="Times New Roman"/>
        </w:rPr>
        <w:t>decision to join</w:t>
      </w:r>
      <w:r w:rsidR="005A08F9">
        <w:rPr>
          <w:rFonts w:eastAsia="Times New Roman"/>
        </w:rPr>
        <w:t xml:space="preserve"> the WTO Trade Facilitation Agreement</w:t>
      </w:r>
      <w:r w:rsidR="0050290F">
        <w:rPr>
          <w:rFonts w:eastAsia="Times New Roman"/>
        </w:rPr>
        <w:t>.  The plan</w:t>
      </w:r>
      <w:r>
        <w:rPr>
          <w:rFonts w:eastAsia="Times New Roman"/>
        </w:rPr>
        <w:t xml:space="preserve"> </w:t>
      </w:r>
      <w:r w:rsidR="00B73C43" w:rsidRPr="0050079E">
        <w:rPr>
          <w:rFonts w:eastAsia="Times New Roman"/>
        </w:rPr>
        <w:t>seeks to address gap areas like inadequate coordination with line departments, weak communication with provincial offices, poor coordination with the private sector</w:t>
      </w:r>
      <w:r w:rsidR="0050290F">
        <w:rPr>
          <w:rFonts w:eastAsia="Times New Roman"/>
        </w:rPr>
        <w:t>,</w:t>
      </w:r>
      <w:r w:rsidR="00B73C43" w:rsidRPr="0050079E">
        <w:rPr>
          <w:rFonts w:eastAsia="Times New Roman"/>
        </w:rPr>
        <w:t xml:space="preserve"> and reduction of NTMs. </w:t>
      </w:r>
      <w:r w:rsidR="005A08F9">
        <w:rPr>
          <w:rFonts w:eastAsia="Times New Roman"/>
        </w:rPr>
        <w:t xml:space="preserve">This work takes place in the context of other drivers of change, including under AANZFTA (through which Australia provides technical capacity support) and </w:t>
      </w:r>
      <w:r w:rsidR="0050290F">
        <w:rPr>
          <w:rFonts w:eastAsia="Times New Roman"/>
        </w:rPr>
        <w:t>Laos’ commitments under the ASEAN Economic Community (AEC)</w:t>
      </w:r>
      <w:r w:rsidR="005A08F9">
        <w:rPr>
          <w:rFonts w:eastAsia="Times New Roman"/>
        </w:rPr>
        <w:t xml:space="preserve">. </w:t>
      </w:r>
      <w:r w:rsidR="00941F31">
        <w:rPr>
          <w:rFonts w:eastAsia="Times New Roman"/>
        </w:rPr>
        <w:t xml:space="preserve">Work to </w:t>
      </w:r>
      <w:r w:rsidR="00784034">
        <w:rPr>
          <w:rFonts w:eastAsia="Times New Roman"/>
        </w:rPr>
        <w:t>finalise</w:t>
      </w:r>
      <w:r w:rsidR="00941F31">
        <w:rPr>
          <w:rFonts w:eastAsia="Times New Roman"/>
        </w:rPr>
        <w:t xml:space="preserve"> a Financial Inclusion roadmap is progressing slower than expected, but is expected to be </w:t>
      </w:r>
      <w:r w:rsidR="00784034">
        <w:rPr>
          <w:rFonts w:eastAsia="Times New Roman"/>
        </w:rPr>
        <w:t>approved</w:t>
      </w:r>
      <w:r w:rsidR="00941F31">
        <w:rPr>
          <w:rFonts w:eastAsia="Times New Roman"/>
        </w:rPr>
        <w:t xml:space="preserve"> by December 2017.</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AC5620" w:rsidRDefault="00117598" w:rsidP="00B63670">
      <w:pPr>
        <w:rPr>
          <w:lang w:val="en-AU"/>
        </w:rPr>
      </w:pPr>
      <w:r w:rsidRPr="0050079E">
        <w:rPr>
          <w:lang w:val="en-AU"/>
        </w:rPr>
        <w:t>Overall, program quality</w:t>
      </w:r>
      <w:r w:rsidR="00852C37">
        <w:rPr>
          <w:lang w:val="en-AU"/>
        </w:rPr>
        <w:t xml:space="preserve"> across the program’s eight investments</w:t>
      </w:r>
      <w:r w:rsidR="00AC5620">
        <w:rPr>
          <w:lang w:val="en-AU"/>
        </w:rPr>
        <w:t xml:space="preserve"> </w:t>
      </w:r>
      <w:r w:rsidR="00A91CD8">
        <w:rPr>
          <w:lang w:val="en-AU"/>
        </w:rPr>
        <w:t xml:space="preserve">improved </w:t>
      </w:r>
      <w:r w:rsidRPr="0050079E">
        <w:rPr>
          <w:lang w:val="en-AU"/>
        </w:rPr>
        <w:t xml:space="preserve">in </w:t>
      </w:r>
      <w:r w:rsidR="00B63670" w:rsidRPr="0050079E">
        <w:rPr>
          <w:lang w:val="en-AU"/>
        </w:rPr>
        <w:t>2016-17</w:t>
      </w:r>
      <w:r w:rsidR="00A91CD8">
        <w:rPr>
          <w:lang w:val="en-AU"/>
        </w:rPr>
        <w:t xml:space="preserve"> </w:t>
      </w:r>
      <w:r w:rsidR="00B63670" w:rsidRPr="0050079E">
        <w:rPr>
          <w:lang w:val="en-AU"/>
        </w:rPr>
        <w:t xml:space="preserve">compared to 2015-16. </w:t>
      </w:r>
      <w:r w:rsidR="00AC5620">
        <w:rPr>
          <w:lang w:val="en-AU"/>
        </w:rPr>
        <w:t xml:space="preserve"> </w:t>
      </w:r>
      <w:r w:rsidR="004F50DB">
        <w:rPr>
          <w:lang w:val="en-AU"/>
        </w:rPr>
        <w:t>I</w:t>
      </w:r>
      <w:r w:rsidR="00AC5620">
        <w:rPr>
          <w:lang w:val="en-AU"/>
        </w:rPr>
        <w:t xml:space="preserve">nvestments </w:t>
      </w:r>
      <w:r w:rsidR="004F50DB">
        <w:rPr>
          <w:lang w:val="en-AU"/>
        </w:rPr>
        <w:t>with unsatisfactory</w:t>
      </w:r>
      <w:r w:rsidR="00AC5620">
        <w:rPr>
          <w:lang w:val="en-AU"/>
        </w:rPr>
        <w:t xml:space="preserve"> </w:t>
      </w:r>
      <w:r w:rsidR="00AC5620" w:rsidRPr="00AC5620">
        <w:rPr>
          <w:i/>
          <w:lang w:val="en-AU"/>
        </w:rPr>
        <w:t xml:space="preserve">Effectiveness </w:t>
      </w:r>
      <w:r w:rsidR="004F50DB">
        <w:rPr>
          <w:lang w:val="en-AU"/>
        </w:rPr>
        <w:t xml:space="preserve">ratings </w:t>
      </w:r>
      <w:r w:rsidR="00073CB6">
        <w:rPr>
          <w:lang w:val="en-AU"/>
        </w:rPr>
        <w:t>(School Meals and WA</w:t>
      </w:r>
      <w:r w:rsidR="00AC5620">
        <w:rPr>
          <w:lang w:val="en-AU"/>
        </w:rPr>
        <w:t>T</w:t>
      </w:r>
      <w:r w:rsidR="00073CB6">
        <w:rPr>
          <w:lang w:val="en-AU"/>
        </w:rPr>
        <w:t>S</w:t>
      </w:r>
      <w:r w:rsidR="00AC5620">
        <w:rPr>
          <w:lang w:val="en-AU"/>
        </w:rPr>
        <w:t xml:space="preserve">AN and LAI) and unsatisfactory </w:t>
      </w:r>
      <w:r w:rsidR="00AC5620" w:rsidRPr="00AC5620">
        <w:rPr>
          <w:i/>
          <w:lang w:val="en-AU"/>
        </w:rPr>
        <w:t>Efficiency</w:t>
      </w:r>
      <w:r w:rsidR="00AC5620">
        <w:rPr>
          <w:lang w:val="en-AU"/>
        </w:rPr>
        <w:t xml:space="preserve"> rating</w:t>
      </w:r>
      <w:r w:rsidR="004F50DB">
        <w:rPr>
          <w:lang w:val="en-AU"/>
        </w:rPr>
        <w:t>s</w:t>
      </w:r>
      <w:r w:rsidR="00AC5620">
        <w:rPr>
          <w:lang w:val="en-AU"/>
        </w:rPr>
        <w:t xml:space="preserve"> (LARLP and support for UXO Action) </w:t>
      </w:r>
      <w:r w:rsidR="004F50DB">
        <w:rPr>
          <w:lang w:val="en-AU"/>
        </w:rPr>
        <w:t>in 2015-1</w:t>
      </w:r>
      <w:r w:rsidR="0038764C">
        <w:rPr>
          <w:lang w:val="en-AU"/>
        </w:rPr>
        <w:t>6</w:t>
      </w:r>
      <w:r w:rsidR="004F50DB">
        <w:rPr>
          <w:lang w:val="en-AU"/>
        </w:rPr>
        <w:t xml:space="preserve"> </w:t>
      </w:r>
      <w:r w:rsidR="00AC5620">
        <w:rPr>
          <w:lang w:val="en-AU"/>
        </w:rPr>
        <w:t xml:space="preserve">improved during the reporting period and have now been assessed as </w:t>
      </w:r>
      <w:r w:rsidR="004F50DB">
        <w:rPr>
          <w:lang w:val="en-AU"/>
        </w:rPr>
        <w:t>satisfactory</w:t>
      </w:r>
      <w:r w:rsidR="00AC5620">
        <w:rPr>
          <w:lang w:val="en-AU"/>
        </w:rPr>
        <w:t>.</w:t>
      </w:r>
      <w:r w:rsidR="00725A8B">
        <w:rPr>
          <w:lang w:val="en-AU"/>
        </w:rPr>
        <w:t xml:space="preserve"> </w:t>
      </w:r>
      <w:r w:rsidR="00B63670" w:rsidRPr="0050079E">
        <w:rPr>
          <w:lang w:val="en-AU"/>
        </w:rPr>
        <w:t xml:space="preserve">Performance on </w:t>
      </w:r>
      <w:r w:rsidR="00EA143D">
        <w:rPr>
          <w:i/>
          <w:lang w:val="en-AU"/>
        </w:rPr>
        <w:t xml:space="preserve">Relevance, </w:t>
      </w:r>
      <w:r w:rsidR="004A31E5" w:rsidRPr="00EA143D">
        <w:rPr>
          <w:i/>
          <w:lang w:val="en-AU"/>
        </w:rPr>
        <w:t>Gender Equality</w:t>
      </w:r>
      <w:r w:rsidR="004A31E5">
        <w:rPr>
          <w:lang w:val="en-AU"/>
        </w:rPr>
        <w:t xml:space="preserve"> and </w:t>
      </w:r>
      <w:r w:rsidR="004A31E5" w:rsidRPr="00EA143D">
        <w:rPr>
          <w:i/>
          <w:lang w:val="en-AU"/>
        </w:rPr>
        <w:t>Sustainability</w:t>
      </w:r>
      <w:r>
        <w:rPr>
          <w:lang w:val="en-AU"/>
        </w:rPr>
        <w:t xml:space="preserve"> was</w:t>
      </w:r>
      <w:r w:rsidR="00B63670" w:rsidRPr="0050079E">
        <w:rPr>
          <w:lang w:val="en-AU"/>
        </w:rPr>
        <w:t xml:space="preserve"> </w:t>
      </w:r>
      <w:r w:rsidR="000A0807">
        <w:rPr>
          <w:lang w:val="en-AU"/>
        </w:rPr>
        <w:t>found to be</w:t>
      </w:r>
      <w:r w:rsidR="00B63670" w:rsidRPr="0050079E">
        <w:rPr>
          <w:lang w:val="en-AU"/>
        </w:rPr>
        <w:t xml:space="preserve"> satisfactory </w:t>
      </w:r>
      <w:r w:rsidR="000B12B6" w:rsidRPr="0050079E">
        <w:rPr>
          <w:lang w:val="en-AU"/>
        </w:rPr>
        <w:t>across all investments</w:t>
      </w:r>
      <w:r w:rsidR="00EA143D">
        <w:rPr>
          <w:lang w:val="en-AU"/>
        </w:rPr>
        <w:t xml:space="preserve">. One </w:t>
      </w:r>
      <w:r w:rsidR="005036D4">
        <w:rPr>
          <w:lang w:val="en-AU"/>
        </w:rPr>
        <w:t>investment (School Meals and WA</w:t>
      </w:r>
      <w:r w:rsidR="00EA143D">
        <w:rPr>
          <w:lang w:val="en-AU"/>
        </w:rPr>
        <w:t>T</w:t>
      </w:r>
      <w:r w:rsidR="005036D4">
        <w:rPr>
          <w:lang w:val="en-AU"/>
        </w:rPr>
        <w:t>S</w:t>
      </w:r>
      <w:r w:rsidR="00EA143D">
        <w:rPr>
          <w:lang w:val="en-AU"/>
        </w:rPr>
        <w:t xml:space="preserve">AN) was downgraded to an unsatisfactory rating for </w:t>
      </w:r>
      <w:r w:rsidR="0027563E" w:rsidRPr="00EA143D">
        <w:rPr>
          <w:i/>
          <w:lang w:val="en-AU"/>
        </w:rPr>
        <w:t>Monitoring and Evaluation</w:t>
      </w:r>
      <w:r w:rsidR="0027563E">
        <w:rPr>
          <w:lang w:val="en-AU"/>
        </w:rPr>
        <w:t xml:space="preserve"> due to insufficient progress capturing outcome</w:t>
      </w:r>
      <w:r w:rsidR="0050290F">
        <w:rPr>
          <w:lang w:val="en-AU"/>
        </w:rPr>
        <w:t>-</w:t>
      </w:r>
      <w:r w:rsidR="0027563E">
        <w:rPr>
          <w:lang w:val="en-AU"/>
        </w:rPr>
        <w:t xml:space="preserve">level data. </w:t>
      </w:r>
    </w:p>
    <w:p w:rsidR="00FD0AC1" w:rsidRDefault="00A535B7" w:rsidP="009C1C69">
      <w:pPr>
        <w:spacing w:after="0"/>
        <w:rPr>
          <w:lang w:val="en-AU"/>
        </w:rPr>
      </w:pPr>
      <w:r>
        <w:rPr>
          <w:lang w:val="en-AU"/>
        </w:rPr>
        <w:t xml:space="preserve">The program has </w:t>
      </w:r>
      <w:r w:rsidR="006B521C">
        <w:rPr>
          <w:lang w:val="en-AU"/>
        </w:rPr>
        <w:t>worked</w:t>
      </w:r>
      <w:r>
        <w:rPr>
          <w:lang w:val="en-AU"/>
        </w:rPr>
        <w:t xml:space="preserve"> to lift quality </w:t>
      </w:r>
      <w:r w:rsidR="006B521C">
        <w:rPr>
          <w:lang w:val="en-AU"/>
        </w:rPr>
        <w:t>across the</w:t>
      </w:r>
      <w:r>
        <w:rPr>
          <w:lang w:val="en-AU"/>
        </w:rPr>
        <w:t xml:space="preserve"> portfolio by</w:t>
      </w:r>
      <w:r w:rsidR="00FD0AC1">
        <w:rPr>
          <w:lang w:val="en-AU"/>
        </w:rPr>
        <w:t>:</w:t>
      </w:r>
    </w:p>
    <w:p w:rsidR="005D3377" w:rsidRDefault="00FD0AC1" w:rsidP="009C1C69">
      <w:pPr>
        <w:pStyle w:val="ListParagraph"/>
        <w:numPr>
          <w:ilvl w:val="0"/>
          <w:numId w:val="40"/>
        </w:numPr>
        <w:spacing w:before="60" w:after="0"/>
        <w:ind w:left="357" w:hanging="215"/>
        <w:contextualSpacing w:val="0"/>
      </w:pPr>
      <w:r w:rsidRPr="006C76C6">
        <w:rPr>
          <w:b/>
          <w:i/>
          <w:lang w:val="en-AU"/>
        </w:rPr>
        <w:t xml:space="preserve">Improving </w:t>
      </w:r>
      <w:r w:rsidR="005D3377" w:rsidRPr="006C76C6">
        <w:rPr>
          <w:b/>
          <w:i/>
          <w:lang w:val="en-AU"/>
        </w:rPr>
        <w:t xml:space="preserve">and increasing use of </w:t>
      </w:r>
      <w:r w:rsidR="00B75D7D" w:rsidRPr="006C76C6">
        <w:rPr>
          <w:b/>
          <w:i/>
        </w:rPr>
        <w:t>evidence</w:t>
      </w:r>
      <w:r w:rsidR="0063503E" w:rsidRPr="006C76C6">
        <w:rPr>
          <w:b/>
          <w:i/>
        </w:rPr>
        <w:t xml:space="preserve"> and </w:t>
      </w:r>
      <w:r w:rsidR="005D3377" w:rsidRPr="006C76C6">
        <w:rPr>
          <w:b/>
          <w:i/>
        </w:rPr>
        <w:t>analysis</w:t>
      </w:r>
      <w:r w:rsidR="00B75D7D" w:rsidRPr="006C76C6">
        <w:rPr>
          <w:b/>
          <w:i/>
        </w:rPr>
        <w:t>:</w:t>
      </w:r>
      <w:r>
        <w:t xml:space="preserve"> </w:t>
      </w:r>
      <w:r w:rsidR="00A02761">
        <w:t xml:space="preserve">Working with the </w:t>
      </w:r>
      <w:r w:rsidR="00A02761" w:rsidRPr="00624AAB">
        <w:rPr>
          <w:i/>
        </w:rPr>
        <w:t>Laos-Australia Development Learning Facility</w:t>
      </w:r>
      <w:r w:rsidR="00A02761">
        <w:t xml:space="preserve">, </w:t>
      </w:r>
      <w:r w:rsidR="005D3377">
        <w:t xml:space="preserve">Post commissioned a range of studies on issues with potential to influence the delivery and impact of Australian </w:t>
      </w:r>
      <w:r w:rsidR="0050290F">
        <w:t xml:space="preserve">aid </w:t>
      </w:r>
      <w:r w:rsidR="005D3377">
        <w:t>in Laos (</w:t>
      </w:r>
      <w:r w:rsidR="00EA143D">
        <w:t>such as</w:t>
      </w:r>
      <w:r w:rsidR="005D3377">
        <w:t xml:space="preserve"> changes to legislation, changes to the operating environment for N</w:t>
      </w:r>
      <w:r w:rsidR="00EA143D">
        <w:t>GOs and the</w:t>
      </w:r>
      <w:r w:rsidR="005D3377">
        <w:t xml:space="preserve"> impact of </w:t>
      </w:r>
      <w:r w:rsidR="00EA143D">
        <w:t xml:space="preserve">budget allocations). </w:t>
      </w:r>
      <w:r w:rsidR="00A02761">
        <w:t xml:space="preserve">Over the reporting period, LADLF produced over 15 evidence-based and qualitative analytical studies </w:t>
      </w:r>
      <w:r w:rsidR="00EA143D">
        <w:t>to inform current and future programming decisions</w:t>
      </w:r>
      <w:r w:rsidR="0050290F">
        <w:t>,</w:t>
      </w:r>
      <w:r w:rsidR="00A02761">
        <w:t xml:space="preserve"> and support</w:t>
      </w:r>
      <w:r w:rsidR="0050290F">
        <w:t xml:space="preserve"> our</w:t>
      </w:r>
      <w:r w:rsidR="00A02761">
        <w:t xml:space="preserve"> policy dialogue</w:t>
      </w:r>
      <w:r w:rsidR="00EA143D">
        <w:t>;</w:t>
      </w:r>
    </w:p>
    <w:p w:rsidR="00EA143D" w:rsidRPr="00EA143D" w:rsidRDefault="005D3377" w:rsidP="009C1C69">
      <w:pPr>
        <w:pStyle w:val="ListParagraph"/>
        <w:numPr>
          <w:ilvl w:val="0"/>
          <w:numId w:val="40"/>
        </w:numPr>
        <w:spacing w:before="60" w:after="0"/>
        <w:ind w:left="357" w:hanging="215"/>
        <w:contextualSpacing w:val="0"/>
        <w:rPr>
          <w:b/>
          <w:i/>
          <w:lang w:val="en-AU"/>
        </w:rPr>
      </w:pPr>
      <w:r w:rsidRPr="00EA143D">
        <w:rPr>
          <w:b/>
          <w:i/>
          <w:lang w:val="en-AU"/>
        </w:rPr>
        <w:t>Sectoral l</w:t>
      </w:r>
      <w:r w:rsidR="0063503E" w:rsidRPr="00EA143D">
        <w:rPr>
          <w:b/>
          <w:i/>
          <w:lang w:val="en-AU"/>
        </w:rPr>
        <w:t xml:space="preserve">eadership, </w:t>
      </w:r>
      <w:r w:rsidR="00FD0AC1" w:rsidRPr="00EA143D">
        <w:rPr>
          <w:b/>
          <w:i/>
          <w:lang w:val="en-AU"/>
        </w:rPr>
        <w:t>policy engagement and advocacy</w:t>
      </w:r>
      <w:r w:rsidR="00B75D7D" w:rsidRPr="00EA143D">
        <w:rPr>
          <w:b/>
          <w:i/>
          <w:lang w:val="en-AU"/>
        </w:rPr>
        <w:t>:</w:t>
      </w:r>
      <w:r w:rsidRPr="00EA143D">
        <w:rPr>
          <w:b/>
          <w:i/>
          <w:lang w:val="en-AU"/>
        </w:rPr>
        <w:t xml:space="preserve"> </w:t>
      </w:r>
      <w:r w:rsidR="0063503E" w:rsidRPr="00EA143D">
        <w:rPr>
          <w:lang w:val="en-AU"/>
        </w:rPr>
        <w:t>Australia</w:t>
      </w:r>
      <w:r w:rsidR="0063503E" w:rsidRPr="00EA143D">
        <w:rPr>
          <w:i/>
          <w:lang w:val="en-AU"/>
        </w:rPr>
        <w:t xml:space="preserve"> </w:t>
      </w:r>
      <w:r w:rsidR="00251C20">
        <w:rPr>
          <w:lang w:val="en-AU"/>
        </w:rPr>
        <w:t xml:space="preserve">has </w:t>
      </w:r>
      <w:r w:rsidR="00EA143D" w:rsidRPr="00EA143D">
        <w:rPr>
          <w:lang w:val="en-AU"/>
        </w:rPr>
        <w:t>strong relationships with the Lao Government and a</w:t>
      </w:r>
      <w:r w:rsidR="0063503E" w:rsidRPr="00EA143D">
        <w:rPr>
          <w:lang w:val="en-AU"/>
        </w:rPr>
        <w:t>ctively contributes to d</w:t>
      </w:r>
      <w:r w:rsidRPr="00EA143D">
        <w:rPr>
          <w:lang w:val="en-AU"/>
        </w:rPr>
        <w:t>onor coordination mechanisms</w:t>
      </w:r>
      <w:r w:rsidR="00EA143D">
        <w:rPr>
          <w:lang w:val="en-AU"/>
        </w:rPr>
        <w:t>. This includes</w:t>
      </w:r>
      <w:r w:rsidR="0063503E" w:rsidRPr="00EA143D">
        <w:rPr>
          <w:lang w:val="en-AU"/>
        </w:rPr>
        <w:t xml:space="preserve"> co-chairing the Education Sector Working G</w:t>
      </w:r>
      <w:r w:rsidR="00EA143D">
        <w:rPr>
          <w:lang w:val="en-AU"/>
        </w:rPr>
        <w:t>roup and Illicit Drugs working G</w:t>
      </w:r>
      <w:r w:rsidR="0063503E" w:rsidRPr="00EA143D">
        <w:rPr>
          <w:lang w:val="en-AU"/>
        </w:rPr>
        <w:t>roup</w:t>
      </w:r>
      <w:r w:rsidR="0050290F">
        <w:rPr>
          <w:lang w:val="en-AU"/>
        </w:rPr>
        <w:t>,</w:t>
      </w:r>
      <w:r w:rsidR="00EA143D">
        <w:rPr>
          <w:lang w:val="en-AU"/>
        </w:rPr>
        <w:t xml:space="preserve"> and acting as C</w:t>
      </w:r>
      <w:r w:rsidRPr="00EA143D">
        <w:rPr>
          <w:lang w:val="en-AU"/>
        </w:rPr>
        <w:t>ountry</w:t>
      </w:r>
      <w:r w:rsidR="00EA143D">
        <w:rPr>
          <w:lang w:val="en-AU"/>
        </w:rPr>
        <w:t xml:space="preserve"> C</w:t>
      </w:r>
      <w:r w:rsidRPr="00EA143D">
        <w:rPr>
          <w:lang w:val="en-AU"/>
        </w:rPr>
        <w:t xml:space="preserve">oordinator of the </w:t>
      </w:r>
      <w:r w:rsidR="0050290F">
        <w:rPr>
          <w:lang w:val="en-AU"/>
        </w:rPr>
        <w:t>GPE</w:t>
      </w:r>
      <w:r w:rsidRPr="00EA143D">
        <w:rPr>
          <w:lang w:val="en-AU"/>
        </w:rPr>
        <w:t xml:space="preserve"> in Laos</w:t>
      </w:r>
      <w:r w:rsidR="0063503E" w:rsidRPr="00EA143D">
        <w:rPr>
          <w:lang w:val="en-AU"/>
        </w:rPr>
        <w:t>.</w:t>
      </w:r>
      <w:r w:rsidR="0063503E" w:rsidRPr="00EA143D">
        <w:rPr>
          <w:i/>
          <w:lang w:val="en-AU"/>
        </w:rPr>
        <w:t xml:space="preserve"> </w:t>
      </w:r>
      <w:r w:rsidRPr="00EA143D">
        <w:rPr>
          <w:lang w:val="en-AU"/>
        </w:rPr>
        <w:t>This has positioned us well to influence major nat</w:t>
      </w:r>
      <w:r w:rsidR="00EA143D">
        <w:rPr>
          <w:lang w:val="en-AU"/>
        </w:rPr>
        <w:t>ional reforms and increase donor coordination</w:t>
      </w:r>
      <w:r w:rsidRPr="00EA143D">
        <w:rPr>
          <w:lang w:val="en-AU"/>
        </w:rPr>
        <w:t xml:space="preserve">. </w:t>
      </w:r>
      <w:r w:rsidR="00EA143D">
        <w:rPr>
          <w:lang w:val="en-AU"/>
        </w:rPr>
        <w:t>This includes our advocacy on curriculum, teacher training and budget allocation in the education sector</w:t>
      </w:r>
      <w:r w:rsidR="0050290F">
        <w:rPr>
          <w:lang w:val="en-AU"/>
        </w:rPr>
        <w:t>,</w:t>
      </w:r>
      <w:r w:rsidR="00EA143D">
        <w:rPr>
          <w:lang w:val="en-AU"/>
        </w:rPr>
        <w:t xml:space="preserve"> and our success in </w:t>
      </w:r>
      <w:r w:rsidR="00EA143D" w:rsidRPr="00EA143D">
        <w:rPr>
          <w:lang w:val="en-AU"/>
        </w:rPr>
        <w:t>incr</w:t>
      </w:r>
      <w:r w:rsidR="00EA143D">
        <w:rPr>
          <w:lang w:val="en-AU"/>
        </w:rPr>
        <w:t>easing</w:t>
      </w:r>
      <w:r w:rsidR="00EA143D" w:rsidRPr="00EA143D">
        <w:rPr>
          <w:lang w:val="en-AU"/>
        </w:rPr>
        <w:t xml:space="preserve"> the focus on business environment constraints to p</w:t>
      </w:r>
      <w:r w:rsidR="00EA143D">
        <w:rPr>
          <w:lang w:val="en-AU"/>
        </w:rPr>
        <w:t>rivate sector growth under TDF2;</w:t>
      </w:r>
    </w:p>
    <w:p w:rsidR="00B17B05" w:rsidRPr="006C76C6" w:rsidRDefault="00B17B05" w:rsidP="00073CB6">
      <w:pPr>
        <w:pStyle w:val="ListParagraph"/>
        <w:numPr>
          <w:ilvl w:val="0"/>
          <w:numId w:val="40"/>
        </w:numPr>
        <w:spacing w:before="60" w:after="0"/>
        <w:contextualSpacing w:val="0"/>
        <w:rPr>
          <w:rFonts w:eastAsia="Times New Roman"/>
        </w:rPr>
      </w:pPr>
      <w:r w:rsidRPr="006C76C6">
        <w:rPr>
          <w:b/>
          <w:i/>
          <w:lang w:val="en-AU"/>
        </w:rPr>
        <w:t>Increasing engagement on</w:t>
      </w:r>
      <w:r w:rsidR="0050290F">
        <w:rPr>
          <w:b/>
          <w:i/>
          <w:lang w:val="en-AU"/>
        </w:rPr>
        <w:t>,</w:t>
      </w:r>
      <w:r w:rsidRPr="006C76C6">
        <w:rPr>
          <w:b/>
          <w:i/>
          <w:lang w:val="en-AU"/>
        </w:rPr>
        <w:t xml:space="preserve"> and resources for</w:t>
      </w:r>
      <w:r w:rsidR="0050290F">
        <w:rPr>
          <w:b/>
          <w:i/>
          <w:lang w:val="en-AU"/>
        </w:rPr>
        <w:t>,</w:t>
      </w:r>
      <w:r w:rsidR="00B75D7D" w:rsidRPr="006C76C6">
        <w:rPr>
          <w:b/>
          <w:i/>
          <w:lang w:val="en-AU"/>
        </w:rPr>
        <w:t xml:space="preserve"> gender equality</w:t>
      </w:r>
      <w:r w:rsidR="00B75D7D" w:rsidRPr="006C76C6">
        <w:rPr>
          <w:i/>
          <w:lang w:val="en-AU"/>
        </w:rPr>
        <w:t>:</w:t>
      </w:r>
      <w:r w:rsidR="00C46432" w:rsidRPr="006C76C6">
        <w:rPr>
          <w:rFonts w:eastAsia="Times New Roman"/>
        </w:rPr>
        <w:t xml:space="preserve"> </w:t>
      </w:r>
      <w:r w:rsidRPr="006C76C6">
        <w:rPr>
          <w:rFonts w:eastAsia="Times New Roman"/>
        </w:rPr>
        <w:t>Australia</w:t>
      </w:r>
      <w:r w:rsidR="00EA143D">
        <w:rPr>
          <w:rFonts w:eastAsia="Times New Roman"/>
        </w:rPr>
        <w:t xml:space="preserve"> has led a range of high-level events and engaged key </w:t>
      </w:r>
      <w:r w:rsidR="00251C20">
        <w:rPr>
          <w:rFonts w:eastAsia="Times New Roman"/>
        </w:rPr>
        <w:t xml:space="preserve">government </w:t>
      </w:r>
      <w:r w:rsidR="00EA143D">
        <w:rPr>
          <w:rFonts w:eastAsia="Times New Roman"/>
        </w:rPr>
        <w:t xml:space="preserve">decision-makers on gender equality and women’s economic empowerment. This includes </w:t>
      </w:r>
      <w:r w:rsidR="00073CB6">
        <w:rPr>
          <w:rFonts w:eastAsia="Times New Roman"/>
        </w:rPr>
        <w:t xml:space="preserve">successful proposals for </w:t>
      </w:r>
      <w:r w:rsidR="00695665" w:rsidRPr="006C76C6">
        <w:rPr>
          <w:rFonts w:eastAsia="Times New Roman"/>
        </w:rPr>
        <w:t xml:space="preserve">additional </w:t>
      </w:r>
      <w:r w:rsidR="00EA143D">
        <w:rPr>
          <w:rFonts w:eastAsia="Times New Roman"/>
        </w:rPr>
        <w:t>funds t</w:t>
      </w:r>
      <w:r w:rsidR="00695665" w:rsidRPr="006C76C6">
        <w:rPr>
          <w:rFonts w:eastAsia="Times New Roman"/>
        </w:rPr>
        <w:t xml:space="preserve">o </w:t>
      </w:r>
      <w:r w:rsidR="00EA143D">
        <w:rPr>
          <w:rFonts w:eastAsia="Times New Roman"/>
        </w:rPr>
        <w:t>mainstream gender across TDF2;</w:t>
      </w:r>
      <w:r w:rsidR="009C1C69">
        <w:rPr>
          <w:rFonts w:eastAsia="Times New Roman"/>
        </w:rPr>
        <w:t xml:space="preserve"> designing a </w:t>
      </w:r>
      <w:r w:rsidR="00EA143D">
        <w:rPr>
          <w:rFonts w:eastAsia="Times New Roman"/>
        </w:rPr>
        <w:t>new Women in Leadership Program; and</w:t>
      </w:r>
      <w:r w:rsidR="00695665">
        <w:rPr>
          <w:rFonts w:eastAsia="Times New Roman"/>
        </w:rPr>
        <w:t xml:space="preserve"> launch</w:t>
      </w:r>
      <w:r w:rsidR="00EA143D">
        <w:rPr>
          <w:rFonts w:eastAsia="Times New Roman"/>
        </w:rPr>
        <w:t xml:space="preserve">ing </w:t>
      </w:r>
      <w:r w:rsidR="009C1C69" w:rsidRPr="00695665">
        <w:rPr>
          <w:rFonts w:eastAsia="Times New Roman"/>
          <w:i/>
        </w:rPr>
        <w:t>Standing Up, Speaking Out</w:t>
      </w:r>
      <w:r w:rsidR="009C1C69">
        <w:rPr>
          <w:rFonts w:eastAsia="Times New Roman"/>
          <w:i/>
        </w:rPr>
        <w:t xml:space="preserve">, </w:t>
      </w:r>
      <w:r w:rsidR="00695665">
        <w:rPr>
          <w:rFonts w:eastAsia="Times New Roman"/>
        </w:rPr>
        <w:t>a new</w:t>
      </w:r>
      <w:r w:rsidR="009C1C69">
        <w:rPr>
          <w:rFonts w:eastAsia="Times New Roman"/>
        </w:rPr>
        <w:t xml:space="preserve"> </w:t>
      </w:r>
      <w:r w:rsidR="00073CB6">
        <w:rPr>
          <w:rFonts w:eastAsia="Times New Roman"/>
        </w:rPr>
        <w:t xml:space="preserve">two-year </w:t>
      </w:r>
      <w:r w:rsidR="009C1C69">
        <w:rPr>
          <w:rFonts w:eastAsia="Times New Roman"/>
        </w:rPr>
        <w:t xml:space="preserve">program </w:t>
      </w:r>
      <w:r w:rsidR="00251C20">
        <w:rPr>
          <w:rFonts w:eastAsia="Times New Roman"/>
        </w:rPr>
        <w:t xml:space="preserve">on </w:t>
      </w:r>
      <w:r w:rsidR="00695665">
        <w:rPr>
          <w:rFonts w:eastAsia="Times New Roman"/>
        </w:rPr>
        <w:t xml:space="preserve">ending </w:t>
      </w:r>
      <w:r w:rsidR="009C1C69">
        <w:rPr>
          <w:rFonts w:eastAsia="Times New Roman"/>
        </w:rPr>
        <w:t>violence against women</w:t>
      </w:r>
      <w:r w:rsidR="0050290F">
        <w:rPr>
          <w:rFonts w:eastAsia="Times New Roman"/>
        </w:rPr>
        <w:t>,</w:t>
      </w:r>
      <w:r w:rsidR="00073CB6">
        <w:rPr>
          <w:rFonts w:eastAsia="Times New Roman"/>
        </w:rPr>
        <w:t xml:space="preserve"> </w:t>
      </w:r>
      <w:r w:rsidR="00073CB6" w:rsidRPr="00073CB6">
        <w:rPr>
          <w:rFonts w:eastAsia="Times New Roman"/>
        </w:rPr>
        <w:t>focused on prevention and survivors’ increased access to community-based support and response</w:t>
      </w:r>
      <w:r w:rsidR="009C1C69">
        <w:rPr>
          <w:rFonts w:eastAsia="Times New Roman"/>
        </w:rPr>
        <w:t>;</w:t>
      </w:r>
    </w:p>
    <w:p w:rsidR="00A535B7" w:rsidRDefault="00B17B05" w:rsidP="009C1C69">
      <w:pPr>
        <w:pStyle w:val="ListParagraph"/>
        <w:numPr>
          <w:ilvl w:val="0"/>
          <w:numId w:val="40"/>
        </w:numPr>
        <w:spacing w:before="60" w:after="0"/>
        <w:ind w:left="357" w:hanging="215"/>
        <w:contextualSpacing w:val="0"/>
      </w:pPr>
      <w:r w:rsidRPr="006C76C6">
        <w:rPr>
          <w:b/>
          <w:i/>
          <w:lang w:val="en-AU"/>
        </w:rPr>
        <w:t>Improving</w:t>
      </w:r>
      <w:r w:rsidRPr="006C76C6">
        <w:rPr>
          <w:b/>
          <w:i/>
        </w:rPr>
        <w:t xml:space="preserve"> p</w:t>
      </w:r>
      <w:r w:rsidR="0063503E" w:rsidRPr="006C76C6">
        <w:rPr>
          <w:b/>
          <w:i/>
        </w:rPr>
        <w:t xml:space="preserve">erformance </w:t>
      </w:r>
      <w:r w:rsidRPr="006C76C6">
        <w:rPr>
          <w:b/>
          <w:i/>
        </w:rPr>
        <w:t>a</w:t>
      </w:r>
      <w:r w:rsidR="0063503E" w:rsidRPr="006C76C6">
        <w:rPr>
          <w:b/>
          <w:i/>
        </w:rPr>
        <w:t>ssessment</w:t>
      </w:r>
      <w:r w:rsidRPr="006C76C6">
        <w:rPr>
          <w:b/>
          <w:i/>
        </w:rPr>
        <w:t xml:space="preserve"> and </w:t>
      </w:r>
      <w:r w:rsidR="004A2293">
        <w:rPr>
          <w:b/>
          <w:i/>
        </w:rPr>
        <w:t>innovation</w:t>
      </w:r>
      <w:r w:rsidR="009C1C69">
        <w:rPr>
          <w:b/>
          <w:i/>
        </w:rPr>
        <w:t xml:space="preserve">: </w:t>
      </w:r>
      <w:r w:rsidR="0063503E" w:rsidRPr="006C76C6">
        <w:rPr>
          <w:i/>
        </w:rPr>
        <w:t xml:space="preserve"> </w:t>
      </w:r>
      <w:r w:rsidR="0063503E" w:rsidRPr="003D2B3F">
        <w:t>Australia engages the</w:t>
      </w:r>
      <w:r w:rsidR="0063503E" w:rsidRPr="006C76C6">
        <w:rPr>
          <w:i/>
        </w:rPr>
        <w:t xml:space="preserve"> Laos-Australia Development Learning Facility </w:t>
      </w:r>
      <w:r w:rsidR="0063503E" w:rsidRPr="0063503E">
        <w:t xml:space="preserve">to </w:t>
      </w:r>
      <w:r w:rsidR="00326F09">
        <w:t xml:space="preserve">enhance the effectiveness and efficiency of the implementation of Australia’s aid </w:t>
      </w:r>
      <w:r w:rsidR="00326F09">
        <w:lastRenderedPageBreak/>
        <w:t xml:space="preserve">program in Laos. The LADLF reviews </w:t>
      </w:r>
      <w:r w:rsidR="00FD0AC1">
        <w:t xml:space="preserve">the </w:t>
      </w:r>
      <w:r w:rsidR="00337434">
        <w:t xml:space="preserve">quality of </w:t>
      </w:r>
      <w:r w:rsidR="0050290F">
        <w:t>Australia’s aid programs</w:t>
      </w:r>
      <w:r w:rsidR="00A02761">
        <w:t>,</w:t>
      </w:r>
      <w:r w:rsidR="00D74B22">
        <w:t xml:space="preserve"> </w:t>
      </w:r>
      <w:r w:rsidR="00A02761">
        <w:t>provide</w:t>
      </w:r>
      <w:r w:rsidR="00326F09">
        <w:t>s</w:t>
      </w:r>
      <w:r w:rsidR="00D74B22">
        <w:t xml:space="preserve"> staff training</w:t>
      </w:r>
      <w:r w:rsidR="00A02761">
        <w:t>,</w:t>
      </w:r>
      <w:r w:rsidR="00D74B22">
        <w:t xml:space="preserve"> and </w:t>
      </w:r>
      <w:r w:rsidR="0050290F">
        <w:t xml:space="preserve">has been </w:t>
      </w:r>
      <w:r w:rsidR="00D74B22">
        <w:t>support</w:t>
      </w:r>
      <w:r w:rsidR="0050290F">
        <w:t>ing</w:t>
      </w:r>
      <w:r w:rsidR="00D74B22">
        <w:t xml:space="preserve"> the </w:t>
      </w:r>
      <w:r w:rsidR="0050290F">
        <w:t xml:space="preserve">Lao </w:t>
      </w:r>
      <w:r w:rsidR="00D74B22">
        <w:t xml:space="preserve">Ministry of Planning and Investment to develop a strengthened system for monitoring </w:t>
      </w:r>
      <w:r w:rsidR="0050290F">
        <w:t>ODA</w:t>
      </w:r>
      <w:r w:rsidR="00D74B22">
        <w:t>.</w:t>
      </w:r>
    </w:p>
    <w:p w:rsidR="004A31E5" w:rsidRPr="00FD0AC1" w:rsidRDefault="004A31E5" w:rsidP="004A31E5">
      <w:pPr>
        <w:rPr>
          <w:lang w:val="en-AU"/>
        </w:rPr>
      </w:pPr>
      <w:r w:rsidRPr="0050079E">
        <w:rPr>
          <w:lang w:val="en-AU"/>
        </w:rPr>
        <w:t xml:space="preserve">Managing contractors continue to </w:t>
      </w:r>
      <w:r>
        <w:rPr>
          <w:lang w:val="en-AU"/>
        </w:rPr>
        <w:t>manage a</w:t>
      </w:r>
      <w:r w:rsidRPr="0050079E">
        <w:rPr>
          <w:lang w:val="en-AU"/>
        </w:rPr>
        <w:t xml:space="preserve"> large share of the delivery of Australian aid funds</w:t>
      </w:r>
      <w:r>
        <w:rPr>
          <w:lang w:val="en-AU"/>
        </w:rPr>
        <w:t xml:space="preserve"> delivered through the bilateral program</w:t>
      </w:r>
      <w:r w:rsidRPr="0050079E">
        <w:rPr>
          <w:lang w:val="en-AU"/>
        </w:rPr>
        <w:t xml:space="preserve">, accounting for around 67 per cent of </w:t>
      </w:r>
      <w:r>
        <w:rPr>
          <w:lang w:val="en-AU"/>
        </w:rPr>
        <w:t>f</w:t>
      </w:r>
      <w:r w:rsidRPr="0050079E">
        <w:rPr>
          <w:lang w:val="en-AU"/>
        </w:rPr>
        <w:t xml:space="preserve">unds delivered in 2016-17.  </w:t>
      </w:r>
      <w:r>
        <w:rPr>
          <w:lang w:val="en-AU"/>
        </w:rPr>
        <w:t>The</w:t>
      </w:r>
      <w:r w:rsidRPr="0050079E">
        <w:rPr>
          <w:lang w:val="en-AU"/>
        </w:rPr>
        <w:t xml:space="preserve"> performance of </w:t>
      </w:r>
      <w:r>
        <w:rPr>
          <w:lang w:val="en-AU"/>
        </w:rPr>
        <w:t>our</w:t>
      </w:r>
      <w:r w:rsidRPr="0050079E">
        <w:rPr>
          <w:lang w:val="en-AU"/>
        </w:rPr>
        <w:t xml:space="preserve"> delivery partners remain</w:t>
      </w:r>
      <w:r>
        <w:rPr>
          <w:lang w:val="en-AU"/>
        </w:rPr>
        <w:t>s</w:t>
      </w:r>
      <w:r w:rsidRPr="0050079E">
        <w:rPr>
          <w:lang w:val="en-AU"/>
        </w:rPr>
        <w:t xml:space="preserve"> satisfactory overall</w:t>
      </w:r>
      <w:r>
        <w:rPr>
          <w:lang w:val="en-AU"/>
        </w:rPr>
        <w:t xml:space="preserve">, with </w:t>
      </w:r>
      <w:r w:rsidRPr="0050079E">
        <w:rPr>
          <w:lang w:val="en-AU"/>
        </w:rPr>
        <w:t xml:space="preserve">no </w:t>
      </w:r>
      <w:r>
        <w:rPr>
          <w:lang w:val="en-AU"/>
        </w:rPr>
        <w:t>u</w:t>
      </w:r>
      <w:r w:rsidRPr="0050079E">
        <w:rPr>
          <w:lang w:val="en-AU"/>
        </w:rPr>
        <w:t>nsatisfactory rating against any partner performance criterion.</w:t>
      </w:r>
    </w:p>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657379" w:rsidRDefault="00A91CD8" w:rsidP="000A6C9A">
      <w:pPr>
        <w:pStyle w:val="ListBullet"/>
        <w:tabs>
          <w:tab w:val="clear" w:pos="284"/>
          <w:tab w:val="left" w:pos="720"/>
        </w:tabs>
        <w:rPr>
          <w:rFonts w:asciiTheme="minorHAnsi" w:eastAsiaTheme="minorHAnsi" w:hAnsiTheme="minorHAnsi" w:cstheme="minorBidi"/>
          <w:color w:val="495965" w:themeColor="text2"/>
          <w:sz w:val="22"/>
          <w:szCs w:val="22"/>
          <w:lang w:eastAsia="en-US"/>
        </w:rPr>
      </w:pPr>
      <w:r>
        <w:rPr>
          <w:rFonts w:asciiTheme="minorHAnsi" w:eastAsiaTheme="minorHAnsi" w:hAnsiTheme="minorHAnsi" w:cstheme="minorBidi"/>
          <w:color w:val="495965" w:themeColor="text2"/>
          <w:sz w:val="22"/>
          <w:szCs w:val="22"/>
          <w:lang w:eastAsia="en-US"/>
        </w:rPr>
        <w:t>We</w:t>
      </w:r>
      <w:r w:rsidR="00941F31" w:rsidRPr="00427F30">
        <w:rPr>
          <w:rFonts w:asciiTheme="minorHAnsi" w:eastAsiaTheme="minorHAnsi" w:hAnsiTheme="minorHAnsi" w:cstheme="minorBidi"/>
          <w:color w:val="495965" w:themeColor="text2"/>
          <w:sz w:val="22"/>
          <w:szCs w:val="22"/>
          <w:lang w:eastAsia="en-US"/>
        </w:rPr>
        <w:t xml:space="preserve"> </w:t>
      </w:r>
      <w:r w:rsidR="00436D8E" w:rsidRPr="00427F30">
        <w:rPr>
          <w:rFonts w:asciiTheme="minorHAnsi" w:eastAsiaTheme="minorHAnsi" w:hAnsiTheme="minorHAnsi" w:cstheme="minorBidi"/>
          <w:color w:val="495965" w:themeColor="text2"/>
          <w:sz w:val="22"/>
          <w:szCs w:val="22"/>
          <w:lang w:eastAsia="en-US"/>
        </w:rPr>
        <w:t>will ensure the BEQUAL MTR provides guidance on the assumptions, sequencing and timing for BEQUAL activities</w:t>
      </w:r>
      <w:r w:rsidR="005B2C52">
        <w:rPr>
          <w:rFonts w:asciiTheme="minorHAnsi" w:eastAsiaTheme="minorHAnsi" w:hAnsiTheme="minorHAnsi" w:cstheme="minorBidi"/>
          <w:color w:val="495965" w:themeColor="text2"/>
          <w:sz w:val="22"/>
          <w:szCs w:val="22"/>
          <w:lang w:eastAsia="en-US"/>
        </w:rPr>
        <w:t>,</w:t>
      </w:r>
      <w:r w:rsidR="00436D8E" w:rsidRPr="00427F30">
        <w:rPr>
          <w:rFonts w:asciiTheme="minorHAnsi" w:eastAsiaTheme="minorHAnsi" w:hAnsiTheme="minorHAnsi" w:cstheme="minorBidi"/>
          <w:color w:val="495965" w:themeColor="text2"/>
          <w:sz w:val="22"/>
          <w:szCs w:val="22"/>
          <w:lang w:eastAsia="en-US"/>
        </w:rPr>
        <w:t xml:space="preserve"> in light of what we now know</w:t>
      </w:r>
      <w:r w:rsidR="00657379">
        <w:rPr>
          <w:rFonts w:asciiTheme="minorHAnsi" w:eastAsiaTheme="minorHAnsi" w:hAnsiTheme="minorHAnsi" w:cstheme="minorBidi"/>
          <w:color w:val="495965" w:themeColor="text2"/>
          <w:sz w:val="22"/>
          <w:szCs w:val="22"/>
          <w:lang w:eastAsia="en-US"/>
        </w:rPr>
        <w:t xml:space="preserve"> about </w:t>
      </w:r>
      <w:r w:rsidR="00CD4A59">
        <w:rPr>
          <w:rFonts w:asciiTheme="minorHAnsi" w:eastAsiaTheme="minorHAnsi" w:hAnsiTheme="minorHAnsi" w:cstheme="minorBidi"/>
          <w:color w:val="495965" w:themeColor="text2"/>
          <w:sz w:val="22"/>
          <w:szCs w:val="22"/>
          <w:lang w:eastAsia="en-US"/>
        </w:rPr>
        <w:t>Laos</w:t>
      </w:r>
      <w:r w:rsidR="005B2C52">
        <w:rPr>
          <w:rFonts w:asciiTheme="minorHAnsi" w:eastAsiaTheme="minorHAnsi" w:hAnsiTheme="minorHAnsi" w:cstheme="minorBidi"/>
          <w:color w:val="495965" w:themeColor="text2"/>
          <w:sz w:val="22"/>
          <w:szCs w:val="22"/>
          <w:lang w:eastAsia="en-US"/>
        </w:rPr>
        <w:t>’</w:t>
      </w:r>
      <w:r w:rsidR="00657379">
        <w:rPr>
          <w:rFonts w:asciiTheme="minorHAnsi" w:eastAsiaTheme="minorHAnsi" w:hAnsiTheme="minorHAnsi" w:cstheme="minorBidi"/>
          <w:color w:val="495965" w:themeColor="text2"/>
          <w:sz w:val="22"/>
          <w:szCs w:val="22"/>
          <w:lang w:eastAsia="en-US"/>
        </w:rPr>
        <w:t xml:space="preserve"> readiness for change. </w:t>
      </w:r>
      <w:r w:rsidR="00941F31">
        <w:rPr>
          <w:rFonts w:asciiTheme="minorHAnsi" w:eastAsiaTheme="minorHAnsi" w:hAnsiTheme="minorHAnsi" w:cstheme="minorBidi"/>
          <w:color w:val="495965" w:themeColor="text2"/>
          <w:sz w:val="22"/>
          <w:szCs w:val="22"/>
          <w:lang w:eastAsia="en-US"/>
        </w:rPr>
        <w:t xml:space="preserve">The final report of the MTR is expected by November 2017. </w:t>
      </w:r>
      <w:r w:rsidR="00657379">
        <w:rPr>
          <w:rFonts w:asciiTheme="minorHAnsi" w:eastAsiaTheme="minorHAnsi" w:hAnsiTheme="minorHAnsi" w:cstheme="minorBidi"/>
          <w:color w:val="495965" w:themeColor="text2"/>
          <w:sz w:val="22"/>
          <w:szCs w:val="22"/>
          <w:lang w:eastAsia="en-US"/>
        </w:rPr>
        <w:t xml:space="preserve">We will support this process through the use of targeted analytical work commissioned through the </w:t>
      </w:r>
      <w:r w:rsidR="00791DFE">
        <w:rPr>
          <w:rFonts w:asciiTheme="minorHAnsi" w:eastAsiaTheme="minorHAnsi" w:hAnsiTheme="minorHAnsi" w:cstheme="minorBidi"/>
          <w:color w:val="495965" w:themeColor="text2"/>
          <w:sz w:val="22"/>
          <w:szCs w:val="22"/>
          <w:lang w:eastAsia="en-US"/>
        </w:rPr>
        <w:t xml:space="preserve">Laos-Australia Development Learning Facility </w:t>
      </w:r>
      <w:r w:rsidR="00657379">
        <w:rPr>
          <w:rFonts w:asciiTheme="minorHAnsi" w:eastAsiaTheme="minorHAnsi" w:hAnsiTheme="minorHAnsi" w:cstheme="minorBidi"/>
          <w:color w:val="495965" w:themeColor="text2"/>
          <w:sz w:val="22"/>
          <w:szCs w:val="22"/>
          <w:lang w:eastAsia="en-US"/>
        </w:rPr>
        <w:t>and Asia Foundation.</w:t>
      </w:r>
      <w:r w:rsidR="00251C20">
        <w:rPr>
          <w:rStyle w:val="FootnoteReference"/>
          <w:rFonts w:asciiTheme="minorHAnsi" w:eastAsiaTheme="minorHAnsi" w:hAnsiTheme="minorHAnsi" w:cstheme="minorBidi"/>
          <w:color w:val="495965" w:themeColor="text2"/>
          <w:sz w:val="22"/>
          <w:szCs w:val="22"/>
          <w:lang w:eastAsia="en-US"/>
        </w:rPr>
        <w:footnoteReference w:id="16"/>
      </w:r>
      <w:r w:rsidR="00BC7592">
        <w:rPr>
          <w:rFonts w:asciiTheme="minorHAnsi" w:eastAsiaTheme="minorHAnsi" w:hAnsiTheme="minorHAnsi" w:cstheme="minorBidi"/>
          <w:color w:val="495965" w:themeColor="text2"/>
          <w:sz w:val="22"/>
          <w:szCs w:val="22"/>
          <w:lang w:eastAsia="en-US"/>
        </w:rPr>
        <w:t xml:space="preserve"> We will work closely with UNICEF and WFP to ensure these programs transition appropriately when Australian support finishes in December 2017.</w:t>
      </w:r>
    </w:p>
    <w:p w:rsidR="00436D8E" w:rsidRDefault="00B052E9" w:rsidP="000A6C9A">
      <w:pPr>
        <w:pStyle w:val="ListBullet"/>
        <w:tabs>
          <w:tab w:val="clear" w:pos="284"/>
          <w:tab w:val="left" w:pos="720"/>
        </w:tabs>
        <w:rPr>
          <w:rFonts w:asciiTheme="minorHAnsi" w:eastAsiaTheme="minorHAnsi" w:hAnsiTheme="minorHAnsi" w:cstheme="minorBidi"/>
          <w:color w:val="495965" w:themeColor="text2"/>
          <w:sz w:val="22"/>
          <w:szCs w:val="22"/>
          <w:lang w:eastAsia="en-US"/>
        </w:rPr>
      </w:pPr>
      <w:r>
        <w:rPr>
          <w:rFonts w:asciiTheme="minorHAnsi" w:eastAsiaTheme="minorHAnsi" w:hAnsiTheme="minorHAnsi" w:cstheme="minorBidi"/>
          <w:color w:val="495965" w:themeColor="text2"/>
          <w:sz w:val="22"/>
          <w:szCs w:val="22"/>
          <w:lang w:eastAsia="en-US"/>
        </w:rPr>
        <w:t xml:space="preserve">In response to the declining fiscal space for education, </w:t>
      </w:r>
      <w:r w:rsidR="00436D8E" w:rsidRPr="00427F30">
        <w:rPr>
          <w:rFonts w:asciiTheme="minorHAnsi" w:eastAsiaTheme="minorHAnsi" w:hAnsiTheme="minorHAnsi" w:cstheme="minorBidi"/>
          <w:color w:val="495965" w:themeColor="text2"/>
          <w:sz w:val="22"/>
          <w:szCs w:val="22"/>
          <w:lang w:eastAsia="en-US"/>
        </w:rPr>
        <w:t>Post will continue to advocate f</w:t>
      </w:r>
      <w:r w:rsidR="00791DFE">
        <w:rPr>
          <w:rFonts w:asciiTheme="minorHAnsi" w:eastAsiaTheme="minorHAnsi" w:hAnsiTheme="minorHAnsi" w:cstheme="minorBidi"/>
          <w:color w:val="495965" w:themeColor="text2"/>
          <w:sz w:val="22"/>
          <w:szCs w:val="22"/>
          <w:lang w:eastAsia="en-US"/>
        </w:rPr>
        <w:t>or higher public investment in e</w:t>
      </w:r>
      <w:r w:rsidR="00436D8E" w:rsidRPr="00427F30">
        <w:rPr>
          <w:rFonts w:asciiTheme="minorHAnsi" w:eastAsiaTheme="minorHAnsi" w:hAnsiTheme="minorHAnsi" w:cstheme="minorBidi"/>
          <w:color w:val="495965" w:themeColor="text2"/>
          <w:sz w:val="22"/>
          <w:szCs w:val="22"/>
          <w:lang w:eastAsia="en-US"/>
        </w:rPr>
        <w:t>ducation, predictable disbursement and stronger public financial management. This includes working with all levels of government on issues of teacher allocation (including by providing technical assistance to the Teacher Allocation Committee)</w:t>
      </w:r>
      <w:r w:rsidR="005B2C52">
        <w:rPr>
          <w:rFonts w:asciiTheme="minorHAnsi" w:eastAsiaTheme="minorHAnsi" w:hAnsiTheme="minorHAnsi" w:cstheme="minorBidi"/>
          <w:color w:val="495965" w:themeColor="text2"/>
          <w:sz w:val="22"/>
          <w:szCs w:val="22"/>
          <w:lang w:eastAsia="en-US"/>
        </w:rPr>
        <w:t>,</w:t>
      </w:r>
      <w:r w:rsidR="00436D8E" w:rsidRPr="00427F30">
        <w:rPr>
          <w:rFonts w:asciiTheme="minorHAnsi" w:eastAsiaTheme="minorHAnsi" w:hAnsiTheme="minorHAnsi" w:cstheme="minorBidi"/>
          <w:color w:val="495965" w:themeColor="text2"/>
          <w:sz w:val="22"/>
          <w:szCs w:val="22"/>
          <w:lang w:eastAsia="en-US"/>
        </w:rPr>
        <w:t xml:space="preserve"> and working with other development partners on broader financial system reform.</w:t>
      </w:r>
    </w:p>
    <w:p w:rsidR="00941F31" w:rsidRPr="002547FF" w:rsidRDefault="00941F31" w:rsidP="00941F31">
      <w:pPr>
        <w:pStyle w:val="ListBullet"/>
        <w:tabs>
          <w:tab w:val="clear" w:pos="284"/>
        </w:tabs>
        <w:rPr>
          <w:rFonts w:asciiTheme="minorHAnsi" w:eastAsiaTheme="minorHAnsi" w:hAnsiTheme="minorHAnsi" w:cstheme="minorBidi"/>
          <w:color w:val="495965" w:themeColor="text2"/>
          <w:sz w:val="22"/>
          <w:szCs w:val="22"/>
          <w:lang w:eastAsia="en-US"/>
        </w:rPr>
      </w:pPr>
      <w:r w:rsidRPr="002547FF">
        <w:rPr>
          <w:rFonts w:asciiTheme="minorHAnsi" w:eastAsiaTheme="minorHAnsi" w:hAnsiTheme="minorHAnsi" w:cstheme="minorBidi"/>
          <w:color w:val="495965" w:themeColor="text2"/>
          <w:sz w:val="22"/>
          <w:szCs w:val="22"/>
          <w:lang w:eastAsia="en-US"/>
        </w:rPr>
        <w:t>During 2017-18, we will closely manage the development of the new M&amp;E Framework for LAI Phase II. This new framework will need to address the weaknesses identified in the previous phase, and also contribute to consistent whole-of-program reporting and higher</w:t>
      </w:r>
      <w:r w:rsidR="005B2C52">
        <w:rPr>
          <w:rFonts w:asciiTheme="minorHAnsi" w:eastAsiaTheme="minorHAnsi" w:hAnsiTheme="minorHAnsi" w:cstheme="minorBidi"/>
          <w:color w:val="495965" w:themeColor="text2"/>
          <w:sz w:val="22"/>
          <w:szCs w:val="22"/>
          <w:lang w:eastAsia="en-US"/>
        </w:rPr>
        <w:t>-</w:t>
      </w:r>
      <w:r w:rsidRPr="002547FF">
        <w:rPr>
          <w:rFonts w:asciiTheme="minorHAnsi" w:eastAsiaTheme="minorHAnsi" w:hAnsiTheme="minorHAnsi" w:cstheme="minorBidi"/>
          <w:color w:val="495965" w:themeColor="text2"/>
          <w:sz w:val="22"/>
          <w:szCs w:val="22"/>
          <w:lang w:eastAsia="en-US"/>
        </w:rPr>
        <w:t xml:space="preserve">level analysis. </w:t>
      </w:r>
      <w:r w:rsidR="00A0393F">
        <w:rPr>
          <w:rFonts w:asciiTheme="minorHAnsi" w:eastAsiaTheme="minorHAnsi" w:hAnsiTheme="minorHAnsi" w:cstheme="minorBidi"/>
          <w:color w:val="495965" w:themeColor="text2"/>
          <w:sz w:val="22"/>
          <w:szCs w:val="22"/>
          <w:lang w:eastAsia="en-US"/>
        </w:rPr>
        <w:t xml:space="preserve">The framework will also need to identify structural constraints to program impact, particularly </w:t>
      </w:r>
      <w:r w:rsidR="005B2C52">
        <w:rPr>
          <w:rFonts w:asciiTheme="minorHAnsi" w:eastAsiaTheme="minorHAnsi" w:hAnsiTheme="minorHAnsi" w:cstheme="minorBidi"/>
          <w:color w:val="495965" w:themeColor="text2"/>
          <w:sz w:val="22"/>
          <w:szCs w:val="22"/>
          <w:lang w:eastAsia="en-US"/>
        </w:rPr>
        <w:t>for</w:t>
      </w:r>
      <w:r w:rsidR="00A0393F">
        <w:rPr>
          <w:rFonts w:asciiTheme="minorHAnsi" w:eastAsiaTheme="minorHAnsi" w:hAnsiTheme="minorHAnsi" w:cstheme="minorBidi"/>
          <w:color w:val="495965" w:themeColor="text2"/>
          <w:sz w:val="22"/>
          <w:szCs w:val="22"/>
          <w:lang w:eastAsia="en-US"/>
        </w:rPr>
        <w:t xml:space="preserve"> </w:t>
      </w:r>
      <w:r w:rsidR="005B2C52">
        <w:rPr>
          <w:rFonts w:asciiTheme="minorHAnsi" w:eastAsiaTheme="minorHAnsi" w:hAnsiTheme="minorHAnsi" w:cstheme="minorBidi"/>
          <w:color w:val="495965" w:themeColor="text2"/>
          <w:sz w:val="22"/>
          <w:szCs w:val="22"/>
          <w:lang w:eastAsia="en-US"/>
        </w:rPr>
        <w:t>our</w:t>
      </w:r>
      <w:r w:rsidR="00A0393F">
        <w:rPr>
          <w:rFonts w:asciiTheme="minorHAnsi" w:eastAsiaTheme="minorHAnsi" w:hAnsiTheme="minorHAnsi" w:cstheme="minorBidi"/>
          <w:color w:val="495965" w:themeColor="text2"/>
          <w:sz w:val="22"/>
          <w:szCs w:val="22"/>
          <w:lang w:eastAsia="en-US"/>
        </w:rPr>
        <w:t xml:space="preserve"> Women’s Leadership Program. </w:t>
      </w:r>
      <w:r w:rsidR="00A91CD8">
        <w:rPr>
          <w:rFonts w:asciiTheme="minorHAnsi" w:eastAsiaTheme="minorHAnsi" w:hAnsiTheme="minorHAnsi" w:cstheme="minorBidi"/>
          <w:color w:val="495965" w:themeColor="text2"/>
          <w:sz w:val="22"/>
          <w:szCs w:val="22"/>
          <w:lang w:eastAsia="en-US"/>
        </w:rPr>
        <w:t xml:space="preserve"> Working with a </w:t>
      </w:r>
      <w:r w:rsidRPr="002547FF">
        <w:rPr>
          <w:rFonts w:asciiTheme="minorHAnsi" w:eastAsiaTheme="minorHAnsi" w:hAnsiTheme="minorHAnsi" w:cstheme="minorBidi"/>
          <w:color w:val="495965" w:themeColor="text2"/>
          <w:sz w:val="22"/>
          <w:szCs w:val="22"/>
          <w:lang w:eastAsia="en-US"/>
        </w:rPr>
        <w:t xml:space="preserve"> newly recruited LAI M&amp;E Adviser</w:t>
      </w:r>
      <w:r w:rsidR="005B2C52">
        <w:rPr>
          <w:rFonts w:asciiTheme="minorHAnsi" w:eastAsiaTheme="minorHAnsi" w:hAnsiTheme="minorHAnsi" w:cstheme="minorBidi"/>
          <w:color w:val="495965" w:themeColor="text2"/>
          <w:sz w:val="22"/>
          <w:szCs w:val="22"/>
          <w:lang w:eastAsia="en-US"/>
        </w:rPr>
        <w:t>,</w:t>
      </w:r>
      <w:r w:rsidRPr="002547FF">
        <w:rPr>
          <w:rFonts w:asciiTheme="minorHAnsi" w:eastAsiaTheme="minorHAnsi" w:hAnsiTheme="minorHAnsi" w:cstheme="minorBidi"/>
          <w:color w:val="495965" w:themeColor="text2"/>
          <w:sz w:val="22"/>
          <w:szCs w:val="22"/>
          <w:lang w:eastAsia="en-US"/>
        </w:rPr>
        <w:t xml:space="preserve"> </w:t>
      </w:r>
      <w:r w:rsidR="00A91CD8">
        <w:rPr>
          <w:rFonts w:asciiTheme="minorHAnsi" w:eastAsiaTheme="minorHAnsi" w:hAnsiTheme="minorHAnsi" w:cstheme="minorBidi"/>
          <w:color w:val="495965" w:themeColor="text2"/>
          <w:sz w:val="22"/>
          <w:szCs w:val="22"/>
          <w:lang w:eastAsia="en-US"/>
        </w:rPr>
        <w:t xml:space="preserve">we </w:t>
      </w:r>
      <w:r w:rsidRPr="002547FF">
        <w:rPr>
          <w:rFonts w:asciiTheme="minorHAnsi" w:eastAsiaTheme="minorHAnsi" w:hAnsiTheme="minorHAnsi" w:cstheme="minorBidi"/>
          <w:color w:val="495965" w:themeColor="text2"/>
          <w:sz w:val="22"/>
          <w:szCs w:val="22"/>
          <w:lang w:eastAsia="en-US"/>
        </w:rPr>
        <w:t xml:space="preserve">will be responsible for developing the framework before the end of 2017. </w:t>
      </w:r>
      <w:r w:rsidR="005B5C5A" w:rsidRPr="005B5C5A">
        <w:rPr>
          <w:rFonts w:asciiTheme="minorHAnsi" w:eastAsiaTheme="minorHAnsi" w:hAnsiTheme="minorHAnsi" w:cstheme="minorBidi"/>
          <w:color w:val="495965" w:themeColor="text2"/>
          <w:sz w:val="22"/>
          <w:szCs w:val="22"/>
          <w:lang w:eastAsia="en-US"/>
        </w:rPr>
        <w:t xml:space="preserve"> </w:t>
      </w:r>
      <w:r w:rsidR="00877E90">
        <w:rPr>
          <w:rFonts w:asciiTheme="minorHAnsi" w:eastAsiaTheme="minorHAnsi" w:hAnsiTheme="minorHAnsi" w:cstheme="minorBidi"/>
          <w:color w:val="495965" w:themeColor="text2"/>
          <w:sz w:val="22"/>
          <w:szCs w:val="22"/>
          <w:lang w:eastAsia="en-US"/>
        </w:rPr>
        <w:t>We</w:t>
      </w:r>
      <w:r w:rsidR="005B5C5A">
        <w:rPr>
          <w:rFonts w:asciiTheme="minorHAnsi" w:eastAsiaTheme="minorHAnsi" w:hAnsiTheme="minorHAnsi" w:cstheme="minorBidi"/>
          <w:color w:val="495965" w:themeColor="text2"/>
          <w:sz w:val="22"/>
          <w:szCs w:val="22"/>
          <w:lang w:eastAsia="en-US"/>
        </w:rPr>
        <w:t xml:space="preserve"> will also closely monitor the progress of the LANS re-</w:t>
      </w:r>
      <w:r w:rsidR="00791DFE">
        <w:rPr>
          <w:rFonts w:asciiTheme="minorHAnsi" w:eastAsiaTheme="minorHAnsi" w:hAnsiTheme="minorHAnsi" w:cstheme="minorBidi"/>
          <w:color w:val="495965" w:themeColor="text2"/>
          <w:sz w:val="22"/>
          <w:szCs w:val="22"/>
          <w:lang w:eastAsia="en-US"/>
        </w:rPr>
        <w:t>design to</w:t>
      </w:r>
      <w:r w:rsidR="005B5C5A">
        <w:rPr>
          <w:rFonts w:asciiTheme="minorHAnsi" w:eastAsiaTheme="minorHAnsi" w:hAnsiTheme="minorHAnsi" w:cstheme="minorBidi"/>
          <w:color w:val="495965" w:themeColor="text2"/>
          <w:sz w:val="22"/>
          <w:szCs w:val="22"/>
          <w:lang w:eastAsia="en-US"/>
        </w:rPr>
        <w:t xml:space="preserve"> ensure it is completed in time for the 2018 intake.</w:t>
      </w:r>
    </w:p>
    <w:p w:rsidR="00941F31" w:rsidRDefault="008557DF" w:rsidP="00941F31">
      <w:pPr>
        <w:pStyle w:val="ListParagraph"/>
        <w:ind w:left="0"/>
      </w:pPr>
      <w:r>
        <w:t xml:space="preserve">In the lead-up to completion of TDF2 in October 2018, </w:t>
      </w:r>
      <w:r w:rsidR="00877E90">
        <w:t>we</w:t>
      </w:r>
      <w:r w:rsidR="00941F31" w:rsidRPr="002547FF">
        <w:t xml:space="preserve"> </w:t>
      </w:r>
      <w:r w:rsidRPr="002547FF">
        <w:t>will undertake a situation analysis and</w:t>
      </w:r>
      <w:r>
        <w:t xml:space="preserve"> develop a</w:t>
      </w:r>
      <w:r w:rsidRPr="002547FF">
        <w:t xml:space="preserve"> trade and private </w:t>
      </w:r>
      <w:r>
        <w:t xml:space="preserve">sector </w:t>
      </w:r>
      <w:r w:rsidR="005274AE">
        <w:t>‘</w:t>
      </w:r>
      <w:r w:rsidRPr="002547FF">
        <w:t>Sector Investment Plan</w:t>
      </w:r>
      <w:r w:rsidR="005274AE">
        <w:t>’</w:t>
      </w:r>
      <w:r w:rsidRPr="002547FF">
        <w:t xml:space="preserve"> (SIP). We will participate in the World Bank program design mission for a new phase of cooperation, under the title of the </w:t>
      </w:r>
      <w:r w:rsidR="005B2C52">
        <w:t>‘</w:t>
      </w:r>
      <w:r w:rsidRPr="002547FF">
        <w:t>Lao PDR Competitiveness and Trade Program</w:t>
      </w:r>
      <w:r w:rsidR="005B2C52">
        <w:t>’</w:t>
      </w:r>
      <w:r w:rsidRPr="002547FF">
        <w:t>, to explore our options fo</w:t>
      </w:r>
      <w:r>
        <w:t>r future support in this sector</w:t>
      </w:r>
      <w:r w:rsidR="005274AE">
        <w:t>,</w:t>
      </w:r>
      <w:r w:rsidR="005274AE" w:rsidRPr="005274AE">
        <w:t xml:space="preserve"> including increased attention to </w:t>
      </w:r>
      <w:r w:rsidR="00E315C9">
        <w:t>women’s economic empowerment</w:t>
      </w:r>
      <w:r w:rsidR="00784034">
        <w:t xml:space="preserve">. We </w:t>
      </w:r>
      <w:r>
        <w:t>will explore options to continue targeted s</w:t>
      </w:r>
      <w:r w:rsidR="00791DFE">
        <w:t>upport for financial inclusion.</w:t>
      </w:r>
    </w:p>
    <w:p w:rsidR="008557DF" w:rsidRDefault="00877E90" w:rsidP="008557DF">
      <w:pPr>
        <w:pStyle w:val="ListBullet"/>
        <w:tabs>
          <w:tab w:val="clear" w:pos="284"/>
          <w:tab w:val="left" w:pos="720"/>
        </w:tabs>
        <w:rPr>
          <w:rFonts w:asciiTheme="minorHAnsi" w:eastAsiaTheme="minorHAnsi" w:hAnsiTheme="minorHAnsi" w:cstheme="minorBidi"/>
          <w:color w:val="495965" w:themeColor="text2"/>
          <w:sz w:val="22"/>
          <w:szCs w:val="22"/>
          <w:lang w:eastAsia="en-US"/>
        </w:rPr>
      </w:pPr>
      <w:r>
        <w:rPr>
          <w:rFonts w:asciiTheme="minorHAnsi" w:eastAsiaTheme="minorHAnsi" w:hAnsiTheme="minorHAnsi" w:cstheme="minorBidi"/>
          <w:color w:val="495965" w:themeColor="text2"/>
          <w:sz w:val="22"/>
          <w:szCs w:val="22"/>
          <w:lang w:eastAsia="en-US"/>
        </w:rPr>
        <w:t>We</w:t>
      </w:r>
      <w:r w:rsidR="00BC7592">
        <w:rPr>
          <w:rFonts w:asciiTheme="minorHAnsi" w:eastAsiaTheme="minorHAnsi" w:hAnsiTheme="minorHAnsi" w:cstheme="minorBidi"/>
          <w:color w:val="495965" w:themeColor="text2"/>
          <w:sz w:val="22"/>
          <w:szCs w:val="22"/>
          <w:lang w:eastAsia="en-US"/>
        </w:rPr>
        <w:t xml:space="preserve"> will continue to monitor our support </w:t>
      </w:r>
      <w:r w:rsidR="005B2C52">
        <w:rPr>
          <w:rFonts w:asciiTheme="minorHAnsi" w:eastAsiaTheme="minorHAnsi" w:hAnsiTheme="minorHAnsi" w:cstheme="minorBidi"/>
          <w:color w:val="495965" w:themeColor="text2"/>
          <w:sz w:val="22"/>
          <w:szCs w:val="22"/>
          <w:lang w:eastAsia="en-US"/>
        </w:rPr>
        <w:t xml:space="preserve">for </w:t>
      </w:r>
      <w:r w:rsidR="00BC7592">
        <w:rPr>
          <w:rFonts w:asciiTheme="minorHAnsi" w:eastAsiaTheme="minorHAnsi" w:hAnsiTheme="minorHAnsi" w:cstheme="minorBidi"/>
          <w:color w:val="495965" w:themeColor="text2"/>
          <w:sz w:val="22"/>
          <w:szCs w:val="22"/>
          <w:lang w:eastAsia="en-US"/>
        </w:rPr>
        <w:t xml:space="preserve">UXO </w:t>
      </w:r>
      <w:r w:rsidR="00053CC9">
        <w:rPr>
          <w:rFonts w:asciiTheme="minorHAnsi" w:eastAsiaTheme="minorHAnsi" w:hAnsiTheme="minorHAnsi" w:cstheme="minorBidi"/>
          <w:color w:val="495965" w:themeColor="text2"/>
          <w:sz w:val="22"/>
          <w:szCs w:val="22"/>
          <w:lang w:eastAsia="en-US"/>
        </w:rPr>
        <w:t>clearance</w:t>
      </w:r>
      <w:r w:rsidR="005B2C52">
        <w:rPr>
          <w:rFonts w:asciiTheme="minorHAnsi" w:eastAsiaTheme="minorHAnsi" w:hAnsiTheme="minorHAnsi" w:cstheme="minorBidi"/>
          <w:color w:val="495965" w:themeColor="text2"/>
          <w:sz w:val="22"/>
          <w:szCs w:val="22"/>
          <w:lang w:eastAsia="en-US"/>
        </w:rPr>
        <w:t>,</w:t>
      </w:r>
      <w:r w:rsidR="00053CC9">
        <w:rPr>
          <w:rFonts w:asciiTheme="minorHAnsi" w:eastAsiaTheme="minorHAnsi" w:hAnsiTheme="minorHAnsi" w:cstheme="minorBidi"/>
          <w:color w:val="495965" w:themeColor="text2"/>
          <w:sz w:val="22"/>
          <w:szCs w:val="22"/>
          <w:lang w:eastAsia="en-US"/>
        </w:rPr>
        <w:t xml:space="preserve"> </w:t>
      </w:r>
      <w:r w:rsidR="00BC7592">
        <w:rPr>
          <w:rFonts w:asciiTheme="minorHAnsi" w:eastAsiaTheme="minorHAnsi" w:hAnsiTheme="minorHAnsi" w:cstheme="minorBidi"/>
          <w:color w:val="495965" w:themeColor="text2"/>
          <w:sz w:val="22"/>
          <w:szCs w:val="22"/>
          <w:lang w:eastAsia="en-US"/>
        </w:rPr>
        <w:t xml:space="preserve">and </w:t>
      </w:r>
      <w:r w:rsidR="005B2C52">
        <w:rPr>
          <w:rFonts w:asciiTheme="minorHAnsi" w:eastAsiaTheme="minorHAnsi" w:hAnsiTheme="minorHAnsi" w:cstheme="minorBidi"/>
          <w:color w:val="495965" w:themeColor="text2"/>
          <w:sz w:val="22"/>
          <w:szCs w:val="22"/>
          <w:lang w:eastAsia="en-US"/>
        </w:rPr>
        <w:t xml:space="preserve">manage the conclusion of our </w:t>
      </w:r>
      <w:r w:rsidR="00BC7592">
        <w:rPr>
          <w:rFonts w:asciiTheme="minorHAnsi" w:eastAsiaTheme="minorHAnsi" w:hAnsiTheme="minorHAnsi" w:cstheme="minorBidi"/>
          <w:color w:val="495965" w:themeColor="text2"/>
          <w:sz w:val="22"/>
          <w:szCs w:val="22"/>
          <w:lang w:eastAsia="en-US"/>
        </w:rPr>
        <w:t xml:space="preserve">Social Protection and Sustainable Livelihoods program, including by disseminating the lessons learned and </w:t>
      </w:r>
      <w:r w:rsidR="00BD36AF">
        <w:rPr>
          <w:rFonts w:asciiTheme="minorHAnsi" w:eastAsiaTheme="minorHAnsi" w:hAnsiTheme="minorHAnsi" w:cstheme="minorBidi"/>
          <w:color w:val="495965" w:themeColor="text2"/>
          <w:sz w:val="22"/>
          <w:szCs w:val="22"/>
          <w:lang w:eastAsia="en-US"/>
        </w:rPr>
        <w:t xml:space="preserve">promoting </w:t>
      </w:r>
      <w:r w:rsidR="00BC7592">
        <w:rPr>
          <w:rFonts w:asciiTheme="minorHAnsi" w:eastAsiaTheme="minorHAnsi" w:hAnsiTheme="minorHAnsi" w:cstheme="minorBidi"/>
          <w:color w:val="495965" w:themeColor="text2"/>
          <w:sz w:val="22"/>
          <w:szCs w:val="22"/>
          <w:lang w:eastAsia="en-US"/>
        </w:rPr>
        <w:t>opportunities for further support to other interested donors in Laos.</w:t>
      </w:r>
    </w:p>
    <w:p w:rsidR="00BC7592" w:rsidRDefault="00877E90" w:rsidP="008557DF">
      <w:pPr>
        <w:pStyle w:val="ListBullet"/>
        <w:tabs>
          <w:tab w:val="clear" w:pos="284"/>
          <w:tab w:val="left" w:pos="720"/>
        </w:tabs>
        <w:rPr>
          <w:rFonts w:asciiTheme="minorHAnsi" w:eastAsiaTheme="minorHAnsi" w:hAnsiTheme="minorHAnsi" w:cstheme="minorBidi"/>
          <w:color w:val="495965" w:themeColor="text2"/>
          <w:sz w:val="22"/>
          <w:szCs w:val="22"/>
          <w:lang w:eastAsia="en-US"/>
        </w:rPr>
      </w:pPr>
      <w:r>
        <w:rPr>
          <w:rFonts w:asciiTheme="minorHAnsi" w:eastAsiaTheme="minorHAnsi" w:hAnsiTheme="minorHAnsi" w:cstheme="minorBidi"/>
          <w:color w:val="495965" w:themeColor="text2"/>
          <w:sz w:val="22"/>
          <w:szCs w:val="22"/>
          <w:lang w:eastAsia="en-US"/>
        </w:rPr>
        <w:t>We</w:t>
      </w:r>
      <w:r w:rsidR="00BC7592">
        <w:rPr>
          <w:rFonts w:asciiTheme="minorHAnsi" w:eastAsiaTheme="minorHAnsi" w:hAnsiTheme="minorHAnsi" w:cstheme="minorBidi"/>
          <w:color w:val="495965" w:themeColor="text2"/>
          <w:sz w:val="22"/>
          <w:szCs w:val="22"/>
          <w:lang w:eastAsia="en-US"/>
        </w:rPr>
        <w:t xml:space="preserve"> will work with the Laos-Australia Development Learning Facility and </w:t>
      </w:r>
      <w:r w:rsidR="005B2C52">
        <w:rPr>
          <w:rFonts w:asciiTheme="minorHAnsi" w:eastAsiaTheme="minorHAnsi" w:hAnsiTheme="minorHAnsi" w:cstheme="minorBidi"/>
          <w:color w:val="495965" w:themeColor="text2"/>
          <w:sz w:val="22"/>
          <w:szCs w:val="22"/>
          <w:lang w:eastAsia="en-US"/>
        </w:rPr>
        <w:t xml:space="preserve">Embassy </w:t>
      </w:r>
      <w:r w:rsidR="00BC7592">
        <w:rPr>
          <w:rFonts w:asciiTheme="minorHAnsi" w:eastAsiaTheme="minorHAnsi" w:hAnsiTheme="minorHAnsi" w:cstheme="minorBidi"/>
          <w:color w:val="495965" w:themeColor="text2"/>
          <w:sz w:val="22"/>
          <w:szCs w:val="22"/>
          <w:lang w:eastAsia="en-US"/>
        </w:rPr>
        <w:t xml:space="preserve">gender/disability focal points to undertake a </w:t>
      </w:r>
      <w:r w:rsidR="00791DFE">
        <w:rPr>
          <w:rFonts w:asciiTheme="minorHAnsi" w:eastAsiaTheme="minorHAnsi" w:hAnsiTheme="minorHAnsi" w:cstheme="minorBidi"/>
          <w:color w:val="495965" w:themeColor="text2"/>
          <w:sz w:val="22"/>
          <w:szCs w:val="22"/>
          <w:lang w:eastAsia="en-US"/>
        </w:rPr>
        <w:t>r</w:t>
      </w:r>
      <w:r w:rsidR="00791DFE" w:rsidRPr="00791DFE">
        <w:rPr>
          <w:rFonts w:asciiTheme="minorHAnsi" w:eastAsiaTheme="minorHAnsi" w:hAnsiTheme="minorHAnsi" w:cstheme="minorBidi"/>
          <w:color w:val="495965" w:themeColor="text2"/>
          <w:sz w:val="22"/>
          <w:szCs w:val="22"/>
          <w:lang w:eastAsia="en-US"/>
        </w:rPr>
        <w:t xml:space="preserve">eview of gender equality and disability inclusion performance </w:t>
      </w:r>
      <w:r w:rsidR="00BC7592">
        <w:rPr>
          <w:rFonts w:asciiTheme="minorHAnsi" w:eastAsiaTheme="minorHAnsi" w:hAnsiTheme="minorHAnsi" w:cstheme="minorBidi"/>
          <w:color w:val="495965" w:themeColor="text2"/>
          <w:sz w:val="22"/>
          <w:szCs w:val="22"/>
          <w:lang w:eastAsia="en-US"/>
        </w:rPr>
        <w:t xml:space="preserve">in the Lao aid program, to ensure our support is well targeted and strategic. </w:t>
      </w:r>
      <w:r w:rsidR="00B679FB">
        <w:rPr>
          <w:rFonts w:asciiTheme="minorHAnsi" w:eastAsiaTheme="minorHAnsi" w:hAnsiTheme="minorHAnsi" w:cstheme="minorBidi"/>
          <w:color w:val="495965" w:themeColor="text2"/>
          <w:sz w:val="22"/>
          <w:szCs w:val="22"/>
          <w:lang w:eastAsia="en-US"/>
        </w:rPr>
        <w:t>The</w:t>
      </w:r>
      <w:r w:rsidR="00BC7592">
        <w:rPr>
          <w:rFonts w:asciiTheme="minorHAnsi" w:eastAsiaTheme="minorHAnsi" w:hAnsiTheme="minorHAnsi" w:cstheme="minorBidi"/>
          <w:color w:val="495965" w:themeColor="text2"/>
          <w:sz w:val="22"/>
          <w:szCs w:val="22"/>
          <w:lang w:eastAsia="en-US"/>
        </w:rPr>
        <w:t xml:space="preserve"> review </w:t>
      </w:r>
      <w:r w:rsidR="00B679FB">
        <w:rPr>
          <w:rFonts w:asciiTheme="minorHAnsi" w:eastAsiaTheme="minorHAnsi" w:hAnsiTheme="minorHAnsi" w:cstheme="minorBidi"/>
          <w:color w:val="495965" w:themeColor="text2"/>
          <w:sz w:val="22"/>
          <w:szCs w:val="22"/>
          <w:lang w:eastAsia="en-US"/>
        </w:rPr>
        <w:t xml:space="preserve">is </w:t>
      </w:r>
      <w:r w:rsidR="00BC7592">
        <w:rPr>
          <w:rFonts w:asciiTheme="minorHAnsi" w:eastAsiaTheme="minorHAnsi" w:hAnsiTheme="minorHAnsi" w:cstheme="minorBidi"/>
          <w:color w:val="495965" w:themeColor="text2"/>
          <w:sz w:val="22"/>
          <w:szCs w:val="22"/>
          <w:lang w:eastAsia="en-US"/>
        </w:rPr>
        <w:t xml:space="preserve">scheduled to be </w:t>
      </w:r>
      <w:r w:rsidR="00F81C95">
        <w:rPr>
          <w:rFonts w:asciiTheme="minorHAnsi" w:eastAsiaTheme="minorHAnsi" w:hAnsiTheme="minorHAnsi" w:cstheme="minorBidi"/>
          <w:color w:val="495965" w:themeColor="text2"/>
          <w:sz w:val="22"/>
          <w:szCs w:val="22"/>
          <w:lang w:eastAsia="en-US"/>
        </w:rPr>
        <w:t>conducted in a phased approach</w:t>
      </w:r>
      <w:r w:rsidR="005B2C52">
        <w:rPr>
          <w:rFonts w:asciiTheme="minorHAnsi" w:eastAsiaTheme="minorHAnsi" w:hAnsiTheme="minorHAnsi" w:cstheme="minorBidi"/>
          <w:color w:val="495965" w:themeColor="text2"/>
          <w:sz w:val="22"/>
          <w:szCs w:val="22"/>
          <w:lang w:eastAsia="en-US"/>
        </w:rPr>
        <w:t>,</w:t>
      </w:r>
      <w:r w:rsidR="00F81C95">
        <w:rPr>
          <w:rFonts w:asciiTheme="minorHAnsi" w:eastAsiaTheme="minorHAnsi" w:hAnsiTheme="minorHAnsi" w:cstheme="minorBidi"/>
          <w:color w:val="495965" w:themeColor="text2"/>
          <w:sz w:val="22"/>
          <w:szCs w:val="22"/>
          <w:lang w:eastAsia="en-US"/>
        </w:rPr>
        <w:t xml:space="preserve"> with initial results and recommendations ready</w:t>
      </w:r>
      <w:r w:rsidR="00BC7592">
        <w:rPr>
          <w:rFonts w:asciiTheme="minorHAnsi" w:eastAsiaTheme="minorHAnsi" w:hAnsiTheme="minorHAnsi" w:cstheme="minorBidi"/>
          <w:color w:val="495965" w:themeColor="text2"/>
          <w:sz w:val="22"/>
          <w:szCs w:val="22"/>
          <w:lang w:eastAsia="en-US"/>
        </w:rPr>
        <w:t xml:space="preserve"> by </w:t>
      </w:r>
      <w:r w:rsidR="00F81C95">
        <w:rPr>
          <w:rFonts w:asciiTheme="minorHAnsi" w:eastAsiaTheme="minorHAnsi" w:hAnsiTheme="minorHAnsi" w:cstheme="minorBidi"/>
          <w:color w:val="495965" w:themeColor="text2"/>
          <w:sz w:val="22"/>
          <w:szCs w:val="22"/>
          <w:lang w:eastAsia="en-US"/>
        </w:rPr>
        <w:t>the end of the financial year</w:t>
      </w:r>
      <w:r w:rsidR="00BC7592">
        <w:rPr>
          <w:rFonts w:asciiTheme="minorHAnsi" w:eastAsiaTheme="minorHAnsi" w:hAnsiTheme="minorHAnsi" w:cstheme="minorBidi"/>
          <w:color w:val="495965" w:themeColor="text2"/>
          <w:sz w:val="22"/>
          <w:szCs w:val="22"/>
          <w:lang w:eastAsia="en-US"/>
        </w:rPr>
        <w:t>.</w:t>
      </w:r>
    </w:p>
    <w:p w:rsidR="00015316" w:rsidRDefault="00BC7592" w:rsidP="006C0A88">
      <w:pPr>
        <w:pStyle w:val="ListBullet"/>
        <w:tabs>
          <w:tab w:val="clear" w:pos="284"/>
          <w:tab w:val="left" w:pos="720"/>
        </w:tabs>
      </w:pPr>
      <w:r>
        <w:rPr>
          <w:rFonts w:asciiTheme="minorHAnsi" w:eastAsiaTheme="minorHAnsi" w:hAnsiTheme="minorHAnsi" w:cstheme="minorBidi"/>
          <w:color w:val="495965" w:themeColor="text2"/>
          <w:sz w:val="22"/>
          <w:szCs w:val="22"/>
          <w:lang w:eastAsia="en-US"/>
        </w:rPr>
        <w:t xml:space="preserve">Noting that the aid program has reached a mid-way point in the </w:t>
      </w:r>
      <w:r w:rsidR="008D6D9C">
        <w:rPr>
          <w:rFonts w:asciiTheme="minorHAnsi" w:eastAsiaTheme="minorHAnsi" w:hAnsiTheme="minorHAnsi" w:cstheme="minorBidi"/>
          <w:color w:val="495965" w:themeColor="text2"/>
          <w:sz w:val="22"/>
          <w:szCs w:val="22"/>
          <w:lang w:eastAsia="en-US"/>
        </w:rPr>
        <w:t xml:space="preserve">current AIP cycle, </w:t>
      </w:r>
      <w:r w:rsidR="00877E90">
        <w:rPr>
          <w:rFonts w:asciiTheme="minorHAnsi" w:eastAsiaTheme="minorHAnsi" w:hAnsiTheme="minorHAnsi" w:cstheme="minorBidi"/>
          <w:color w:val="495965" w:themeColor="text2"/>
          <w:sz w:val="22"/>
          <w:szCs w:val="22"/>
          <w:lang w:eastAsia="en-US"/>
        </w:rPr>
        <w:t>we</w:t>
      </w:r>
      <w:r w:rsidR="008D6D9C">
        <w:rPr>
          <w:rFonts w:asciiTheme="minorHAnsi" w:eastAsiaTheme="minorHAnsi" w:hAnsiTheme="minorHAnsi" w:cstheme="minorBidi"/>
          <w:color w:val="495965" w:themeColor="text2"/>
          <w:sz w:val="22"/>
          <w:szCs w:val="22"/>
          <w:lang w:eastAsia="en-US"/>
        </w:rPr>
        <w:t xml:space="preserve"> will also </w:t>
      </w:r>
      <w:r w:rsidR="00783C60">
        <w:rPr>
          <w:rFonts w:asciiTheme="minorHAnsi" w:eastAsiaTheme="minorHAnsi" w:hAnsiTheme="minorHAnsi" w:cstheme="minorBidi"/>
          <w:color w:val="495965" w:themeColor="text2"/>
          <w:sz w:val="22"/>
          <w:szCs w:val="22"/>
          <w:lang w:eastAsia="en-US"/>
        </w:rPr>
        <w:t xml:space="preserve">conduct </w:t>
      </w:r>
      <w:r w:rsidR="008D6D9C">
        <w:rPr>
          <w:rFonts w:asciiTheme="minorHAnsi" w:eastAsiaTheme="minorHAnsi" w:hAnsiTheme="minorHAnsi" w:cstheme="minorBidi"/>
          <w:color w:val="495965" w:themeColor="text2"/>
          <w:sz w:val="22"/>
          <w:szCs w:val="22"/>
          <w:lang w:eastAsia="en-US"/>
        </w:rPr>
        <w:t>a mid-term review</w:t>
      </w:r>
      <w:r w:rsidR="00783C60">
        <w:rPr>
          <w:rFonts w:asciiTheme="minorHAnsi" w:eastAsiaTheme="minorHAnsi" w:hAnsiTheme="minorHAnsi" w:cstheme="minorBidi"/>
          <w:color w:val="495965" w:themeColor="text2"/>
          <w:sz w:val="22"/>
          <w:szCs w:val="22"/>
          <w:lang w:eastAsia="en-US"/>
        </w:rPr>
        <w:t>, as appropriate,</w:t>
      </w:r>
      <w:r w:rsidR="008D6D9C">
        <w:rPr>
          <w:rFonts w:asciiTheme="minorHAnsi" w:eastAsiaTheme="minorHAnsi" w:hAnsiTheme="minorHAnsi" w:cstheme="minorBidi"/>
          <w:color w:val="495965" w:themeColor="text2"/>
          <w:sz w:val="22"/>
          <w:szCs w:val="22"/>
          <w:lang w:eastAsia="en-US"/>
        </w:rPr>
        <w:t xml:space="preserve"> of the </w:t>
      </w:r>
      <w:r w:rsidR="00F81C95">
        <w:rPr>
          <w:rFonts w:asciiTheme="minorHAnsi" w:eastAsiaTheme="minorHAnsi" w:hAnsiTheme="minorHAnsi" w:cstheme="minorBidi"/>
          <w:color w:val="495965" w:themeColor="text2"/>
          <w:sz w:val="22"/>
          <w:szCs w:val="22"/>
          <w:lang w:eastAsia="en-US"/>
        </w:rPr>
        <w:t xml:space="preserve">bilateral </w:t>
      </w:r>
      <w:r w:rsidR="008D6D9C">
        <w:rPr>
          <w:rFonts w:asciiTheme="minorHAnsi" w:eastAsiaTheme="minorHAnsi" w:hAnsiTheme="minorHAnsi" w:cstheme="minorBidi"/>
          <w:color w:val="495965" w:themeColor="text2"/>
          <w:sz w:val="22"/>
          <w:szCs w:val="22"/>
          <w:lang w:eastAsia="en-US"/>
        </w:rPr>
        <w:t xml:space="preserve">program in 2018. This will be an opportunity to ensure </w:t>
      </w:r>
      <w:r w:rsidR="008D6D9C">
        <w:rPr>
          <w:rFonts w:asciiTheme="minorHAnsi" w:eastAsiaTheme="minorHAnsi" w:hAnsiTheme="minorHAnsi" w:cstheme="minorBidi"/>
          <w:color w:val="495965" w:themeColor="text2"/>
          <w:sz w:val="22"/>
          <w:szCs w:val="22"/>
          <w:lang w:eastAsia="en-US"/>
        </w:rPr>
        <w:lastRenderedPageBreak/>
        <w:t>policy alignment with the di</w:t>
      </w:r>
      <w:r w:rsidR="00BD36AF">
        <w:rPr>
          <w:rFonts w:asciiTheme="minorHAnsi" w:eastAsiaTheme="minorHAnsi" w:hAnsiTheme="minorHAnsi" w:cstheme="minorBidi"/>
          <w:color w:val="495965" w:themeColor="text2"/>
          <w:sz w:val="22"/>
          <w:szCs w:val="22"/>
          <w:lang w:eastAsia="en-US"/>
        </w:rPr>
        <w:t>rections of</w:t>
      </w:r>
      <w:r w:rsidR="008D6D9C">
        <w:rPr>
          <w:rFonts w:asciiTheme="minorHAnsi" w:eastAsiaTheme="minorHAnsi" w:hAnsiTheme="minorHAnsi" w:cstheme="minorBidi"/>
          <w:color w:val="495965" w:themeColor="text2"/>
          <w:sz w:val="22"/>
          <w:szCs w:val="22"/>
          <w:lang w:eastAsia="en-US"/>
        </w:rPr>
        <w:t xml:space="preserve"> the </w:t>
      </w:r>
      <w:r w:rsidR="00BD36AF">
        <w:rPr>
          <w:rFonts w:asciiTheme="minorHAnsi" w:eastAsiaTheme="minorHAnsi" w:hAnsiTheme="minorHAnsi" w:cstheme="minorBidi"/>
          <w:color w:val="495965" w:themeColor="text2"/>
          <w:sz w:val="22"/>
          <w:szCs w:val="22"/>
          <w:lang w:eastAsia="en-US"/>
        </w:rPr>
        <w:t xml:space="preserve">forthcoming </w:t>
      </w:r>
      <w:r w:rsidR="005B2C52">
        <w:rPr>
          <w:rFonts w:asciiTheme="minorHAnsi" w:eastAsiaTheme="minorHAnsi" w:hAnsiTheme="minorHAnsi" w:cstheme="minorBidi"/>
          <w:color w:val="495965" w:themeColor="text2"/>
          <w:sz w:val="22"/>
          <w:szCs w:val="22"/>
          <w:lang w:eastAsia="en-US"/>
        </w:rPr>
        <w:t xml:space="preserve">Foreign Policy </w:t>
      </w:r>
      <w:r w:rsidR="008D6D9C">
        <w:rPr>
          <w:rFonts w:asciiTheme="minorHAnsi" w:eastAsiaTheme="minorHAnsi" w:hAnsiTheme="minorHAnsi" w:cstheme="minorBidi"/>
          <w:color w:val="495965" w:themeColor="text2"/>
          <w:sz w:val="22"/>
          <w:szCs w:val="22"/>
          <w:lang w:eastAsia="en-US"/>
        </w:rPr>
        <w:t>White Paper</w:t>
      </w:r>
      <w:r w:rsidR="005B2C52">
        <w:rPr>
          <w:rFonts w:asciiTheme="minorHAnsi" w:eastAsiaTheme="minorHAnsi" w:hAnsiTheme="minorHAnsi" w:cstheme="minorBidi"/>
          <w:color w:val="495965" w:themeColor="text2"/>
          <w:sz w:val="22"/>
          <w:szCs w:val="22"/>
          <w:lang w:eastAsia="en-US"/>
        </w:rPr>
        <w:t>,</w:t>
      </w:r>
      <w:r w:rsidR="008D6D9C">
        <w:rPr>
          <w:rFonts w:asciiTheme="minorHAnsi" w:eastAsiaTheme="minorHAnsi" w:hAnsiTheme="minorHAnsi" w:cstheme="minorBidi"/>
          <w:color w:val="495965" w:themeColor="text2"/>
          <w:sz w:val="22"/>
          <w:szCs w:val="22"/>
          <w:lang w:eastAsia="en-US"/>
        </w:rPr>
        <w:t xml:space="preserve"> and make any adjustments necessary to </w:t>
      </w:r>
      <w:r w:rsidR="005B2C52">
        <w:rPr>
          <w:rFonts w:asciiTheme="minorHAnsi" w:eastAsiaTheme="minorHAnsi" w:hAnsiTheme="minorHAnsi" w:cstheme="minorBidi"/>
          <w:color w:val="495965" w:themeColor="text2"/>
          <w:sz w:val="22"/>
          <w:szCs w:val="22"/>
          <w:lang w:eastAsia="en-US"/>
        </w:rPr>
        <w:t xml:space="preserve">respond to </w:t>
      </w:r>
      <w:r w:rsidR="008D6D9C">
        <w:rPr>
          <w:rFonts w:asciiTheme="minorHAnsi" w:eastAsiaTheme="minorHAnsi" w:hAnsiTheme="minorHAnsi" w:cstheme="minorBidi"/>
          <w:color w:val="495965" w:themeColor="text2"/>
          <w:sz w:val="22"/>
          <w:szCs w:val="22"/>
          <w:lang w:eastAsia="en-US"/>
        </w:rPr>
        <w:t>changes in Laos.</w:t>
      </w:r>
    </w:p>
    <w:p w:rsidR="00D00802" w:rsidRDefault="00D00802" w:rsidP="005B5769">
      <w:pPr>
        <w:pStyle w:val="ListBullet"/>
        <w:tabs>
          <w:tab w:val="clear" w:pos="284"/>
        </w:tabs>
        <w:sectPr w:rsidR="00D00802" w:rsidSect="009532B8">
          <w:headerReference w:type="default" r:id="rId23"/>
          <w:footerReference w:type="default" r:id="rId24"/>
          <w:pgSz w:w="11906" w:h="16838" w:code="9"/>
          <w:pgMar w:top="1811" w:right="1134" w:bottom="851" w:left="1134" w:header="1565" w:footer="342" w:gutter="0"/>
          <w:cols w:space="397"/>
          <w:docGrid w:linePitch="360"/>
        </w:sectPr>
      </w:pPr>
    </w:p>
    <w:p w:rsidR="00015316" w:rsidRDefault="00015316" w:rsidP="005B5769">
      <w:pPr>
        <w:pStyle w:val="ListBullet"/>
        <w:tabs>
          <w:tab w:val="clear" w:pos="284"/>
        </w:tabs>
      </w:pPr>
    </w:p>
    <w:p w:rsidR="00D00802" w:rsidRDefault="00D00802" w:rsidP="005B5769">
      <w:pPr>
        <w:pStyle w:val="ListBullet"/>
        <w:tabs>
          <w:tab w:val="clear" w:pos="284"/>
        </w:tabs>
      </w:pPr>
    </w:p>
    <w:p w:rsidR="00AF1B85" w:rsidRPr="00A8197B" w:rsidRDefault="00AF1B85" w:rsidP="005E606B">
      <w:pPr>
        <w:pStyle w:val="Subtitle"/>
      </w:pPr>
      <w:r w:rsidRPr="00A8197B">
        <w:t>Annex A - Progress in Addressing Management Responses</w:t>
      </w:r>
    </w:p>
    <w:p w:rsidR="00AF1B85" w:rsidRPr="00C61187" w:rsidRDefault="00AF1B85" w:rsidP="00A8197B"/>
    <w:tbl>
      <w:tblPr>
        <w:tblStyle w:val="APPR"/>
        <w:tblpPr w:leftFromText="180" w:rightFromText="180" w:vertAnchor="text" w:tblpY="1"/>
        <w:tblW w:w="5074" w:type="pct"/>
        <w:tblLayout w:type="fixed"/>
        <w:tblLook w:val="0000" w:firstRow="0" w:lastRow="0" w:firstColumn="0" w:lastColumn="0" w:noHBand="0" w:noVBand="0"/>
      </w:tblPr>
      <w:tblGrid>
        <w:gridCol w:w="6390"/>
        <w:gridCol w:w="1115"/>
        <w:gridCol w:w="6738"/>
      </w:tblGrid>
      <w:tr w:rsidR="00AF1B85" w:rsidRPr="00812509" w:rsidTr="00F97E2B">
        <w:trPr>
          <w:cnfStyle w:val="000000010000" w:firstRow="0" w:lastRow="0" w:firstColumn="0" w:lastColumn="0" w:oddVBand="0" w:evenVBand="0" w:oddHBand="0" w:evenHBand="1" w:firstRowFirstColumn="0" w:firstRowLastColumn="0" w:lastRowFirstColumn="0" w:lastRowLastColumn="0"/>
        </w:trPr>
        <w:tc>
          <w:tcPr>
            <w:tcW w:w="6473" w:type="dxa"/>
          </w:tcPr>
          <w:p w:rsidR="00AF1B85"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p w:rsidR="00F97E2B" w:rsidRPr="00812509" w:rsidRDefault="00F97E2B" w:rsidP="005F5838">
            <w:pPr>
              <w:keepLines/>
              <w:spacing w:before="80" w:after="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Education</w:t>
            </w:r>
          </w:p>
        </w:tc>
        <w:tc>
          <w:tcPr>
            <w:tcW w:w="1105" w:type="dxa"/>
          </w:tcPr>
          <w:p w:rsidR="00AF1B85" w:rsidRPr="00812509" w:rsidRDefault="00AF1B85" w:rsidP="005F5838">
            <w:pPr>
              <w:keepLines/>
              <w:spacing w:before="80" w:after="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rsidTr="00F97E2B">
        <w:trPr>
          <w:cnfStyle w:val="000000010000" w:firstRow="0" w:lastRow="0" w:firstColumn="0" w:lastColumn="0" w:oddVBand="0" w:evenVBand="0" w:oddHBand="0" w:evenHBand="1" w:firstRowFirstColumn="0" w:firstRowLastColumn="0" w:lastRowFirstColumn="0" w:lastRowLastColumn="0"/>
        </w:trPr>
        <w:tc>
          <w:tcPr>
            <w:tcW w:w="6473" w:type="dxa"/>
          </w:tcPr>
          <w:p w:rsidR="00F97E2B" w:rsidRPr="00812509" w:rsidRDefault="00F97E2B" w:rsidP="005F5838">
            <w:pPr>
              <w:keepLines/>
              <w:spacing w:before="40" w:after="40" w:line="200" w:lineRule="atLeast"/>
              <w:rPr>
                <w:rFonts w:asciiTheme="minorHAnsi" w:eastAsia="Times New Roman" w:hAnsiTheme="minorHAnsi"/>
                <w:iCs/>
                <w:szCs w:val="17"/>
                <w:lang w:eastAsia="en-US"/>
              </w:rPr>
            </w:pPr>
            <w:r w:rsidRPr="00F97E2B">
              <w:rPr>
                <w:rFonts w:asciiTheme="minorHAnsi" w:eastAsia="Times New Roman" w:hAnsiTheme="minorHAnsi"/>
                <w:iCs/>
                <w:szCs w:val="17"/>
                <w:lang w:eastAsia="en-US"/>
              </w:rPr>
              <w:t xml:space="preserve">A number of evaluative studies </w:t>
            </w:r>
            <w:r w:rsidR="005F5838">
              <w:rPr>
                <w:rFonts w:asciiTheme="minorHAnsi" w:eastAsia="Times New Roman" w:hAnsiTheme="minorHAnsi"/>
                <w:iCs/>
                <w:szCs w:val="17"/>
                <w:lang w:eastAsia="en-US"/>
              </w:rPr>
              <w:t xml:space="preserve">to be </w:t>
            </w:r>
            <w:r w:rsidRPr="00F97E2B">
              <w:rPr>
                <w:rFonts w:asciiTheme="minorHAnsi" w:eastAsia="Times New Roman" w:hAnsiTheme="minorHAnsi"/>
                <w:iCs/>
                <w:szCs w:val="17"/>
                <w:lang w:eastAsia="en-US"/>
              </w:rPr>
              <w:t xml:space="preserve">conducted to confirm the program logic remains sound and relevant, and help map donor engagement in the sector.  </w:t>
            </w:r>
          </w:p>
        </w:tc>
        <w:tc>
          <w:tcPr>
            <w:tcW w:w="1105"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rsidR="00AF1B85" w:rsidRPr="00812509" w:rsidRDefault="0013180C" w:rsidP="00166A79">
            <w:pPr>
              <w:keepLines/>
              <w:spacing w:before="40" w:after="40" w:line="200" w:lineRule="atLeast"/>
              <w:rPr>
                <w:rFonts w:asciiTheme="minorHAnsi" w:eastAsia="Times New Roman" w:hAnsiTheme="minorHAnsi"/>
                <w:iCs/>
                <w:color w:val="92D050"/>
                <w:szCs w:val="17"/>
                <w:lang w:eastAsia="en-US"/>
              </w:rPr>
            </w:pPr>
            <w:r>
              <w:rPr>
                <w:rFonts w:asciiTheme="minorHAnsi" w:eastAsia="Times New Roman" w:hAnsiTheme="minorHAnsi"/>
                <w:iCs/>
                <w:szCs w:val="17"/>
                <w:lang w:eastAsia="en-US"/>
              </w:rPr>
              <w:t xml:space="preserve">DFAT commissioned </w:t>
            </w:r>
            <w:r w:rsidR="00166A79">
              <w:rPr>
                <w:rFonts w:asciiTheme="minorHAnsi" w:eastAsia="Times New Roman" w:hAnsiTheme="minorHAnsi"/>
                <w:iCs/>
                <w:szCs w:val="17"/>
                <w:lang w:eastAsia="en-US"/>
              </w:rPr>
              <w:t>10</w:t>
            </w:r>
            <w:r w:rsidR="005F5838" w:rsidRPr="005F5838">
              <w:rPr>
                <w:rFonts w:asciiTheme="minorHAnsi" w:eastAsia="Times New Roman" w:hAnsiTheme="minorHAnsi"/>
                <w:iCs/>
                <w:szCs w:val="17"/>
                <w:lang w:eastAsia="en-US"/>
              </w:rPr>
              <w:t xml:space="preserve"> </w:t>
            </w:r>
            <w:r w:rsidR="005F5838">
              <w:rPr>
                <w:rFonts w:asciiTheme="minorHAnsi" w:eastAsia="Times New Roman" w:hAnsiTheme="minorHAnsi"/>
                <w:iCs/>
                <w:szCs w:val="17"/>
                <w:lang w:eastAsia="en-US"/>
              </w:rPr>
              <w:t xml:space="preserve">studies </w:t>
            </w:r>
            <w:r>
              <w:rPr>
                <w:rFonts w:asciiTheme="minorHAnsi" w:eastAsia="Times New Roman" w:hAnsiTheme="minorHAnsi"/>
                <w:iCs/>
                <w:szCs w:val="17"/>
                <w:lang w:eastAsia="en-US"/>
              </w:rPr>
              <w:t>which are</w:t>
            </w:r>
            <w:r w:rsidR="005F5838">
              <w:rPr>
                <w:rFonts w:asciiTheme="minorHAnsi" w:eastAsia="Times New Roman" w:hAnsiTheme="minorHAnsi"/>
                <w:iCs/>
                <w:szCs w:val="17"/>
                <w:lang w:eastAsia="en-US"/>
              </w:rPr>
              <w:t xml:space="preserve"> being used to test BEQUAL’s program logic and ensure BEQUAL’s scope and targeting remains relevant. DFAT </w:t>
            </w:r>
            <w:r>
              <w:rPr>
                <w:rFonts w:asciiTheme="minorHAnsi" w:eastAsia="Times New Roman" w:hAnsiTheme="minorHAnsi"/>
                <w:iCs/>
                <w:szCs w:val="17"/>
                <w:lang w:eastAsia="en-US"/>
              </w:rPr>
              <w:t xml:space="preserve">also </w:t>
            </w:r>
            <w:r w:rsidR="005F5838">
              <w:rPr>
                <w:rFonts w:asciiTheme="minorHAnsi" w:eastAsia="Times New Roman" w:hAnsiTheme="minorHAnsi"/>
                <w:iCs/>
                <w:szCs w:val="17"/>
                <w:lang w:eastAsia="en-US"/>
              </w:rPr>
              <w:t>conducted an education sector donor mapping exercise which is being used to determine areas of need or oversupply.</w:t>
            </w:r>
          </w:p>
        </w:tc>
      </w:tr>
      <w:tr w:rsidR="00AF1B85" w:rsidRPr="00812509" w:rsidTr="00F97E2B">
        <w:trPr>
          <w:cnfStyle w:val="000000010000" w:firstRow="0" w:lastRow="0" w:firstColumn="0" w:lastColumn="0" w:oddVBand="0" w:evenVBand="0" w:oddHBand="0" w:evenHBand="1" w:firstRowFirstColumn="0" w:firstRowLastColumn="0" w:lastRowFirstColumn="0" w:lastRowLastColumn="0"/>
        </w:trPr>
        <w:tc>
          <w:tcPr>
            <w:tcW w:w="6473" w:type="dxa"/>
          </w:tcPr>
          <w:p w:rsidR="00F97E2B" w:rsidRPr="00F97E2B" w:rsidRDefault="00F97E2B" w:rsidP="00D15A00">
            <w:pPr>
              <w:keepLines/>
              <w:spacing w:before="40" w:after="40" w:line="200" w:lineRule="atLeast"/>
              <w:rPr>
                <w:rFonts w:asciiTheme="minorHAnsi" w:eastAsia="Times New Roman" w:hAnsiTheme="minorHAnsi"/>
                <w:b/>
                <w:bCs/>
                <w:iCs/>
                <w:szCs w:val="17"/>
                <w:lang w:eastAsia="en-US"/>
              </w:rPr>
            </w:pPr>
            <w:r w:rsidRPr="00F97E2B">
              <w:rPr>
                <w:rFonts w:asciiTheme="minorHAnsi" w:eastAsia="Times New Roman" w:hAnsiTheme="minorHAnsi"/>
                <w:b/>
                <w:bCs/>
                <w:iCs/>
                <w:szCs w:val="17"/>
                <w:lang w:eastAsia="en-US"/>
              </w:rPr>
              <w:t>Human Resource Development</w:t>
            </w:r>
          </w:p>
          <w:p w:rsidR="00AF1B85" w:rsidRPr="00812509" w:rsidRDefault="00F97E2B"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U</w:t>
            </w:r>
            <w:r w:rsidRPr="00F97E2B">
              <w:rPr>
                <w:rFonts w:asciiTheme="minorHAnsi" w:eastAsia="Times New Roman" w:hAnsiTheme="minorHAnsi"/>
                <w:iCs/>
                <w:szCs w:val="17"/>
                <w:lang w:eastAsia="en-US"/>
              </w:rPr>
              <w:t>ndertake the design on a new phase of our human resource development program</w:t>
            </w:r>
          </w:p>
        </w:tc>
        <w:tc>
          <w:tcPr>
            <w:tcW w:w="1105"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29" w:type="dxa"/>
          </w:tcPr>
          <w:p w:rsidR="00AF1B85" w:rsidRPr="0089578A" w:rsidRDefault="00163894" w:rsidP="00D15A00">
            <w:pPr>
              <w:keepLines/>
              <w:spacing w:before="40" w:after="40" w:line="200" w:lineRule="atLeast"/>
              <w:rPr>
                <w:rFonts w:asciiTheme="minorHAnsi" w:eastAsia="Times New Roman" w:hAnsiTheme="minorHAnsi"/>
                <w:iCs/>
                <w:szCs w:val="17"/>
                <w:lang w:eastAsia="en-US"/>
              </w:rPr>
            </w:pPr>
            <w:r w:rsidRPr="0089578A">
              <w:rPr>
                <w:rFonts w:asciiTheme="minorHAnsi" w:eastAsia="Times New Roman" w:hAnsiTheme="minorHAnsi"/>
                <w:iCs/>
                <w:szCs w:val="17"/>
                <w:lang w:eastAsia="en-US"/>
              </w:rPr>
              <w:t>The LAI Phase II design was successfully completed to schedule, and the contract amendment for the new phase signed in time for commencement on 1 July 2017.</w:t>
            </w:r>
          </w:p>
        </w:tc>
      </w:tr>
      <w:tr w:rsidR="00AF1B85" w:rsidRPr="00AF5A3F" w:rsidTr="00F97E2B">
        <w:trPr>
          <w:cnfStyle w:val="000000010000" w:firstRow="0" w:lastRow="0" w:firstColumn="0" w:lastColumn="0" w:oddVBand="0" w:evenVBand="0" w:oddHBand="0" w:evenHBand="1" w:firstRowFirstColumn="0" w:firstRowLastColumn="0" w:lastRowFirstColumn="0" w:lastRowLastColumn="0"/>
        </w:trPr>
        <w:tc>
          <w:tcPr>
            <w:tcW w:w="6473" w:type="dxa"/>
          </w:tcPr>
          <w:p w:rsidR="00F97E2B" w:rsidRPr="00F97E2B" w:rsidRDefault="00F97E2B" w:rsidP="00D15A00">
            <w:pPr>
              <w:keepLines/>
              <w:spacing w:before="40" w:after="40" w:line="200" w:lineRule="atLeast"/>
              <w:rPr>
                <w:rFonts w:asciiTheme="minorHAnsi" w:eastAsia="Times New Roman" w:hAnsiTheme="minorHAnsi"/>
                <w:b/>
                <w:bCs/>
                <w:iCs/>
                <w:szCs w:val="17"/>
                <w:lang w:eastAsia="en-US"/>
              </w:rPr>
            </w:pPr>
            <w:r w:rsidRPr="00F97E2B">
              <w:rPr>
                <w:rFonts w:asciiTheme="minorHAnsi" w:eastAsia="Times New Roman" w:hAnsiTheme="minorHAnsi"/>
                <w:b/>
                <w:bCs/>
                <w:iCs/>
                <w:szCs w:val="17"/>
                <w:lang w:eastAsia="en-US"/>
              </w:rPr>
              <w:t>Trade</w:t>
            </w:r>
          </w:p>
          <w:p w:rsidR="00AF1B85" w:rsidRPr="00812509" w:rsidRDefault="00F97E2B" w:rsidP="00D15A00">
            <w:pPr>
              <w:keepLines/>
              <w:spacing w:before="40" w:after="40" w:line="200" w:lineRule="atLeast"/>
              <w:rPr>
                <w:rFonts w:asciiTheme="minorHAnsi" w:eastAsia="Times New Roman" w:hAnsiTheme="minorHAnsi"/>
                <w:iCs/>
                <w:szCs w:val="17"/>
                <w:lang w:eastAsia="en-US"/>
              </w:rPr>
            </w:pPr>
            <w:r w:rsidRPr="00F97E2B">
              <w:rPr>
                <w:rFonts w:asciiTheme="minorHAnsi" w:eastAsia="Times New Roman" w:hAnsiTheme="minorHAnsi"/>
                <w:iCs/>
                <w:szCs w:val="17"/>
                <w:lang w:eastAsia="en-US"/>
              </w:rPr>
              <w:t xml:space="preserve">TDF2 will enhance the program’s focus on the business environment and women’s economic engagement.  </w:t>
            </w:r>
          </w:p>
        </w:tc>
        <w:tc>
          <w:tcPr>
            <w:tcW w:w="1105"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rsidR="00AF1B85" w:rsidRPr="0089578A" w:rsidRDefault="000A6C9A" w:rsidP="00A239A8">
            <w:pPr>
              <w:keepLines/>
              <w:spacing w:before="40" w:after="40" w:line="200" w:lineRule="atLeast"/>
              <w:rPr>
                <w:rFonts w:asciiTheme="minorHAnsi" w:eastAsia="Times New Roman" w:hAnsiTheme="minorHAnsi"/>
                <w:iCs/>
                <w:szCs w:val="17"/>
                <w:lang w:eastAsia="en-US"/>
              </w:rPr>
            </w:pPr>
            <w:r w:rsidRPr="0089578A">
              <w:rPr>
                <w:rFonts w:asciiTheme="minorHAnsi" w:eastAsia="Times New Roman" w:hAnsiTheme="minorHAnsi"/>
                <w:iCs/>
                <w:szCs w:val="17"/>
                <w:lang w:eastAsia="en-US"/>
              </w:rPr>
              <w:t xml:space="preserve">DFAT’s additional financing </w:t>
            </w:r>
            <w:r w:rsidR="00A239A8">
              <w:rPr>
                <w:rFonts w:asciiTheme="minorHAnsi" w:eastAsia="Times New Roman" w:hAnsiTheme="minorHAnsi"/>
                <w:iCs/>
                <w:szCs w:val="17"/>
                <w:lang w:eastAsia="en-US"/>
              </w:rPr>
              <w:t xml:space="preserve">supported improvements to </w:t>
            </w:r>
            <w:r w:rsidRPr="0089578A">
              <w:rPr>
                <w:rFonts w:asciiTheme="minorHAnsi" w:eastAsia="Times New Roman" w:hAnsiTheme="minorHAnsi"/>
                <w:iCs/>
                <w:szCs w:val="17"/>
                <w:lang w:eastAsia="en-US"/>
              </w:rPr>
              <w:t>the business environment by undertaking a stocktake of regulations and mapping business licencing procedures, a first step towards simplification.  Women’s economic empower</w:t>
            </w:r>
            <w:r w:rsidR="00AC70C0">
              <w:rPr>
                <w:rFonts w:asciiTheme="minorHAnsi" w:eastAsia="Times New Roman" w:hAnsiTheme="minorHAnsi"/>
                <w:iCs/>
                <w:szCs w:val="17"/>
                <w:lang w:eastAsia="en-US"/>
              </w:rPr>
              <w:t>ment</w:t>
            </w:r>
            <w:r w:rsidRPr="0089578A">
              <w:rPr>
                <w:rFonts w:asciiTheme="minorHAnsi" w:eastAsia="Times New Roman" w:hAnsiTheme="minorHAnsi"/>
                <w:iCs/>
                <w:szCs w:val="17"/>
                <w:lang w:eastAsia="en-US"/>
              </w:rPr>
              <w:t xml:space="preserve"> has also been a particular focus of the additional financing. With our funding, the project is conducting consultation workshops at provincial levels with women businesses to help them formulate their concerns and action these in the upcoming Lao Business Forum, scheduled in early 2018.</w:t>
            </w:r>
          </w:p>
        </w:tc>
      </w:tr>
      <w:tr w:rsidR="00AF1B85" w:rsidRPr="00812509" w:rsidTr="003F2C24">
        <w:trPr>
          <w:cnfStyle w:val="000000010000" w:firstRow="0" w:lastRow="0" w:firstColumn="0" w:lastColumn="0" w:oddVBand="0" w:evenVBand="0" w:oddHBand="0" w:evenHBand="1" w:firstRowFirstColumn="0" w:firstRowLastColumn="0" w:lastRowFirstColumn="0" w:lastRowLastColumn="0"/>
        </w:trPr>
        <w:tc>
          <w:tcPr>
            <w:tcW w:w="6473" w:type="dxa"/>
          </w:tcPr>
          <w:p w:rsidR="00F97E2B" w:rsidRPr="00F97E2B" w:rsidRDefault="00F97E2B" w:rsidP="00D15A00">
            <w:pPr>
              <w:keepLines/>
              <w:spacing w:before="40" w:after="40" w:line="200" w:lineRule="atLeast"/>
              <w:rPr>
                <w:rFonts w:asciiTheme="minorHAnsi" w:eastAsia="Times New Roman" w:hAnsiTheme="minorHAnsi"/>
                <w:b/>
                <w:bCs/>
                <w:iCs/>
                <w:szCs w:val="17"/>
                <w:lang w:eastAsia="en-US"/>
              </w:rPr>
            </w:pPr>
            <w:r w:rsidRPr="00F97E2B">
              <w:rPr>
                <w:rFonts w:asciiTheme="minorHAnsi" w:eastAsia="Times New Roman" w:hAnsiTheme="minorHAnsi"/>
                <w:b/>
                <w:bCs/>
                <w:iCs/>
                <w:szCs w:val="17"/>
                <w:lang w:eastAsia="en-US"/>
              </w:rPr>
              <w:t>Rural Development</w:t>
            </w:r>
          </w:p>
          <w:p w:rsidR="00AF1B85" w:rsidRPr="00812509" w:rsidRDefault="00F97E2B"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w:t>
            </w:r>
            <w:r w:rsidRPr="00F97E2B">
              <w:rPr>
                <w:rFonts w:asciiTheme="minorHAnsi" w:eastAsia="Times New Roman" w:hAnsiTheme="minorHAnsi"/>
                <w:iCs/>
                <w:szCs w:val="17"/>
                <w:lang w:eastAsia="en-US"/>
              </w:rPr>
              <w:t>urther reduce our engagement in rural development</w:t>
            </w:r>
            <w:r>
              <w:rPr>
                <w:rFonts w:asciiTheme="minorHAnsi" w:eastAsia="Times New Roman" w:hAnsiTheme="minorHAnsi"/>
                <w:iCs/>
                <w:szCs w:val="17"/>
                <w:lang w:eastAsia="en-US"/>
              </w:rPr>
              <w:t>. C</w:t>
            </w:r>
            <w:r w:rsidRPr="00F97E2B">
              <w:rPr>
                <w:rFonts w:asciiTheme="minorHAnsi" w:eastAsia="Times New Roman" w:hAnsiTheme="minorHAnsi"/>
                <w:iCs/>
                <w:szCs w:val="17"/>
                <w:lang w:eastAsia="en-US"/>
              </w:rPr>
              <w:t>onclude the Laos Australia Rural Livelihoods Program in a manner which maximises the sustainability of its development outcomes</w:t>
            </w:r>
          </w:p>
        </w:tc>
        <w:tc>
          <w:tcPr>
            <w:tcW w:w="1105" w:type="dxa"/>
            <w:shd w:val="clear" w:color="auto" w:fill="FF9900"/>
          </w:tcPr>
          <w:p w:rsidR="009532B8" w:rsidRDefault="009532B8"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00F97E2B">
              <w:rPr>
                <w:rFonts w:asciiTheme="minorHAnsi" w:eastAsia="Times New Roman" w:hAnsiTheme="minorHAnsi"/>
                <w:iCs/>
                <w:color w:val="FFFFFF" w:themeColor="background1"/>
                <w:szCs w:val="17"/>
                <w:lang w:eastAsia="en-US"/>
              </w:rPr>
              <w:t xml:space="preserve"> A</w:t>
            </w:r>
            <w:r w:rsidR="00AF1B85" w:rsidRPr="00812509">
              <w:rPr>
                <w:rFonts w:asciiTheme="minorHAnsi" w:eastAsia="Times New Roman" w:hAnsiTheme="minorHAnsi"/>
                <w:iCs/>
                <w:color w:val="FFFFFF" w:themeColor="background1"/>
                <w:szCs w:val="17"/>
                <w:lang w:eastAsia="en-US"/>
              </w:rPr>
              <w:t>chieved</w:t>
            </w:r>
          </w:p>
          <w:p w:rsidR="00AF1B85" w:rsidRPr="009532B8" w:rsidRDefault="00AF1B85" w:rsidP="009532B8">
            <w:pPr>
              <w:rPr>
                <w:rFonts w:asciiTheme="minorHAnsi" w:eastAsia="Times New Roman" w:hAnsiTheme="minorHAnsi"/>
                <w:szCs w:val="17"/>
              </w:rPr>
            </w:pPr>
          </w:p>
        </w:tc>
        <w:tc>
          <w:tcPr>
            <w:tcW w:w="6829" w:type="dxa"/>
          </w:tcPr>
          <w:p w:rsidR="00AF1B85" w:rsidRPr="00812509" w:rsidRDefault="009532B8" w:rsidP="00586C7B">
            <w:pPr>
              <w:keepLines/>
              <w:spacing w:before="40" w:after="40" w:line="200" w:lineRule="atLeast"/>
              <w:rPr>
                <w:rFonts w:asciiTheme="minorHAnsi" w:eastAsia="Times New Roman" w:hAnsiTheme="minorHAnsi"/>
                <w:iCs/>
                <w:color w:val="409F68" w:themeColor="accent6"/>
                <w:szCs w:val="17"/>
                <w:lang w:eastAsia="en-US"/>
              </w:rPr>
            </w:pPr>
            <w:r w:rsidRPr="005A6340">
              <w:rPr>
                <w:rFonts w:asciiTheme="minorHAnsi" w:eastAsia="Times New Roman" w:hAnsiTheme="minorHAnsi"/>
                <w:iCs/>
                <w:szCs w:val="17"/>
                <w:lang w:eastAsia="en-US"/>
              </w:rPr>
              <w:t xml:space="preserve">Our support for the Social Protection and Sustainable Livelihoods program (SPSL) </w:t>
            </w:r>
            <w:r w:rsidR="00EA221E" w:rsidRPr="005A6340">
              <w:rPr>
                <w:rFonts w:asciiTheme="minorHAnsi" w:eastAsia="Times New Roman" w:hAnsiTheme="minorHAnsi"/>
                <w:iCs/>
                <w:szCs w:val="17"/>
                <w:lang w:eastAsia="en-US"/>
              </w:rPr>
              <w:t xml:space="preserve">concluded in August 2017. Post </w:t>
            </w:r>
            <w:r w:rsidR="009A7D37" w:rsidRPr="005A6340">
              <w:rPr>
                <w:rFonts w:asciiTheme="minorHAnsi" w:eastAsia="Times New Roman" w:hAnsiTheme="minorHAnsi"/>
                <w:iCs/>
                <w:szCs w:val="17"/>
                <w:lang w:eastAsia="en-US"/>
              </w:rPr>
              <w:t>disseminated the outcomes</w:t>
            </w:r>
            <w:r w:rsidRPr="005A6340">
              <w:rPr>
                <w:rFonts w:asciiTheme="minorHAnsi" w:eastAsia="Times New Roman" w:hAnsiTheme="minorHAnsi"/>
                <w:iCs/>
                <w:szCs w:val="17"/>
                <w:lang w:eastAsia="en-US"/>
              </w:rPr>
              <w:t xml:space="preserve"> </w:t>
            </w:r>
            <w:r w:rsidR="009A7D37" w:rsidRPr="005A6340">
              <w:rPr>
                <w:rFonts w:asciiTheme="minorHAnsi" w:eastAsia="Times New Roman" w:hAnsiTheme="minorHAnsi"/>
                <w:iCs/>
                <w:szCs w:val="17"/>
                <w:lang w:eastAsia="en-US"/>
              </w:rPr>
              <w:t xml:space="preserve">and lessons learned of the investment and is working with interested donors, including the World Bank, to continue some of the work. </w:t>
            </w:r>
            <w:r w:rsidR="00586C7B" w:rsidRPr="005A6340">
              <w:rPr>
                <w:rFonts w:asciiTheme="minorHAnsi" w:eastAsia="Times New Roman" w:hAnsiTheme="minorHAnsi"/>
                <w:iCs/>
                <w:szCs w:val="17"/>
                <w:lang w:eastAsia="en-US"/>
              </w:rPr>
              <w:t xml:space="preserve">Post is working with the Social Protection Hub to consider continuing some of the social protection work given the opportunity to support reform in this area and its potential impact on poverty reduction. </w:t>
            </w:r>
            <w:r w:rsidR="009A7D37" w:rsidRPr="005A6340">
              <w:rPr>
                <w:rFonts w:asciiTheme="minorHAnsi" w:eastAsia="Times New Roman" w:hAnsiTheme="minorHAnsi"/>
                <w:iCs/>
                <w:szCs w:val="17"/>
                <w:lang w:eastAsia="en-US"/>
              </w:rPr>
              <w:t xml:space="preserve">Our support to </w:t>
            </w:r>
            <w:r w:rsidRPr="005A6340">
              <w:rPr>
                <w:rFonts w:asciiTheme="minorHAnsi" w:eastAsia="Times New Roman" w:hAnsiTheme="minorHAnsi"/>
                <w:iCs/>
                <w:szCs w:val="17"/>
                <w:lang w:eastAsia="en-US"/>
              </w:rPr>
              <w:t xml:space="preserve">UXO </w:t>
            </w:r>
            <w:r w:rsidR="009A7D37" w:rsidRPr="005A6340">
              <w:rPr>
                <w:rFonts w:asciiTheme="minorHAnsi" w:eastAsia="Times New Roman" w:hAnsiTheme="minorHAnsi"/>
                <w:iCs/>
                <w:szCs w:val="17"/>
                <w:lang w:eastAsia="en-US"/>
              </w:rPr>
              <w:t xml:space="preserve">clearance is </w:t>
            </w:r>
            <w:r w:rsidRPr="005A6340">
              <w:rPr>
                <w:rFonts w:asciiTheme="minorHAnsi" w:eastAsia="Times New Roman" w:hAnsiTheme="minorHAnsi"/>
                <w:iCs/>
                <w:szCs w:val="17"/>
                <w:lang w:eastAsia="en-US"/>
              </w:rPr>
              <w:t xml:space="preserve">expected to </w:t>
            </w:r>
            <w:r w:rsidR="009A7D37" w:rsidRPr="005A6340">
              <w:rPr>
                <w:rFonts w:asciiTheme="minorHAnsi" w:eastAsia="Times New Roman" w:hAnsiTheme="minorHAnsi"/>
                <w:iCs/>
                <w:szCs w:val="17"/>
                <w:lang w:eastAsia="en-US"/>
              </w:rPr>
              <w:t>conclude by the end of 2017. Several major investments by other donors (ie US State is investing US$90m/3 years) will sustain this important work.</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9532B8">
          <w:headerReference w:type="first" r:id="rId25"/>
          <w:pgSz w:w="16838" w:h="11906" w:orient="landscape" w:code="9"/>
          <w:pgMar w:top="1134" w:right="1952" w:bottom="1134" w:left="851" w:header="1107" w:footer="567" w:gutter="0"/>
          <w:cols w:space="397"/>
          <w:titlePg/>
          <w:docGrid w:linePitch="360"/>
        </w:sectPr>
      </w:pPr>
    </w:p>
    <w:p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rsidR="00184F1E" w:rsidRPr="00CE5DF0" w:rsidRDefault="00184F1E" w:rsidP="00184F1E"/>
    <w:tbl>
      <w:tblPr>
        <w:tblStyle w:val="DFATTable"/>
        <w:tblW w:w="5000" w:type="pct"/>
        <w:tblLook w:val="04A0" w:firstRow="1" w:lastRow="0" w:firstColumn="1" w:lastColumn="0" w:noHBand="0" w:noVBand="1"/>
      </w:tblPr>
      <w:tblGrid>
        <w:gridCol w:w="2190"/>
        <w:gridCol w:w="2523"/>
        <w:gridCol w:w="985"/>
        <w:gridCol w:w="8337"/>
      </w:tblGrid>
      <w:tr w:rsidR="00184F1E" w:rsidRPr="00C61187" w:rsidTr="0089578A">
        <w:trPr>
          <w:tblHeader/>
        </w:trPr>
        <w:tc>
          <w:tcPr>
            <w:tcW w:w="780" w:type="pct"/>
            <w:tcMar>
              <w:top w:w="57" w:type="dxa"/>
              <w:bottom w:w="57" w:type="dxa"/>
            </w:tcMar>
          </w:tcPr>
          <w:p w:rsidR="00184F1E" w:rsidRPr="00880004" w:rsidRDefault="00184F1E" w:rsidP="00834B8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899" w:type="pct"/>
          </w:tcPr>
          <w:p w:rsidR="00184F1E" w:rsidRPr="00880004" w:rsidRDefault="00184F1E" w:rsidP="00834B80">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351" w:type="pct"/>
          </w:tcPr>
          <w:p w:rsidR="00184F1E" w:rsidRPr="00880004" w:rsidRDefault="00184F1E" w:rsidP="00834B80">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rsidR="00184F1E" w:rsidRPr="00880004" w:rsidRDefault="00184F1E" w:rsidP="00834B80">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184F1E" w:rsidRPr="00C61187" w:rsidTr="0089578A">
        <w:tc>
          <w:tcPr>
            <w:tcW w:w="780" w:type="pct"/>
            <w:tcMar>
              <w:top w:w="57" w:type="dxa"/>
              <w:bottom w:w="57" w:type="dxa"/>
            </w:tcMar>
          </w:tcPr>
          <w:p w:rsidR="00184F1E" w:rsidRPr="00880004" w:rsidRDefault="007B3CE4" w:rsidP="00834B8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w:t>
            </w:r>
            <w:r>
              <w:t xml:space="preserve"> </w:t>
            </w:r>
            <w:r w:rsidRPr="007B3CE4">
              <w:rPr>
                <w:rFonts w:asciiTheme="minorHAnsi" w:eastAsia="Times New Roman" w:hAnsiTheme="minorHAnsi"/>
                <w:iCs/>
                <w:szCs w:val="17"/>
                <w:lang w:eastAsia="en-US"/>
              </w:rPr>
              <w:t>More disadvantaged girls and boys complete a quality basic education</w:t>
            </w:r>
          </w:p>
        </w:tc>
        <w:tc>
          <w:tcPr>
            <w:tcW w:w="899" w:type="pct"/>
          </w:tcPr>
          <w:p w:rsidR="007B3CE4" w:rsidRDefault="007B3CE4" w:rsidP="00834B80">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152 new ethnic students commence training at teacher training college</w:t>
            </w:r>
          </w:p>
          <w:p w:rsidR="007B3CE4" w:rsidRPr="00880004" w:rsidRDefault="007B3CE4" w:rsidP="00F44BC3">
            <w:pPr>
              <w:keepLines/>
              <w:spacing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New Grade 1 primary curriculum piloted</w:t>
            </w:r>
          </w:p>
        </w:tc>
        <w:tc>
          <w:tcPr>
            <w:tcW w:w="351" w:type="pct"/>
            <w:shd w:val="clear" w:color="auto" w:fill="92D050"/>
          </w:tcPr>
          <w:p w:rsidR="00184F1E" w:rsidRDefault="00184F1E" w:rsidP="00834B80">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p w:rsidR="0089578A" w:rsidRDefault="0089578A" w:rsidP="00834B80">
            <w:pPr>
              <w:keepLines/>
              <w:spacing w:before="40" w:after="40" w:line="200" w:lineRule="atLeast"/>
              <w:jc w:val="center"/>
              <w:rPr>
                <w:rFonts w:asciiTheme="minorHAnsi" w:eastAsia="Times New Roman" w:hAnsiTheme="minorHAnsi"/>
                <w:iCs/>
                <w:color w:val="FFFFFF" w:themeColor="background1"/>
                <w:szCs w:val="17"/>
                <w:lang w:eastAsia="en-US"/>
              </w:rPr>
            </w:pPr>
          </w:p>
          <w:p w:rsidR="00F44BC3" w:rsidRDefault="00F44BC3" w:rsidP="00F44BC3">
            <w:pPr>
              <w:keepLines/>
              <w:spacing w:before="40" w:after="40" w:line="200" w:lineRule="atLeast"/>
              <w:rPr>
                <w:rFonts w:asciiTheme="minorHAnsi" w:eastAsia="Times New Roman" w:hAnsiTheme="minorHAnsi"/>
                <w:iCs/>
                <w:color w:val="FFFFFF" w:themeColor="background1"/>
                <w:szCs w:val="17"/>
                <w:lang w:eastAsia="en-US"/>
              </w:rPr>
            </w:pPr>
          </w:p>
          <w:p w:rsidR="0089578A" w:rsidRDefault="0089578A" w:rsidP="00834B80">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p w:rsidR="0089578A" w:rsidRPr="00880004" w:rsidRDefault="0089578A" w:rsidP="00F44BC3">
            <w:pPr>
              <w:keepLines/>
              <w:spacing w:before="40" w:after="40" w:line="200" w:lineRule="atLeast"/>
              <w:rPr>
                <w:rFonts w:asciiTheme="minorHAnsi" w:eastAsia="Times New Roman" w:hAnsiTheme="minorHAnsi"/>
                <w:iCs/>
                <w:color w:val="FFFFFF" w:themeColor="background1"/>
                <w:szCs w:val="17"/>
                <w:lang w:eastAsia="en-US"/>
              </w:rPr>
            </w:pPr>
          </w:p>
        </w:tc>
        <w:tc>
          <w:tcPr>
            <w:tcW w:w="2970" w:type="pct"/>
          </w:tcPr>
          <w:p w:rsidR="00184F1E" w:rsidRDefault="00F44BC3" w:rsidP="00F44BC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152 new teacher trainees </w:t>
            </w:r>
            <w:r w:rsidR="005036D4">
              <w:rPr>
                <w:rFonts w:asciiTheme="minorHAnsi" w:eastAsia="Times New Roman" w:hAnsiTheme="minorHAnsi"/>
                <w:iCs/>
                <w:szCs w:val="17"/>
                <w:lang w:eastAsia="en-US"/>
              </w:rPr>
              <w:t xml:space="preserve">(65 per cent are women) </w:t>
            </w:r>
            <w:r>
              <w:rPr>
                <w:rFonts w:asciiTheme="minorHAnsi" w:eastAsia="Times New Roman" w:hAnsiTheme="minorHAnsi"/>
                <w:iCs/>
                <w:szCs w:val="17"/>
                <w:lang w:eastAsia="en-US"/>
              </w:rPr>
              <w:t xml:space="preserve">commenced training at three teacher training colleges. During the reporting period, two trainees were expelled due to underperformance. </w:t>
            </w:r>
            <w:r w:rsidR="00973568">
              <w:rPr>
                <w:rFonts w:asciiTheme="minorHAnsi" w:eastAsia="Times New Roman" w:hAnsiTheme="minorHAnsi"/>
                <w:iCs/>
                <w:szCs w:val="17"/>
                <w:lang w:eastAsia="en-US"/>
              </w:rPr>
              <w:t xml:space="preserve">DFAT </w:t>
            </w:r>
            <w:r>
              <w:rPr>
                <w:rFonts w:asciiTheme="minorHAnsi" w:eastAsia="Times New Roman" w:hAnsiTheme="minorHAnsi"/>
                <w:iCs/>
                <w:szCs w:val="17"/>
                <w:lang w:eastAsia="en-US"/>
              </w:rPr>
              <w:t xml:space="preserve">is working with the Department of Teacher Education and </w:t>
            </w:r>
            <w:r w:rsidR="00973568">
              <w:rPr>
                <w:rFonts w:asciiTheme="minorHAnsi" w:eastAsia="Times New Roman" w:hAnsiTheme="minorHAnsi"/>
                <w:iCs/>
                <w:szCs w:val="17"/>
                <w:lang w:eastAsia="en-US"/>
              </w:rPr>
              <w:t>relevant TTC to ensure scholarship awardees are provided sufficient supplementary support to complete their studies.</w:t>
            </w:r>
            <w:r>
              <w:rPr>
                <w:rFonts w:asciiTheme="minorHAnsi" w:eastAsia="Times New Roman" w:hAnsiTheme="minorHAnsi"/>
                <w:iCs/>
                <w:szCs w:val="17"/>
                <w:lang w:eastAsia="en-US"/>
              </w:rPr>
              <w:t xml:space="preserve"> </w:t>
            </w:r>
          </w:p>
          <w:p w:rsidR="00F44BC3" w:rsidRPr="00973568" w:rsidRDefault="00973568" w:rsidP="00973568">
            <w:pPr>
              <w:pStyle w:val="BodyCopy"/>
              <w:rPr>
                <w:rFonts w:asciiTheme="minorHAnsi" w:eastAsia="Times New Roman" w:hAnsiTheme="minorHAnsi" w:cstheme="minorBidi"/>
                <w:iCs/>
                <w:color w:val="495965" w:themeColor="text2"/>
                <w:sz w:val="17"/>
                <w:szCs w:val="17"/>
                <w:lang w:val="en-GB"/>
              </w:rPr>
            </w:pPr>
            <w:r>
              <w:rPr>
                <w:rFonts w:asciiTheme="minorHAnsi" w:eastAsia="Times New Roman" w:hAnsiTheme="minorHAnsi" w:cstheme="minorBidi"/>
                <w:iCs/>
                <w:color w:val="495965" w:themeColor="text2"/>
                <w:sz w:val="17"/>
                <w:szCs w:val="17"/>
                <w:lang w:val="en-GB"/>
              </w:rPr>
              <w:t xml:space="preserve">New Grade 1 </w:t>
            </w:r>
            <w:r w:rsidRPr="00973568">
              <w:rPr>
                <w:rFonts w:asciiTheme="minorHAnsi" w:eastAsia="Times New Roman" w:hAnsiTheme="minorHAnsi" w:cstheme="minorBidi"/>
                <w:iCs/>
                <w:color w:val="495965" w:themeColor="text2"/>
                <w:sz w:val="17"/>
                <w:szCs w:val="17"/>
                <w:lang w:val="en-GB"/>
              </w:rPr>
              <w:t>textbooks and teacher</w:t>
            </w:r>
            <w:r>
              <w:rPr>
                <w:rFonts w:asciiTheme="minorHAnsi" w:eastAsia="Times New Roman" w:hAnsiTheme="minorHAnsi" w:cstheme="minorBidi"/>
                <w:iCs/>
                <w:color w:val="495965" w:themeColor="text2"/>
                <w:sz w:val="17"/>
                <w:szCs w:val="17"/>
                <w:lang w:val="en-GB"/>
              </w:rPr>
              <w:t xml:space="preserve">s guides were piloted over an entire </w:t>
            </w:r>
            <w:r w:rsidRPr="00973568">
              <w:rPr>
                <w:rFonts w:asciiTheme="minorHAnsi" w:eastAsia="Times New Roman" w:hAnsiTheme="minorHAnsi" w:cstheme="minorBidi"/>
                <w:iCs/>
                <w:color w:val="495965" w:themeColor="text2"/>
                <w:sz w:val="17"/>
                <w:szCs w:val="17"/>
                <w:lang w:val="en-GB"/>
              </w:rPr>
              <w:t xml:space="preserve">school year, in a </w:t>
            </w:r>
            <w:r>
              <w:rPr>
                <w:rFonts w:asciiTheme="minorHAnsi" w:eastAsia="Times New Roman" w:hAnsiTheme="minorHAnsi" w:cstheme="minorBidi"/>
                <w:iCs/>
                <w:color w:val="495965" w:themeColor="text2"/>
                <w:sz w:val="17"/>
                <w:szCs w:val="17"/>
                <w:lang w:val="en-GB"/>
              </w:rPr>
              <w:t>representative sample of primary schools across Laos. Grade 1 learning materials are now being edited to reflect the outcomes of this trial.</w:t>
            </w:r>
          </w:p>
        </w:tc>
      </w:tr>
      <w:tr w:rsidR="005318E7" w:rsidRPr="005318E7" w:rsidTr="0089578A">
        <w:tc>
          <w:tcPr>
            <w:tcW w:w="780" w:type="pct"/>
            <w:tcMar>
              <w:top w:w="57" w:type="dxa"/>
              <w:bottom w:w="57" w:type="dxa"/>
            </w:tcMar>
          </w:tcPr>
          <w:p w:rsidR="00184F1E" w:rsidRPr="00880004" w:rsidRDefault="007B3CE4" w:rsidP="00834B80">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2. Improving Laos’ human resources through scholarships, training and organisational capacity building</w:t>
            </w:r>
          </w:p>
        </w:tc>
        <w:tc>
          <w:tcPr>
            <w:tcW w:w="899" w:type="pct"/>
          </w:tcPr>
          <w:p w:rsidR="00184F1E" w:rsidRDefault="007B3CE4" w:rsidP="00834B80">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85 percent of Australia Awardees due to finish, successfully graduate.</w:t>
            </w:r>
          </w:p>
          <w:p w:rsidR="007B3CE4" w:rsidRDefault="007B3CE4" w:rsidP="00834B80">
            <w:pPr>
              <w:keepLines/>
              <w:spacing w:before="40" w:after="40" w:line="200" w:lineRule="atLeast"/>
              <w:rPr>
                <w:rFonts w:asciiTheme="minorHAnsi" w:eastAsia="Times New Roman" w:hAnsiTheme="minorHAnsi"/>
                <w:iCs/>
                <w:szCs w:val="17"/>
                <w:lang w:eastAsia="en-US"/>
              </w:rPr>
            </w:pPr>
          </w:p>
          <w:p w:rsidR="007B3CE4" w:rsidRPr="00880004" w:rsidRDefault="007B3CE4" w:rsidP="00834B80">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61 out of 72 students (85 percent of the cohort) due to complete their Laos Australia National Scholarships successfully graduate.</w:t>
            </w:r>
          </w:p>
        </w:tc>
        <w:tc>
          <w:tcPr>
            <w:tcW w:w="351" w:type="pct"/>
            <w:shd w:val="clear" w:color="auto" w:fill="92D050"/>
          </w:tcPr>
          <w:p w:rsidR="00184F1E" w:rsidRDefault="00B169FF" w:rsidP="00834B8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00184F1E" w:rsidRPr="00880004">
              <w:rPr>
                <w:rFonts w:asciiTheme="minorHAnsi" w:eastAsia="Times New Roman" w:hAnsiTheme="minorHAnsi"/>
                <w:iCs/>
                <w:color w:val="FFFFFF" w:themeColor="background1"/>
                <w:szCs w:val="17"/>
                <w:lang w:eastAsia="en-US"/>
              </w:rPr>
              <w:t>chieved</w:t>
            </w:r>
          </w:p>
          <w:p w:rsidR="0089578A" w:rsidRDefault="0089578A" w:rsidP="00834B80">
            <w:pPr>
              <w:keepLines/>
              <w:spacing w:before="40" w:after="40" w:line="200" w:lineRule="atLeast"/>
              <w:jc w:val="center"/>
              <w:rPr>
                <w:rFonts w:asciiTheme="minorHAnsi" w:eastAsia="Times New Roman" w:hAnsiTheme="minorHAnsi"/>
                <w:iCs/>
                <w:color w:val="FFFFFF" w:themeColor="background1"/>
                <w:szCs w:val="17"/>
                <w:lang w:eastAsia="en-US"/>
              </w:rPr>
            </w:pPr>
          </w:p>
          <w:p w:rsidR="0089578A" w:rsidRDefault="0089578A" w:rsidP="00834B80">
            <w:pPr>
              <w:keepLines/>
              <w:spacing w:before="40" w:after="40" w:line="200" w:lineRule="atLeast"/>
              <w:jc w:val="center"/>
              <w:rPr>
                <w:rFonts w:asciiTheme="minorHAnsi" w:eastAsia="Times New Roman" w:hAnsiTheme="minorHAnsi"/>
                <w:iCs/>
                <w:color w:val="FFFFFF" w:themeColor="background1"/>
                <w:szCs w:val="17"/>
                <w:lang w:eastAsia="en-US"/>
              </w:rPr>
            </w:pPr>
          </w:p>
          <w:p w:rsidR="0089578A" w:rsidRDefault="0089578A" w:rsidP="00834B80">
            <w:pPr>
              <w:keepLines/>
              <w:spacing w:before="40" w:after="40" w:line="200" w:lineRule="atLeast"/>
              <w:jc w:val="center"/>
              <w:rPr>
                <w:rFonts w:asciiTheme="minorHAnsi" w:eastAsia="Times New Roman" w:hAnsiTheme="minorHAnsi"/>
                <w:iCs/>
                <w:color w:val="FFFFFF" w:themeColor="background1"/>
                <w:szCs w:val="17"/>
                <w:lang w:eastAsia="en-US"/>
              </w:rPr>
            </w:pPr>
          </w:p>
          <w:p w:rsidR="0089578A" w:rsidRPr="00880004" w:rsidRDefault="0089578A" w:rsidP="00834B80">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rsidR="00184F1E" w:rsidRPr="0089578A" w:rsidRDefault="00B169FF" w:rsidP="00834B80">
            <w:pPr>
              <w:keepLines/>
              <w:spacing w:before="40" w:after="40" w:line="200" w:lineRule="atLeast"/>
              <w:rPr>
                <w:rFonts w:asciiTheme="minorHAnsi" w:eastAsia="Times New Roman" w:hAnsiTheme="minorHAnsi"/>
                <w:iCs/>
                <w:szCs w:val="17"/>
                <w:lang w:eastAsia="en-US"/>
              </w:rPr>
            </w:pPr>
            <w:r w:rsidRPr="0089578A">
              <w:rPr>
                <w:rFonts w:asciiTheme="minorHAnsi" w:eastAsia="Times New Roman" w:hAnsiTheme="minorHAnsi"/>
                <w:iCs/>
                <w:szCs w:val="17"/>
                <w:lang w:eastAsia="en-US"/>
              </w:rPr>
              <w:t>In 2016-17</w:t>
            </w:r>
            <w:r w:rsidR="00A239A8">
              <w:rPr>
                <w:rFonts w:asciiTheme="minorHAnsi" w:eastAsia="Times New Roman" w:hAnsiTheme="minorHAnsi"/>
                <w:iCs/>
                <w:szCs w:val="17"/>
                <w:lang w:eastAsia="en-US"/>
              </w:rPr>
              <w:t>,</w:t>
            </w:r>
            <w:r w:rsidRPr="0089578A">
              <w:rPr>
                <w:rFonts w:asciiTheme="minorHAnsi" w:eastAsia="Times New Roman" w:hAnsiTheme="minorHAnsi"/>
                <w:iCs/>
                <w:szCs w:val="17"/>
                <w:lang w:eastAsia="en-US"/>
              </w:rPr>
              <w:t xml:space="preserve"> 9</w:t>
            </w:r>
            <w:r w:rsidR="00E96651">
              <w:rPr>
                <w:rFonts w:asciiTheme="minorHAnsi" w:eastAsia="Times New Roman" w:hAnsiTheme="minorHAnsi"/>
                <w:iCs/>
                <w:szCs w:val="17"/>
                <w:lang w:eastAsia="en-US"/>
              </w:rPr>
              <w:t>6</w:t>
            </w:r>
            <w:r w:rsidRPr="0089578A">
              <w:rPr>
                <w:rFonts w:asciiTheme="minorHAnsi" w:eastAsia="Times New Roman" w:hAnsiTheme="minorHAnsi"/>
                <w:iCs/>
                <w:szCs w:val="17"/>
                <w:lang w:eastAsia="en-US"/>
              </w:rPr>
              <w:t xml:space="preserve"> per</w:t>
            </w:r>
            <w:r w:rsidR="00A239A8">
              <w:rPr>
                <w:rFonts w:asciiTheme="minorHAnsi" w:eastAsia="Times New Roman" w:hAnsiTheme="minorHAnsi"/>
                <w:iCs/>
                <w:szCs w:val="17"/>
                <w:lang w:eastAsia="en-US"/>
              </w:rPr>
              <w:t xml:space="preserve"> </w:t>
            </w:r>
            <w:r w:rsidRPr="0089578A">
              <w:rPr>
                <w:rFonts w:asciiTheme="minorHAnsi" w:eastAsia="Times New Roman" w:hAnsiTheme="minorHAnsi"/>
                <w:iCs/>
                <w:szCs w:val="17"/>
                <w:lang w:eastAsia="en-US"/>
              </w:rPr>
              <w:t>cent of Australia Awardees due to finish successfully graduated</w:t>
            </w:r>
            <w:r w:rsidR="00E96651">
              <w:rPr>
                <w:rFonts w:asciiTheme="minorHAnsi" w:eastAsia="Times New Roman" w:hAnsiTheme="minorHAnsi"/>
                <w:iCs/>
                <w:szCs w:val="17"/>
                <w:lang w:eastAsia="en-US"/>
              </w:rPr>
              <w:t xml:space="preserve"> (42 per cent women)</w:t>
            </w:r>
            <w:r w:rsidRPr="0089578A">
              <w:rPr>
                <w:rFonts w:asciiTheme="minorHAnsi" w:eastAsia="Times New Roman" w:hAnsiTheme="minorHAnsi"/>
                <w:iCs/>
                <w:szCs w:val="17"/>
                <w:lang w:eastAsia="en-US"/>
              </w:rPr>
              <w:t>.</w:t>
            </w:r>
          </w:p>
          <w:p w:rsidR="00B169FF" w:rsidRPr="0089578A" w:rsidRDefault="00B169FF" w:rsidP="00834B80">
            <w:pPr>
              <w:keepLines/>
              <w:spacing w:before="40" w:after="40" w:line="200" w:lineRule="atLeast"/>
              <w:rPr>
                <w:rFonts w:asciiTheme="minorHAnsi" w:eastAsia="Times New Roman" w:hAnsiTheme="minorHAnsi"/>
                <w:iCs/>
                <w:szCs w:val="17"/>
                <w:lang w:eastAsia="en-US"/>
              </w:rPr>
            </w:pPr>
          </w:p>
          <w:p w:rsidR="00AF5A3F" w:rsidRPr="0089578A" w:rsidRDefault="00AF5A3F" w:rsidP="00495963">
            <w:pPr>
              <w:keepLines/>
              <w:spacing w:before="40" w:after="40" w:line="200" w:lineRule="atLeast"/>
              <w:rPr>
                <w:rFonts w:asciiTheme="minorHAnsi" w:eastAsia="Times New Roman" w:hAnsiTheme="minorHAnsi"/>
                <w:iCs/>
                <w:szCs w:val="17"/>
                <w:lang w:eastAsia="en-US"/>
              </w:rPr>
            </w:pPr>
          </w:p>
          <w:p w:rsidR="00AF5A3F" w:rsidRPr="0089578A" w:rsidRDefault="00AF5A3F" w:rsidP="00495963">
            <w:pPr>
              <w:keepLines/>
              <w:spacing w:before="40" w:after="40" w:line="200" w:lineRule="atLeast"/>
              <w:rPr>
                <w:rFonts w:asciiTheme="minorHAnsi" w:eastAsia="Times New Roman" w:hAnsiTheme="minorHAnsi"/>
                <w:iCs/>
                <w:szCs w:val="17"/>
                <w:lang w:eastAsia="en-US"/>
              </w:rPr>
            </w:pPr>
          </w:p>
          <w:p w:rsidR="00B169FF" w:rsidRPr="0089578A" w:rsidRDefault="00B169FF" w:rsidP="00E96651">
            <w:pPr>
              <w:keepLines/>
              <w:spacing w:before="40" w:after="40" w:line="200" w:lineRule="atLeast"/>
              <w:rPr>
                <w:rFonts w:asciiTheme="minorHAnsi" w:eastAsia="Times New Roman" w:hAnsiTheme="minorHAnsi"/>
                <w:iCs/>
                <w:szCs w:val="17"/>
                <w:lang w:eastAsia="en-US"/>
              </w:rPr>
            </w:pPr>
            <w:r w:rsidRPr="0089578A">
              <w:rPr>
                <w:rFonts w:asciiTheme="minorHAnsi" w:eastAsia="Times New Roman" w:hAnsiTheme="minorHAnsi"/>
                <w:iCs/>
                <w:szCs w:val="17"/>
                <w:lang w:eastAsia="en-US"/>
              </w:rPr>
              <w:t xml:space="preserve">In 2016-17, </w:t>
            </w:r>
            <w:r w:rsidR="00E96651">
              <w:rPr>
                <w:rFonts w:asciiTheme="minorHAnsi" w:eastAsia="Times New Roman" w:hAnsiTheme="minorHAnsi"/>
                <w:iCs/>
                <w:szCs w:val="17"/>
                <w:lang w:eastAsia="en-US"/>
              </w:rPr>
              <w:t>72 out of 72 students (</w:t>
            </w:r>
            <w:r w:rsidRPr="0089578A">
              <w:rPr>
                <w:rFonts w:asciiTheme="minorHAnsi" w:eastAsia="Times New Roman" w:hAnsiTheme="minorHAnsi"/>
                <w:iCs/>
                <w:szCs w:val="17"/>
                <w:lang w:eastAsia="en-US"/>
              </w:rPr>
              <w:t>100 per</w:t>
            </w:r>
            <w:r w:rsidR="00A239A8">
              <w:rPr>
                <w:rFonts w:asciiTheme="minorHAnsi" w:eastAsia="Times New Roman" w:hAnsiTheme="minorHAnsi"/>
                <w:iCs/>
                <w:szCs w:val="17"/>
                <w:lang w:eastAsia="en-US"/>
              </w:rPr>
              <w:t xml:space="preserve"> </w:t>
            </w:r>
            <w:r w:rsidRPr="0089578A">
              <w:rPr>
                <w:rFonts w:asciiTheme="minorHAnsi" w:eastAsia="Times New Roman" w:hAnsiTheme="minorHAnsi"/>
                <w:iCs/>
                <w:szCs w:val="17"/>
                <w:lang w:eastAsia="en-US"/>
              </w:rPr>
              <w:t xml:space="preserve">cent of </w:t>
            </w:r>
            <w:r w:rsidR="00E96651">
              <w:rPr>
                <w:rFonts w:asciiTheme="minorHAnsi" w:eastAsia="Times New Roman" w:hAnsiTheme="minorHAnsi"/>
                <w:iCs/>
                <w:szCs w:val="17"/>
                <w:lang w:eastAsia="en-US"/>
              </w:rPr>
              <w:t xml:space="preserve">the cohort) </w:t>
            </w:r>
            <w:r w:rsidRPr="0089578A">
              <w:rPr>
                <w:rFonts w:asciiTheme="minorHAnsi" w:eastAsia="Times New Roman" w:hAnsiTheme="minorHAnsi"/>
                <w:iCs/>
                <w:szCs w:val="17"/>
                <w:lang w:eastAsia="en-US"/>
              </w:rPr>
              <w:t xml:space="preserve">due to complete their studies successfully graduated </w:t>
            </w:r>
            <w:r w:rsidR="00E96651">
              <w:rPr>
                <w:rFonts w:asciiTheme="minorHAnsi" w:eastAsia="Times New Roman" w:hAnsiTheme="minorHAnsi"/>
                <w:iCs/>
                <w:szCs w:val="17"/>
                <w:lang w:eastAsia="en-US"/>
              </w:rPr>
              <w:t>(55 per cent women).</w:t>
            </w:r>
          </w:p>
        </w:tc>
      </w:tr>
      <w:tr w:rsidR="00184F1E" w:rsidRPr="00C61187" w:rsidTr="0089578A">
        <w:tc>
          <w:tcPr>
            <w:tcW w:w="780" w:type="pct"/>
            <w:tcMar>
              <w:top w:w="57" w:type="dxa"/>
              <w:bottom w:w="57" w:type="dxa"/>
            </w:tcMar>
          </w:tcPr>
          <w:p w:rsidR="007B3CE4" w:rsidRPr="00880004" w:rsidRDefault="007B3CE4" w:rsidP="00834B80">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3. A stronger trade regime and more competitive private sector</w:t>
            </w:r>
          </w:p>
        </w:tc>
        <w:tc>
          <w:tcPr>
            <w:tcW w:w="899" w:type="pct"/>
          </w:tcPr>
          <w:p w:rsidR="007B3CE4" w:rsidRPr="00880004" w:rsidRDefault="007B3CE4" w:rsidP="00834B80">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An additional 50 business activities approved by the Business Assistance Facility (including at least 30 per cent from women-owned businesses).</w:t>
            </w:r>
          </w:p>
        </w:tc>
        <w:tc>
          <w:tcPr>
            <w:tcW w:w="351" w:type="pct"/>
            <w:shd w:val="clear" w:color="auto" w:fill="92D050"/>
          </w:tcPr>
          <w:p w:rsidR="00184F1E" w:rsidRPr="00880004" w:rsidRDefault="00AF5A3F" w:rsidP="0089578A">
            <w:pPr>
              <w:keepLines/>
              <w:spacing w:before="0" w:after="0" w:line="200" w:lineRule="atLeast"/>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 xml:space="preserve">     </w:t>
            </w:r>
            <w:r w:rsidR="00184F1E" w:rsidRPr="00880004">
              <w:rPr>
                <w:rFonts w:asciiTheme="minorHAnsi" w:eastAsia="Times New Roman" w:hAnsiTheme="minorHAnsi"/>
                <w:iCs/>
                <w:color w:val="FFFFFF" w:themeColor="background1"/>
                <w:szCs w:val="17"/>
                <w:lang w:eastAsia="en-US"/>
              </w:rPr>
              <w:t xml:space="preserve">Achieved </w:t>
            </w:r>
          </w:p>
        </w:tc>
        <w:tc>
          <w:tcPr>
            <w:tcW w:w="2970" w:type="pct"/>
          </w:tcPr>
          <w:p w:rsidR="00184F1E" w:rsidRPr="0089578A" w:rsidRDefault="000A6C9A" w:rsidP="0089578A">
            <w:pPr>
              <w:keepLines/>
              <w:spacing w:before="40" w:after="40" w:line="200" w:lineRule="atLeast"/>
              <w:rPr>
                <w:rFonts w:asciiTheme="minorHAnsi" w:eastAsia="Times New Roman" w:hAnsiTheme="minorHAnsi"/>
                <w:iCs/>
                <w:szCs w:val="17"/>
                <w:lang w:eastAsia="en-US"/>
              </w:rPr>
            </w:pPr>
            <w:r w:rsidRPr="0089578A">
              <w:rPr>
                <w:rFonts w:asciiTheme="minorHAnsi" w:eastAsia="Times New Roman" w:hAnsiTheme="minorHAnsi"/>
                <w:iCs/>
                <w:szCs w:val="17"/>
                <w:lang w:eastAsia="en-US"/>
              </w:rPr>
              <w:t xml:space="preserve">56 firms received grants in calendar year 2016, of which 34 per cent were female-owned.  The final evaluation showed that BAF-assisted firms achieved average growth rates 21 per cent higher than companies that did not benefit from this assistance.  </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BE1BEB" w:rsidRDefault="00BE1BEB" w:rsidP="00184F1E">
      <w:pPr>
        <w:rPr>
          <w:rFonts w:ascii="Franklin Gothic Book" w:eastAsia="Times New Roman" w:hAnsi="Franklin Gothic Book"/>
          <w:b/>
          <w:sz w:val="24"/>
          <w:szCs w:val="24"/>
        </w:rPr>
      </w:pPr>
    </w:p>
    <w:p w:rsidR="00D17802" w:rsidRDefault="00D17802" w:rsidP="00184F1E">
      <w:pPr>
        <w:rPr>
          <w:rFonts w:ascii="Franklin Gothic Book" w:eastAsia="Times New Roman" w:hAnsi="Franklin Gothic Book"/>
          <w:b/>
          <w:sz w:val="24"/>
          <w:szCs w:val="24"/>
        </w:rPr>
      </w:pPr>
    </w:p>
    <w:p w:rsidR="00D17802" w:rsidRDefault="00D17802" w:rsidP="00184F1E">
      <w:pPr>
        <w:rPr>
          <w:rFonts w:ascii="Franklin Gothic Book" w:eastAsia="Times New Roman" w:hAnsi="Franklin Gothic Book"/>
          <w:b/>
          <w:sz w:val="24"/>
          <w:szCs w:val="24"/>
        </w:rPr>
      </w:pPr>
    </w:p>
    <w:p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4794" w:type="pct"/>
        <w:tblLook w:val="04A0" w:firstRow="1" w:lastRow="0" w:firstColumn="1" w:lastColumn="0" w:noHBand="0" w:noVBand="1"/>
      </w:tblPr>
      <w:tblGrid>
        <w:gridCol w:w="1781"/>
        <w:gridCol w:w="4190"/>
        <w:gridCol w:w="2514"/>
        <w:gridCol w:w="59"/>
        <w:gridCol w:w="2452"/>
        <w:gridCol w:w="57"/>
        <w:gridCol w:w="2347"/>
        <w:gridCol w:w="57"/>
      </w:tblGrid>
      <w:tr w:rsidR="00233F8C" w:rsidTr="00000614">
        <w:trPr>
          <w:gridAfter w:val="1"/>
          <w:wAfter w:w="21" w:type="pct"/>
          <w:trHeight w:val="245"/>
        </w:trPr>
        <w:tc>
          <w:tcPr>
            <w:tcW w:w="662" w:type="pct"/>
            <w:tcBorders>
              <w:top w:val="single" w:sz="12" w:space="0" w:color="auto"/>
              <w:left w:val="nil"/>
              <w:bottom w:val="nil"/>
              <w:right w:val="nil"/>
            </w:tcBorders>
          </w:tcPr>
          <w:p w:rsidR="00184F1E" w:rsidRPr="00BE6C6D" w:rsidRDefault="00184F1E" w:rsidP="00834B80">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57" w:type="pct"/>
            <w:tcBorders>
              <w:top w:val="single" w:sz="12" w:space="0" w:color="auto"/>
              <w:left w:val="nil"/>
              <w:bottom w:val="nil"/>
              <w:right w:val="nil"/>
            </w:tcBorders>
          </w:tcPr>
          <w:p w:rsidR="00184F1E" w:rsidRPr="00BE6C6D" w:rsidRDefault="00184F1E" w:rsidP="00834B80">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934" w:type="pct"/>
            <w:tcBorders>
              <w:top w:val="single" w:sz="12" w:space="0" w:color="auto"/>
              <w:left w:val="nil"/>
              <w:bottom w:val="nil"/>
              <w:right w:val="nil"/>
            </w:tcBorders>
            <w:hideMark/>
          </w:tcPr>
          <w:p w:rsidR="00184F1E" w:rsidRPr="00BE6C6D" w:rsidRDefault="00184F1E" w:rsidP="00834B80">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933" w:type="pct"/>
            <w:gridSpan w:val="2"/>
            <w:tcBorders>
              <w:top w:val="single" w:sz="12" w:space="0" w:color="auto"/>
              <w:left w:val="nil"/>
              <w:bottom w:val="nil"/>
              <w:right w:val="nil"/>
            </w:tcBorders>
            <w:hideMark/>
          </w:tcPr>
          <w:p w:rsidR="00184F1E" w:rsidRPr="00BE6C6D" w:rsidRDefault="00184F1E" w:rsidP="00834B80">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893" w:type="pct"/>
            <w:gridSpan w:val="2"/>
            <w:tcBorders>
              <w:top w:val="single" w:sz="12" w:space="0" w:color="auto"/>
              <w:left w:val="nil"/>
              <w:bottom w:val="nil"/>
              <w:right w:val="nil"/>
            </w:tcBorders>
            <w:hideMark/>
          </w:tcPr>
          <w:p w:rsidR="00184F1E" w:rsidRPr="00BE6C6D" w:rsidRDefault="00184F1E" w:rsidP="00834B80">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184F1E" w:rsidTr="00000614">
        <w:trPr>
          <w:gridAfter w:val="3"/>
          <w:wAfter w:w="914" w:type="pct"/>
          <w:trHeight w:val="174"/>
        </w:trPr>
        <w:tc>
          <w:tcPr>
            <w:tcW w:w="662" w:type="pct"/>
            <w:tcBorders>
              <w:top w:val="nil"/>
              <w:left w:val="nil"/>
              <w:bottom w:val="nil"/>
              <w:right w:val="nil"/>
            </w:tcBorders>
            <w:hideMark/>
          </w:tcPr>
          <w:p w:rsidR="00184F1E" w:rsidRPr="00BE6C6D" w:rsidRDefault="00184F1E" w:rsidP="00834B80">
            <w:pPr>
              <w:pStyle w:val="NormalIndented"/>
              <w:rPr>
                <w:rFonts w:asciiTheme="minorHAnsi" w:hAnsiTheme="minorHAnsi"/>
                <w:i/>
                <w:color w:val="808080" w:themeColor="background1" w:themeShade="80"/>
                <w:sz w:val="18"/>
              </w:rPr>
            </w:pPr>
          </w:p>
        </w:tc>
        <w:tc>
          <w:tcPr>
            <w:tcW w:w="3424" w:type="pct"/>
            <w:gridSpan w:val="4"/>
            <w:tcBorders>
              <w:top w:val="nil"/>
              <w:left w:val="nil"/>
              <w:bottom w:val="nil"/>
            </w:tcBorders>
            <w:hideMark/>
          </w:tcPr>
          <w:p w:rsidR="00184F1E" w:rsidRPr="00BE6C6D" w:rsidRDefault="00184F1E" w:rsidP="00834B80">
            <w:pPr>
              <w:pStyle w:val="NormalIndented"/>
              <w:rPr>
                <w:i/>
                <w:color w:val="808080" w:themeColor="background1" w:themeShade="80"/>
              </w:rPr>
            </w:pPr>
          </w:p>
        </w:tc>
      </w:tr>
      <w:tr w:rsidR="00233F8C" w:rsidTr="00233F8C">
        <w:trPr>
          <w:gridAfter w:val="1"/>
          <w:wAfter w:w="21" w:type="pct"/>
          <w:trHeight w:val="417"/>
        </w:trPr>
        <w:tc>
          <w:tcPr>
            <w:tcW w:w="2219" w:type="pct"/>
            <w:gridSpan w:val="2"/>
            <w:tcBorders>
              <w:top w:val="nil"/>
              <w:left w:val="nil"/>
              <w:bottom w:val="nil"/>
              <w:right w:val="nil"/>
            </w:tcBorders>
          </w:tcPr>
          <w:p w:rsidR="00132EAB" w:rsidRPr="00BE6C6D" w:rsidRDefault="00132EAB" w:rsidP="00834B80">
            <w:pPr>
              <w:pStyle w:val="NormalIndented"/>
              <w:rPr>
                <w:rFonts w:asciiTheme="minorHAnsi" w:hAnsiTheme="minorHAnsi"/>
                <w:i/>
                <w:color w:val="808080" w:themeColor="background1" w:themeShade="80"/>
                <w:szCs w:val="20"/>
                <w:lang w:eastAsia="en-US"/>
              </w:rPr>
            </w:pPr>
            <w:r w:rsidRPr="005A74B2">
              <w:rPr>
                <w:rFonts w:ascii="Calibri Light" w:hAnsi="Calibri Light"/>
                <w:b/>
                <w:color w:val="000000" w:themeColor="text1"/>
                <w:szCs w:val="17"/>
              </w:rPr>
              <w:t>1. More disadvantaged girls and boys complete a quality basic education</w:t>
            </w:r>
          </w:p>
        </w:tc>
        <w:tc>
          <w:tcPr>
            <w:tcW w:w="934" w:type="pct"/>
            <w:tcBorders>
              <w:top w:val="nil"/>
              <w:left w:val="nil"/>
              <w:bottom w:val="nil"/>
              <w:right w:val="nil"/>
            </w:tcBorders>
            <w:hideMark/>
          </w:tcPr>
          <w:p w:rsidR="00132EAB" w:rsidRPr="00BE6C6D" w:rsidRDefault="00132EAB" w:rsidP="00834B80">
            <w:pPr>
              <w:pStyle w:val="NormalIndented"/>
              <w:ind w:left="33"/>
              <w:jc w:val="center"/>
              <w:rPr>
                <w:rFonts w:asciiTheme="minorHAnsi" w:hAnsiTheme="minorHAnsi"/>
                <w:i/>
                <w:color w:val="808080" w:themeColor="background1" w:themeShade="80"/>
                <w:szCs w:val="20"/>
                <w:lang w:eastAsia="en-US"/>
              </w:rPr>
            </w:pPr>
          </w:p>
        </w:tc>
        <w:tc>
          <w:tcPr>
            <w:tcW w:w="933" w:type="pct"/>
            <w:gridSpan w:val="2"/>
            <w:tcBorders>
              <w:top w:val="nil"/>
              <w:left w:val="nil"/>
              <w:bottom w:val="nil"/>
              <w:right w:val="nil"/>
            </w:tcBorders>
            <w:hideMark/>
          </w:tcPr>
          <w:p w:rsidR="00132EAB" w:rsidRPr="00BE6C6D" w:rsidRDefault="00132EAB" w:rsidP="00834B80">
            <w:pPr>
              <w:pStyle w:val="NormalIndented"/>
              <w:jc w:val="center"/>
              <w:rPr>
                <w:rFonts w:asciiTheme="minorHAnsi" w:hAnsiTheme="minorHAnsi"/>
                <w:i/>
                <w:color w:val="808080" w:themeColor="background1" w:themeShade="80"/>
                <w:szCs w:val="20"/>
                <w:lang w:eastAsia="en-US"/>
              </w:rPr>
            </w:pPr>
          </w:p>
        </w:tc>
        <w:tc>
          <w:tcPr>
            <w:tcW w:w="893" w:type="pct"/>
            <w:gridSpan w:val="2"/>
            <w:tcBorders>
              <w:top w:val="nil"/>
              <w:left w:val="nil"/>
              <w:bottom w:val="nil"/>
              <w:right w:val="nil"/>
            </w:tcBorders>
            <w:hideMark/>
          </w:tcPr>
          <w:p w:rsidR="00132EAB" w:rsidRPr="00BE6C6D" w:rsidRDefault="00132EAB" w:rsidP="00834B80">
            <w:pPr>
              <w:pStyle w:val="NormalIndented"/>
              <w:ind w:left="0"/>
              <w:jc w:val="center"/>
              <w:rPr>
                <w:rFonts w:asciiTheme="minorHAnsi" w:hAnsiTheme="minorHAnsi"/>
                <w:i/>
                <w:color w:val="808080" w:themeColor="background1" w:themeShade="80"/>
                <w:szCs w:val="20"/>
                <w:lang w:eastAsia="en-US"/>
              </w:rPr>
            </w:pPr>
          </w:p>
        </w:tc>
      </w:tr>
      <w:tr w:rsidR="00233F8C" w:rsidTr="00000614">
        <w:trPr>
          <w:gridAfter w:val="1"/>
          <w:wAfter w:w="21" w:type="pct"/>
          <w:trHeight w:val="455"/>
        </w:trPr>
        <w:tc>
          <w:tcPr>
            <w:tcW w:w="662" w:type="pct"/>
            <w:tcBorders>
              <w:top w:val="nil"/>
              <w:left w:val="nil"/>
              <w:bottom w:val="nil"/>
              <w:right w:val="nil"/>
            </w:tcBorders>
          </w:tcPr>
          <w:p w:rsidR="00233F8C" w:rsidRPr="00BE6C6D" w:rsidRDefault="00233F8C" w:rsidP="00166A79">
            <w:pPr>
              <w:pStyle w:val="NormalIndented"/>
              <w:rPr>
                <w:rFonts w:asciiTheme="minorHAnsi" w:hAnsiTheme="minorHAnsi"/>
                <w:i/>
                <w:color w:val="808080" w:themeColor="background1" w:themeShade="80"/>
                <w:sz w:val="18"/>
              </w:rPr>
            </w:pPr>
          </w:p>
        </w:tc>
        <w:tc>
          <w:tcPr>
            <w:tcW w:w="1557" w:type="pct"/>
            <w:tcBorders>
              <w:top w:val="nil"/>
              <w:left w:val="nil"/>
              <w:bottom w:val="nil"/>
              <w:right w:val="nil"/>
            </w:tcBorders>
          </w:tcPr>
          <w:p w:rsidR="00132EAB" w:rsidRPr="003F75C1" w:rsidRDefault="00166A79" w:rsidP="00233F8C">
            <w:pPr>
              <w:pStyle w:val="NormalIndented"/>
              <w:rPr>
                <w:rFonts w:asciiTheme="minorHAnsi" w:hAnsiTheme="minorHAnsi"/>
                <w:i/>
                <w:color w:val="auto"/>
                <w:szCs w:val="20"/>
                <w:lang w:eastAsia="en-US"/>
              </w:rPr>
            </w:pPr>
            <w:r w:rsidRPr="003F75C1">
              <w:rPr>
                <w:rFonts w:ascii="Calibri Light" w:hAnsi="Calibri Light"/>
                <w:color w:val="auto"/>
                <w:szCs w:val="17"/>
              </w:rPr>
              <w:t>Number of ethnic teacher (including per cent female) trainee scholarship holders supported with improved teaching capabilities</w:t>
            </w:r>
          </w:p>
        </w:tc>
        <w:tc>
          <w:tcPr>
            <w:tcW w:w="934" w:type="pct"/>
            <w:tcBorders>
              <w:top w:val="nil"/>
              <w:left w:val="nil"/>
              <w:bottom w:val="nil"/>
              <w:right w:val="nil"/>
            </w:tcBorders>
          </w:tcPr>
          <w:p w:rsidR="00132EAB" w:rsidRPr="003F75C1" w:rsidRDefault="00132EAB" w:rsidP="00233F8C">
            <w:pPr>
              <w:pStyle w:val="NormalIndented"/>
              <w:ind w:left="33"/>
              <w:rPr>
                <w:rFonts w:asciiTheme="minorHAnsi" w:hAnsiTheme="minorHAnsi"/>
                <w:i/>
                <w:color w:val="auto"/>
                <w:szCs w:val="20"/>
                <w:lang w:eastAsia="en-US"/>
              </w:rPr>
            </w:pPr>
            <w:r w:rsidRPr="003F75C1">
              <w:rPr>
                <w:rFonts w:ascii="Calibri Light" w:hAnsi="Calibri Light"/>
                <w:color w:val="auto"/>
                <w:szCs w:val="17"/>
              </w:rPr>
              <w:t>381 ethnic students supported to undertake teacher training</w:t>
            </w:r>
          </w:p>
        </w:tc>
        <w:tc>
          <w:tcPr>
            <w:tcW w:w="933" w:type="pct"/>
            <w:gridSpan w:val="2"/>
            <w:tcBorders>
              <w:top w:val="nil"/>
              <w:left w:val="nil"/>
              <w:bottom w:val="nil"/>
              <w:right w:val="nil"/>
            </w:tcBorders>
          </w:tcPr>
          <w:p w:rsidR="00132EAB" w:rsidRPr="003F75C1" w:rsidRDefault="00132EAB" w:rsidP="00B052E9">
            <w:pPr>
              <w:pStyle w:val="NormalIndented"/>
              <w:ind w:left="33"/>
              <w:rPr>
                <w:rFonts w:asciiTheme="minorHAnsi" w:hAnsiTheme="minorHAnsi"/>
                <w:i/>
                <w:color w:val="auto"/>
                <w:szCs w:val="20"/>
                <w:lang w:eastAsia="en-US"/>
              </w:rPr>
            </w:pPr>
            <w:r w:rsidRPr="003F75C1">
              <w:rPr>
                <w:rFonts w:ascii="Calibri Light" w:hAnsi="Calibri Light"/>
                <w:color w:val="auto"/>
                <w:szCs w:val="17"/>
              </w:rPr>
              <w:t xml:space="preserve">217 ethnic student trainees graduate </w:t>
            </w:r>
          </w:p>
        </w:tc>
        <w:tc>
          <w:tcPr>
            <w:tcW w:w="893" w:type="pct"/>
            <w:gridSpan w:val="2"/>
            <w:tcBorders>
              <w:top w:val="nil"/>
              <w:left w:val="nil"/>
              <w:bottom w:val="nil"/>
              <w:right w:val="nil"/>
            </w:tcBorders>
          </w:tcPr>
          <w:p w:rsidR="00132EAB" w:rsidRPr="003F75C1" w:rsidRDefault="00132EAB" w:rsidP="00B052E9">
            <w:pPr>
              <w:pStyle w:val="NormalIndented"/>
              <w:ind w:left="0"/>
              <w:rPr>
                <w:rFonts w:asciiTheme="minorHAnsi" w:hAnsiTheme="minorHAnsi"/>
                <w:i/>
                <w:color w:val="auto"/>
                <w:szCs w:val="20"/>
                <w:lang w:eastAsia="en-US"/>
              </w:rPr>
            </w:pPr>
            <w:r w:rsidRPr="003F75C1">
              <w:rPr>
                <w:rFonts w:ascii="Calibri Light" w:hAnsi="Calibri Light"/>
                <w:color w:val="auto"/>
                <w:szCs w:val="17"/>
              </w:rPr>
              <w:t>1</w:t>
            </w:r>
            <w:r w:rsidR="003764EE" w:rsidRPr="003F75C1">
              <w:rPr>
                <w:rFonts w:ascii="Calibri Light" w:hAnsi="Calibri Light"/>
                <w:color w:val="auto"/>
                <w:szCs w:val="17"/>
              </w:rPr>
              <w:t>50</w:t>
            </w:r>
            <w:r w:rsidRPr="003F75C1">
              <w:rPr>
                <w:rFonts w:ascii="Calibri Light" w:hAnsi="Calibri Light"/>
                <w:color w:val="auto"/>
                <w:szCs w:val="17"/>
              </w:rPr>
              <w:t xml:space="preserve"> ethnic student trainees graduate </w:t>
            </w:r>
          </w:p>
        </w:tc>
      </w:tr>
      <w:tr w:rsidR="00233F8C" w:rsidTr="00000614">
        <w:trPr>
          <w:gridAfter w:val="1"/>
          <w:wAfter w:w="21" w:type="pct"/>
          <w:trHeight w:val="455"/>
        </w:trPr>
        <w:tc>
          <w:tcPr>
            <w:tcW w:w="662" w:type="pct"/>
            <w:tcBorders>
              <w:top w:val="nil"/>
              <w:left w:val="nil"/>
              <w:bottom w:val="nil"/>
              <w:right w:val="nil"/>
            </w:tcBorders>
          </w:tcPr>
          <w:p w:rsidR="00233F8C" w:rsidRPr="00457824" w:rsidRDefault="00233F8C" w:rsidP="00233F8C">
            <w:pPr>
              <w:pStyle w:val="NormalIndented"/>
              <w:rPr>
                <w:rFonts w:ascii="Calibri Light" w:hAnsi="Calibri Light"/>
                <w:color w:val="000000" w:themeColor="text1"/>
                <w:szCs w:val="17"/>
              </w:rPr>
            </w:pPr>
          </w:p>
        </w:tc>
        <w:tc>
          <w:tcPr>
            <w:tcW w:w="1557" w:type="pct"/>
            <w:tcBorders>
              <w:top w:val="nil"/>
              <w:left w:val="nil"/>
              <w:bottom w:val="nil"/>
              <w:right w:val="nil"/>
            </w:tcBorders>
          </w:tcPr>
          <w:p w:rsidR="00233F8C" w:rsidRPr="003F75C1" w:rsidRDefault="00166A79" w:rsidP="00233F8C">
            <w:pPr>
              <w:pStyle w:val="NormalIndented"/>
              <w:rPr>
                <w:rFonts w:ascii="Calibri Light" w:hAnsi="Calibri Light"/>
                <w:color w:val="auto"/>
                <w:szCs w:val="17"/>
              </w:rPr>
            </w:pPr>
            <w:r w:rsidRPr="003F75C1">
              <w:rPr>
                <w:rFonts w:ascii="Calibri Light" w:hAnsi="Calibri Light"/>
                <w:color w:val="auto"/>
                <w:szCs w:val="17"/>
              </w:rPr>
              <w:t>New primary curriculum piloted and associated textbooks distributed to students</w:t>
            </w:r>
          </w:p>
        </w:tc>
        <w:tc>
          <w:tcPr>
            <w:tcW w:w="934" w:type="pct"/>
            <w:tcBorders>
              <w:top w:val="nil"/>
              <w:left w:val="nil"/>
              <w:bottom w:val="nil"/>
              <w:right w:val="nil"/>
            </w:tcBorders>
          </w:tcPr>
          <w:p w:rsidR="00233F8C" w:rsidRPr="003F75C1" w:rsidRDefault="003764EE" w:rsidP="00000614">
            <w:pPr>
              <w:pStyle w:val="NormalIndented"/>
              <w:ind w:left="33"/>
              <w:rPr>
                <w:rFonts w:ascii="Calibri Light" w:hAnsi="Calibri Light"/>
                <w:color w:val="auto"/>
                <w:szCs w:val="17"/>
              </w:rPr>
            </w:pPr>
            <w:r w:rsidRPr="003F75C1">
              <w:rPr>
                <w:rFonts w:ascii="Calibri Light" w:hAnsi="Calibri Light"/>
                <w:color w:val="auto"/>
                <w:szCs w:val="17"/>
              </w:rPr>
              <w:t>New Grade 2 primary textbooks and teac</w:t>
            </w:r>
            <w:r w:rsidR="003F75C1">
              <w:rPr>
                <w:rFonts w:ascii="Calibri Light" w:hAnsi="Calibri Light"/>
                <w:color w:val="auto"/>
                <w:szCs w:val="17"/>
              </w:rPr>
              <w:t>hers guides written and piloted</w:t>
            </w:r>
          </w:p>
        </w:tc>
        <w:tc>
          <w:tcPr>
            <w:tcW w:w="933" w:type="pct"/>
            <w:gridSpan w:val="2"/>
            <w:tcBorders>
              <w:top w:val="nil"/>
              <w:left w:val="nil"/>
              <w:bottom w:val="nil"/>
              <w:right w:val="nil"/>
            </w:tcBorders>
          </w:tcPr>
          <w:p w:rsidR="003764EE" w:rsidRPr="003F75C1" w:rsidRDefault="003764EE" w:rsidP="003764EE">
            <w:pPr>
              <w:pStyle w:val="NormalIndented"/>
              <w:ind w:left="33"/>
              <w:rPr>
                <w:rFonts w:ascii="Calibri Light" w:hAnsi="Calibri Light"/>
                <w:color w:val="auto"/>
                <w:szCs w:val="17"/>
              </w:rPr>
            </w:pPr>
            <w:r w:rsidRPr="003F75C1">
              <w:rPr>
                <w:rFonts w:ascii="Calibri Light" w:hAnsi="Calibri Light"/>
                <w:color w:val="auto"/>
                <w:szCs w:val="17"/>
              </w:rPr>
              <w:t>New Grade 1 textbooks provided to every school in Laos</w:t>
            </w:r>
          </w:p>
          <w:p w:rsidR="00233F8C" w:rsidRPr="003F75C1" w:rsidRDefault="00233F8C" w:rsidP="00233F8C">
            <w:pPr>
              <w:pStyle w:val="NormalIndented"/>
              <w:ind w:left="33"/>
              <w:rPr>
                <w:rFonts w:ascii="Calibri Light" w:hAnsi="Calibri Light"/>
                <w:color w:val="auto"/>
                <w:szCs w:val="17"/>
              </w:rPr>
            </w:pPr>
          </w:p>
        </w:tc>
        <w:tc>
          <w:tcPr>
            <w:tcW w:w="893" w:type="pct"/>
            <w:gridSpan w:val="2"/>
            <w:tcBorders>
              <w:top w:val="nil"/>
              <w:left w:val="nil"/>
              <w:bottom w:val="nil"/>
              <w:right w:val="nil"/>
            </w:tcBorders>
          </w:tcPr>
          <w:p w:rsidR="00233F8C" w:rsidRPr="003F75C1" w:rsidRDefault="00233F8C" w:rsidP="003764EE">
            <w:pPr>
              <w:pStyle w:val="NormalIndented"/>
              <w:ind w:left="0"/>
              <w:rPr>
                <w:rFonts w:ascii="Calibri Light" w:hAnsi="Calibri Light"/>
                <w:color w:val="auto"/>
                <w:szCs w:val="17"/>
              </w:rPr>
            </w:pPr>
            <w:r w:rsidRPr="003F75C1">
              <w:rPr>
                <w:rFonts w:ascii="Calibri Light" w:hAnsi="Calibri Light"/>
                <w:color w:val="auto"/>
                <w:szCs w:val="17"/>
              </w:rPr>
              <w:t>New</w:t>
            </w:r>
            <w:r w:rsidR="003764EE" w:rsidRPr="003F75C1">
              <w:rPr>
                <w:rFonts w:ascii="Calibri Light" w:hAnsi="Calibri Light"/>
                <w:color w:val="auto"/>
                <w:szCs w:val="17"/>
              </w:rPr>
              <w:t xml:space="preserve"> Grade 2</w:t>
            </w:r>
            <w:r w:rsidRPr="003F75C1">
              <w:rPr>
                <w:rFonts w:ascii="Calibri Light" w:hAnsi="Calibri Light"/>
                <w:color w:val="auto"/>
                <w:szCs w:val="17"/>
              </w:rPr>
              <w:t xml:space="preserve"> textbooks provided to every school in Laos</w:t>
            </w:r>
          </w:p>
        </w:tc>
      </w:tr>
      <w:tr w:rsidR="00233F8C" w:rsidTr="00233F8C">
        <w:trPr>
          <w:trHeight w:val="521"/>
        </w:trPr>
        <w:tc>
          <w:tcPr>
            <w:tcW w:w="3175" w:type="pct"/>
            <w:gridSpan w:val="4"/>
            <w:tcBorders>
              <w:top w:val="nil"/>
              <w:left w:val="nil"/>
              <w:bottom w:val="nil"/>
              <w:right w:val="nil"/>
            </w:tcBorders>
          </w:tcPr>
          <w:p w:rsidR="00233F8C" w:rsidRPr="00457824" w:rsidRDefault="00233F8C" w:rsidP="00233F8C">
            <w:pPr>
              <w:pStyle w:val="NormalIndented"/>
              <w:rPr>
                <w:rFonts w:ascii="Calibri Light" w:hAnsi="Calibri Light"/>
                <w:szCs w:val="17"/>
              </w:rPr>
            </w:pPr>
            <w:r w:rsidRPr="005A74B2">
              <w:rPr>
                <w:rFonts w:ascii="Calibri Light" w:hAnsi="Calibri Light"/>
                <w:b/>
                <w:color w:val="000000" w:themeColor="text1"/>
                <w:szCs w:val="17"/>
              </w:rPr>
              <w:t xml:space="preserve">2. Improving Laos’ human resources through scholarships, training and </w:t>
            </w:r>
            <w:r>
              <w:rPr>
                <w:rFonts w:ascii="Calibri Light" w:hAnsi="Calibri Light"/>
                <w:b/>
                <w:color w:val="000000" w:themeColor="text1"/>
                <w:szCs w:val="17"/>
              </w:rPr>
              <w:t>o</w:t>
            </w:r>
            <w:r w:rsidRPr="005A74B2">
              <w:rPr>
                <w:rFonts w:ascii="Calibri Light" w:hAnsi="Calibri Light"/>
                <w:b/>
                <w:color w:val="000000" w:themeColor="text1"/>
                <w:szCs w:val="17"/>
              </w:rPr>
              <w:t>rganisational capacity building</w:t>
            </w:r>
          </w:p>
        </w:tc>
        <w:tc>
          <w:tcPr>
            <w:tcW w:w="932" w:type="pct"/>
            <w:gridSpan w:val="2"/>
            <w:tcBorders>
              <w:top w:val="nil"/>
              <w:left w:val="nil"/>
              <w:bottom w:val="nil"/>
              <w:right w:val="nil"/>
            </w:tcBorders>
          </w:tcPr>
          <w:p w:rsidR="00233F8C" w:rsidRPr="00457824" w:rsidRDefault="00233F8C" w:rsidP="00233F8C">
            <w:pPr>
              <w:pStyle w:val="NormalIndented"/>
              <w:ind w:left="33"/>
              <w:rPr>
                <w:rFonts w:ascii="Calibri Light" w:hAnsi="Calibri Light"/>
                <w:szCs w:val="17"/>
              </w:rPr>
            </w:pPr>
          </w:p>
        </w:tc>
        <w:tc>
          <w:tcPr>
            <w:tcW w:w="893" w:type="pct"/>
            <w:gridSpan w:val="2"/>
            <w:tcBorders>
              <w:top w:val="nil"/>
              <w:left w:val="nil"/>
              <w:bottom w:val="nil"/>
              <w:right w:val="nil"/>
            </w:tcBorders>
          </w:tcPr>
          <w:p w:rsidR="00233F8C" w:rsidRPr="00457824" w:rsidRDefault="00233F8C" w:rsidP="00233F8C">
            <w:pPr>
              <w:pStyle w:val="NormalIndented"/>
              <w:ind w:left="0"/>
              <w:rPr>
                <w:rFonts w:ascii="Calibri Light" w:hAnsi="Calibri Light"/>
                <w:szCs w:val="17"/>
              </w:rPr>
            </w:pPr>
            <w:r w:rsidRPr="00A11624">
              <w:rPr>
                <w:rFonts w:ascii="Calibri Light" w:hAnsi="Calibri Light"/>
                <w:szCs w:val="17"/>
              </w:rPr>
              <w:t>.</w:t>
            </w:r>
          </w:p>
        </w:tc>
      </w:tr>
      <w:tr w:rsidR="00233F8C" w:rsidTr="00000614">
        <w:trPr>
          <w:gridAfter w:val="1"/>
          <w:wAfter w:w="21" w:type="pct"/>
          <w:trHeight w:val="455"/>
        </w:trPr>
        <w:tc>
          <w:tcPr>
            <w:tcW w:w="662" w:type="pct"/>
            <w:tcBorders>
              <w:top w:val="nil"/>
              <w:left w:val="nil"/>
              <w:bottom w:val="nil"/>
              <w:right w:val="nil"/>
            </w:tcBorders>
          </w:tcPr>
          <w:p w:rsidR="00233F8C" w:rsidRPr="00BE46B0" w:rsidRDefault="00233F8C" w:rsidP="003F75C1">
            <w:pPr>
              <w:pStyle w:val="NormalIndented"/>
              <w:rPr>
                <w:rFonts w:ascii="Calibri Light" w:hAnsi="Calibri Light"/>
                <w:color w:val="000000" w:themeColor="text1"/>
                <w:szCs w:val="17"/>
              </w:rPr>
            </w:pPr>
          </w:p>
        </w:tc>
        <w:tc>
          <w:tcPr>
            <w:tcW w:w="1557" w:type="pct"/>
            <w:tcBorders>
              <w:top w:val="nil"/>
              <w:left w:val="nil"/>
              <w:bottom w:val="nil"/>
              <w:right w:val="nil"/>
            </w:tcBorders>
          </w:tcPr>
          <w:p w:rsidR="00F770E5" w:rsidRPr="003F75C1" w:rsidRDefault="00CB2742" w:rsidP="003F75C1">
            <w:pPr>
              <w:pStyle w:val="NormalIndented"/>
              <w:rPr>
                <w:rFonts w:ascii="Calibri Light" w:hAnsi="Calibri Light"/>
                <w:color w:val="auto"/>
                <w:szCs w:val="17"/>
              </w:rPr>
            </w:pPr>
            <w:r w:rsidRPr="003F75C1">
              <w:rPr>
                <w:rFonts w:ascii="Calibri Light" w:hAnsi="Calibri Light"/>
                <w:color w:val="auto"/>
                <w:szCs w:val="17"/>
              </w:rPr>
              <w:t>Per</w:t>
            </w:r>
            <w:r w:rsidR="00F770E5" w:rsidRPr="003F75C1">
              <w:rPr>
                <w:rFonts w:ascii="Calibri Light" w:hAnsi="Calibri Light"/>
                <w:color w:val="auto"/>
                <w:szCs w:val="17"/>
              </w:rPr>
              <w:t xml:space="preserve">centage of </w:t>
            </w:r>
            <w:r w:rsidR="005B5C5A" w:rsidRPr="003F75C1">
              <w:rPr>
                <w:rFonts w:ascii="Calibri Light" w:hAnsi="Calibri Light"/>
                <w:color w:val="auto"/>
                <w:szCs w:val="17"/>
              </w:rPr>
              <w:t xml:space="preserve">Australia Awards alumni </w:t>
            </w:r>
            <w:r w:rsidRPr="003F75C1">
              <w:rPr>
                <w:rFonts w:ascii="Calibri Light" w:hAnsi="Calibri Light"/>
                <w:color w:val="auto"/>
                <w:szCs w:val="17"/>
              </w:rPr>
              <w:t>using their new skills to contribute to development in Laos</w:t>
            </w:r>
          </w:p>
        </w:tc>
        <w:tc>
          <w:tcPr>
            <w:tcW w:w="934" w:type="pct"/>
            <w:tcBorders>
              <w:top w:val="nil"/>
              <w:left w:val="nil"/>
              <w:bottom w:val="nil"/>
              <w:right w:val="nil"/>
            </w:tcBorders>
          </w:tcPr>
          <w:p w:rsidR="00233F8C" w:rsidRPr="003F75C1" w:rsidRDefault="00F770E5" w:rsidP="00F770E5">
            <w:pPr>
              <w:pStyle w:val="NormalIndented"/>
              <w:ind w:left="33"/>
              <w:rPr>
                <w:rFonts w:ascii="Calibri Light" w:hAnsi="Calibri Light"/>
                <w:color w:val="auto"/>
                <w:szCs w:val="17"/>
              </w:rPr>
            </w:pPr>
            <w:r w:rsidRPr="003F75C1">
              <w:rPr>
                <w:rFonts w:ascii="Calibri Light" w:hAnsi="Calibri Light"/>
                <w:color w:val="auto"/>
                <w:szCs w:val="17"/>
              </w:rPr>
              <w:t>90 per cent</w:t>
            </w:r>
          </w:p>
        </w:tc>
        <w:tc>
          <w:tcPr>
            <w:tcW w:w="933" w:type="pct"/>
            <w:gridSpan w:val="2"/>
            <w:tcBorders>
              <w:top w:val="nil"/>
              <w:left w:val="nil"/>
              <w:bottom w:val="nil"/>
              <w:right w:val="nil"/>
            </w:tcBorders>
          </w:tcPr>
          <w:p w:rsidR="00233F8C" w:rsidRPr="003F75C1" w:rsidRDefault="00C1154B" w:rsidP="00F770E5">
            <w:pPr>
              <w:pStyle w:val="NormalIndented"/>
              <w:ind w:left="33"/>
              <w:rPr>
                <w:rFonts w:ascii="Calibri Light" w:hAnsi="Calibri Light"/>
                <w:color w:val="auto"/>
                <w:szCs w:val="17"/>
              </w:rPr>
            </w:pPr>
            <w:r w:rsidRPr="003F75C1">
              <w:rPr>
                <w:rFonts w:ascii="Calibri Light" w:hAnsi="Calibri Light"/>
                <w:color w:val="auto"/>
                <w:szCs w:val="17"/>
              </w:rPr>
              <w:t>90 per cent</w:t>
            </w:r>
          </w:p>
        </w:tc>
        <w:tc>
          <w:tcPr>
            <w:tcW w:w="893" w:type="pct"/>
            <w:gridSpan w:val="2"/>
            <w:tcBorders>
              <w:top w:val="nil"/>
              <w:left w:val="nil"/>
              <w:bottom w:val="nil"/>
              <w:right w:val="nil"/>
            </w:tcBorders>
          </w:tcPr>
          <w:p w:rsidR="00233F8C" w:rsidRPr="003F75C1" w:rsidRDefault="00F770E5" w:rsidP="00F770E5">
            <w:pPr>
              <w:pStyle w:val="NormalIndented"/>
              <w:ind w:left="0"/>
              <w:rPr>
                <w:rFonts w:ascii="Calibri Light" w:hAnsi="Calibri Light"/>
                <w:color w:val="auto"/>
                <w:szCs w:val="17"/>
              </w:rPr>
            </w:pPr>
            <w:r w:rsidRPr="003F75C1">
              <w:rPr>
                <w:rFonts w:ascii="Calibri Light" w:hAnsi="Calibri Light"/>
                <w:color w:val="auto"/>
                <w:szCs w:val="17"/>
              </w:rPr>
              <w:t>90 per cent</w:t>
            </w:r>
          </w:p>
        </w:tc>
      </w:tr>
      <w:tr w:rsidR="00233F8C" w:rsidTr="00000614">
        <w:trPr>
          <w:gridAfter w:val="1"/>
          <w:wAfter w:w="21" w:type="pct"/>
          <w:trHeight w:val="455"/>
        </w:trPr>
        <w:tc>
          <w:tcPr>
            <w:tcW w:w="662" w:type="pct"/>
            <w:tcBorders>
              <w:top w:val="nil"/>
              <w:left w:val="nil"/>
              <w:bottom w:val="nil"/>
              <w:right w:val="nil"/>
            </w:tcBorders>
          </w:tcPr>
          <w:p w:rsidR="00233F8C" w:rsidRPr="00BE46B0" w:rsidRDefault="00233F8C" w:rsidP="00233F8C">
            <w:pPr>
              <w:pStyle w:val="NormalIndented"/>
              <w:rPr>
                <w:rFonts w:ascii="Calibri Light" w:hAnsi="Calibri Light"/>
                <w:color w:val="000000" w:themeColor="text1"/>
                <w:szCs w:val="17"/>
              </w:rPr>
            </w:pPr>
          </w:p>
        </w:tc>
        <w:tc>
          <w:tcPr>
            <w:tcW w:w="1557" w:type="pct"/>
            <w:tcBorders>
              <w:top w:val="nil"/>
              <w:left w:val="nil"/>
              <w:bottom w:val="nil"/>
              <w:right w:val="nil"/>
            </w:tcBorders>
          </w:tcPr>
          <w:p w:rsidR="0013180C" w:rsidRPr="00000614" w:rsidRDefault="00CB2742" w:rsidP="00000614">
            <w:pPr>
              <w:pStyle w:val="NormalIndented"/>
              <w:rPr>
                <w:rFonts w:ascii="Calibri Light" w:hAnsi="Calibri Light"/>
                <w:color w:val="auto"/>
                <w:spacing w:val="-4"/>
                <w:szCs w:val="17"/>
              </w:rPr>
            </w:pPr>
            <w:r w:rsidRPr="00000614">
              <w:rPr>
                <w:rFonts w:ascii="Calibri Light" w:hAnsi="Calibri Light"/>
                <w:color w:val="auto"/>
                <w:spacing w:val="-4"/>
                <w:szCs w:val="17"/>
              </w:rPr>
              <w:t>P</w:t>
            </w:r>
            <w:r w:rsidR="00F770E5" w:rsidRPr="00000614">
              <w:rPr>
                <w:rFonts w:ascii="Calibri Light" w:hAnsi="Calibri Light"/>
                <w:color w:val="auto"/>
                <w:spacing w:val="-4"/>
                <w:szCs w:val="17"/>
              </w:rPr>
              <w:t xml:space="preserve">ercentage of Australia Awards alumni </w:t>
            </w:r>
            <w:r w:rsidRPr="00000614">
              <w:rPr>
                <w:rFonts w:ascii="Calibri Light" w:hAnsi="Calibri Light"/>
                <w:color w:val="auto"/>
                <w:spacing w:val="-4"/>
                <w:szCs w:val="17"/>
              </w:rPr>
              <w:t>contributing</w:t>
            </w:r>
            <w:r w:rsidR="00F770E5" w:rsidRPr="00000614">
              <w:rPr>
                <w:rFonts w:ascii="Calibri Light" w:hAnsi="Calibri Light"/>
                <w:color w:val="auto"/>
                <w:spacing w:val="-4"/>
                <w:szCs w:val="17"/>
              </w:rPr>
              <w:t xml:space="preserve"> to targeted areas of cooperation between Australia and Laos</w:t>
            </w:r>
          </w:p>
        </w:tc>
        <w:tc>
          <w:tcPr>
            <w:tcW w:w="934" w:type="pct"/>
            <w:tcBorders>
              <w:top w:val="nil"/>
              <w:left w:val="nil"/>
              <w:bottom w:val="nil"/>
              <w:right w:val="nil"/>
            </w:tcBorders>
          </w:tcPr>
          <w:p w:rsidR="00233F8C" w:rsidRPr="003F75C1" w:rsidRDefault="00F770E5" w:rsidP="00233F8C">
            <w:pPr>
              <w:pStyle w:val="NormalIndented"/>
              <w:ind w:left="33"/>
              <w:rPr>
                <w:rFonts w:ascii="Calibri Light" w:hAnsi="Calibri Light"/>
                <w:color w:val="auto"/>
                <w:szCs w:val="17"/>
              </w:rPr>
            </w:pPr>
            <w:r w:rsidRPr="003F75C1">
              <w:rPr>
                <w:rFonts w:ascii="Calibri Light" w:hAnsi="Calibri Light"/>
                <w:color w:val="auto"/>
                <w:szCs w:val="17"/>
              </w:rPr>
              <w:t xml:space="preserve">10 per cent </w:t>
            </w:r>
          </w:p>
        </w:tc>
        <w:tc>
          <w:tcPr>
            <w:tcW w:w="933" w:type="pct"/>
            <w:gridSpan w:val="2"/>
            <w:tcBorders>
              <w:top w:val="nil"/>
              <w:left w:val="nil"/>
              <w:bottom w:val="nil"/>
              <w:right w:val="nil"/>
            </w:tcBorders>
          </w:tcPr>
          <w:p w:rsidR="00233F8C" w:rsidRPr="003F75C1" w:rsidRDefault="00F770E5" w:rsidP="00F770E5">
            <w:pPr>
              <w:pStyle w:val="NormalIndented"/>
              <w:ind w:left="33"/>
              <w:rPr>
                <w:rFonts w:ascii="Calibri Light" w:hAnsi="Calibri Light"/>
                <w:color w:val="auto"/>
                <w:szCs w:val="17"/>
              </w:rPr>
            </w:pPr>
            <w:r w:rsidRPr="003F75C1">
              <w:rPr>
                <w:rFonts w:ascii="Calibri Light" w:hAnsi="Calibri Light"/>
                <w:color w:val="auto"/>
                <w:szCs w:val="17"/>
              </w:rPr>
              <w:t xml:space="preserve">15 per cent </w:t>
            </w:r>
          </w:p>
        </w:tc>
        <w:tc>
          <w:tcPr>
            <w:tcW w:w="893" w:type="pct"/>
            <w:gridSpan w:val="2"/>
            <w:tcBorders>
              <w:top w:val="nil"/>
              <w:left w:val="nil"/>
              <w:bottom w:val="nil"/>
              <w:right w:val="nil"/>
            </w:tcBorders>
          </w:tcPr>
          <w:p w:rsidR="00233F8C" w:rsidRPr="003F75C1" w:rsidRDefault="00F770E5" w:rsidP="00233F8C">
            <w:pPr>
              <w:pStyle w:val="NormalIndented"/>
              <w:ind w:left="0"/>
              <w:rPr>
                <w:rFonts w:ascii="Calibri Light" w:hAnsi="Calibri Light"/>
                <w:color w:val="auto"/>
                <w:szCs w:val="17"/>
              </w:rPr>
            </w:pPr>
            <w:r w:rsidRPr="003F75C1">
              <w:rPr>
                <w:rFonts w:ascii="Calibri Light" w:hAnsi="Calibri Light"/>
                <w:color w:val="auto"/>
                <w:szCs w:val="17"/>
              </w:rPr>
              <w:t>20 per cent</w:t>
            </w:r>
          </w:p>
        </w:tc>
      </w:tr>
    </w:tbl>
    <w:p w:rsidR="00EF0D70" w:rsidRDefault="00EF0D70">
      <w:r>
        <w:br w:type="page"/>
      </w:r>
    </w:p>
    <w:tbl>
      <w:tblPr>
        <w:tblStyle w:val="DFATTable"/>
        <w:tblW w:w="4774" w:type="pct"/>
        <w:tblLook w:val="04A0" w:firstRow="1" w:lastRow="0" w:firstColumn="1" w:lastColumn="0" w:noHBand="0" w:noVBand="1"/>
      </w:tblPr>
      <w:tblGrid>
        <w:gridCol w:w="1783"/>
        <w:gridCol w:w="4189"/>
        <w:gridCol w:w="2514"/>
        <w:gridCol w:w="2511"/>
        <w:gridCol w:w="2404"/>
      </w:tblGrid>
      <w:tr w:rsidR="00233F8C" w:rsidTr="00EF0D70">
        <w:trPr>
          <w:trHeight w:val="455"/>
        </w:trPr>
        <w:tc>
          <w:tcPr>
            <w:tcW w:w="4103" w:type="pct"/>
            <w:gridSpan w:val="4"/>
            <w:tcBorders>
              <w:top w:val="nil"/>
              <w:left w:val="nil"/>
              <w:bottom w:val="nil"/>
              <w:right w:val="nil"/>
            </w:tcBorders>
          </w:tcPr>
          <w:p w:rsidR="00233F8C" w:rsidRPr="00FF2F50" w:rsidRDefault="00233F8C" w:rsidP="00253D1A">
            <w:pPr>
              <w:pStyle w:val="NormalIndented"/>
              <w:rPr>
                <w:rFonts w:ascii="Calibri Light" w:hAnsi="Calibri Light"/>
                <w:szCs w:val="17"/>
              </w:rPr>
            </w:pPr>
            <w:r w:rsidRPr="005A74B2">
              <w:rPr>
                <w:rFonts w:ascii="Calibri Light" w:hAnsi="Calibri Light"/>
                <w:b/>
                <w:color w:val="000000" w:themeColor="text1"/>
                <w:szCs w:val="17"/>
              </w:rPr>
              <w:lastRenderedPageBreak/>
              <w:t>3. A stronger trade regime and more competitive private sector</w:t>
            </w:r>
          </w:p>
        </w:tc>
        <w:tc>
          <w:tcPr>
            <w:tcW w:w="897" w:type="pct"/>
            <w:tcBorders>
              <w:top w:val="nil"/>
              <w:left w:val="nil"/>
              <w:bottom w:val="nil"/>
              <w:right w:val="nil"/>
            </w:tcBorders>
          </w:tcPr>
          <w:p w:rsidR="00233F8C" w:rsidRPr="00FF2F50" w:rsidRDefault="00233F8C" w:rsidP="00233F8C">
            <w:pPr>
              <w:pStyle w:val="NormalIndented"/>
              <w:ind w:left="0"/>
              <w:rPr>
                <w:rFonts w:ascii="Calibri Light" w:hAnsi="Calibri Light"/>
                <w:szCs w:val="17"/>
              </w:rPr>
            </w:pPr>
          </w:p>
        </w:tc>
      </w:tr>
      <w:tr w:rsidR="00233F8C" w:rsidTr="00EF0D70">
        <w:trPr>
          <w:trHeight w:val="3475"/>
        </w:trPr>
        <w:tc>
          <w:tcPr>
            <w:tcW w:w="665" w:type="pct"/>
            <w:tcBorders>
              <w:top w:val="nil"/>
              <w:left w:val="nil"/>
              <w:bottom w:val="single" w:sz="4" w:space="0" w:color="auto"/>
              <w:right w:val="nil"/>
            </w:tcBorders>
          </w:tcPr>
          <w:p w:rsidR="000A6C9A" w:rsidRPr="00973568" w:rsidRDefault="000A6C9A" w:rsidP="00233F8C">
            <w:pPr>
              <w:pStyle w:val="NormalIndented"/>
              <w:rPr>
                <w:rFonts w:ascii="Calibri Light" w:hAnsi="Calibri Light"/>
                <w:szCs w:val="17"/>
              </w:rPr>
            </w:pPr>
          </w:p>
          <w:p w:rsidR="00476A91" w:rsidRPr="00973568" w:rsidRDefault="00476A91" w:rsidP="00233F8C">
            <w:pPr>
              <w:pStyle w:val="NormalIndented"/>
              <w:rPr>
                <w:rFonts w:ascii="Calibri Light" w:hAnsi="Calibri Light"/>
                <w:szCs w:val="17"/>
              </w:rPr>
            </w:pPr>
          </w:p>
          <w:p w:rsidR="00476A91" w:rsidRPr="00973568" w:rsidRDefault="00476A91" w:rsidP="00233F8C">
            <w:pPr>
              <w:pStyle w:val="NormalIndented"/>
              <w:rPr>
                <w:rFonts w:ascii="Calibri Light" w:hAnsi="Calibri Light"/>
                <w:szCs w:val="17"/>
              </w:rPr>
            </w:pPr>
          </w:p>
        </w:tc>
        <w:tc>
          <w:tcPr>
            <w:tcW w:w="1563" w:type="pct"/>
            <w:tcBorders>
              <w:top w:val="nil"/>
              <w:left w:val="nil"/>
              <w:bottom w:val="single" w:sz="4" w:space="0" w:color="auto"/>
              <w:right w:val="nil"/>
            </w:tcBorders>
          </w:tcPr>
          <w:p w:rsidR="00A9486E" w:rsidRPr="00A9486E" w:rsidRDefault="003F75C1" w:rsidP="003F75C1">
            <w:pPr>
              <w:pStyle w:val="NormalIndented"/>
              <w:rPr>
                <w:rFonts w:ascii="Calibri Light" w:hAnsi="Calibri Light"/>
                <w:color w:val="auto"/>
                <w:szCs w:val="17"/>
              </w:rPr>
            </w:pPr>
            <w:r w:rsidRPr="00A9486E">
              <w:rPr>
                <w:rFonts w:ascii="Calibri Light" w:hAnsi="Calibri Light"/>
                <w:color w:val="auto"/>
                <w:szCs w:val="17"/>
              </w:rPr>
              <w:t>More inclusive business environment through policy dialogue for women-led businesses and SMEs</w:t>
            </w:r>
          </w:p>
          <w:p w:rsidR="00A9486E" w:rsidRPr="00A9486E" w:rsidRDefault="00A9486E" w:rsidP="00A9486E">
            <w:pPr>
              <w:rPr>
                <w:color w:val="auto"/>
              </w:rPr>
            </w:pPr>
          </w:p>
          <w:p w:rsidR="00A22B32" w:rsidRPr="00A22B32" w:rsidRDefault="00A22B32" w:rsidP="00A9486E">
            <w:pPr>
              <w:ind w:left="316"/>
              <w:rPr>
                <w:rFonts w:ascii="Calibri Light" w:hAnsi="Calibri Light"/>
                <w:color w:val="auto"/>
                <w:sz w:val="28"/>
                <w:szCs w:val="28"/>
              </w:rPr>
            </w:pPr>
          </w:p>
          <w:p w:rsidR="00233F8C" w:rsidRPr="00A9486E" w:rsidRDefault="00A9486E" w:rsidP="00A9486E">
            <w:pPr>
              <w:ind w:left="316"/>
              <w:rPr>
                <w:color w:val="auto"/>
              </w:rPr>
            </w:pPr>
            <w:r w:rsidRPr="00A9486E">
              <w:rPr>
                <w:rFonts w:ascii="Calibri Light" w:hAnsi="Calibri Light"/>
                <w:color w:val="auto"/>
                <w:szCs w:val="17"/>
              </w:rPr>
              <w:t>Number of poor women and men with access to financial services</w:t>
            </w:r>
          </w:p>
        </w:tc>
        <w:tc>
          <w:tcPr>
            <w:tcW w:w="938" w:type="pct"/>
            <w:tcBorders>
              <w:top w:val="nil"/>
              <w:left w:val="nil"/>
              <w:bottom w:val="single" w:sz="4" w:space="0" w:color="auto"/>
              <w:right w:val="nil"/>
            </w:tcBorders>
          </w:tcPr>
          <w:p w:rsidR="00A22B32" w:rsidRPr="00A22B32" w:rsidRDefault="00A22B32" w:rsidP="00A22B32">
            <w:pPr>
              <w:pStyle w:val="NormalIndented"/>
              <w:ind w:left="33"/>
              <w:rPr>
                <w:rFonts w:ascii="Calibri Light" w:hAnsi="Calibri Light"/>
                <w:color w:val="auto"/>
                <w:szCs w:val="17"/>
              </w:rPr>
            </w:pPr>
            <w:r w:rsidRPr="00A22B32">
              <w:rPr>
                <w:rFonts w:ascii="Calibri Light" w:hAnsi="Calibri Light"/>
                <w:color w:val="auto"/>
                <w:szCs w:val="17"/>
              </w:rPr>
              <w:t>Lao</w:t>
            </w:r>
            <w:r w:rsidR="00746DE7">
              <w:rPr>
                <w:rFonts w:ascii="Calibri Light" w:hAnsi="Calibri Light"/>
                <w:color w:val="auto"/>
                <w:szCs w:val="17"/>
              </w:rPr>
              <w:t>s</w:t>
            </w:r>
            <w:r w:rsidRPr="00A22B32">
              <w:rPr>
                <w:rFonts w:ascii="Calibri Light" w:hAnsi="Calibri Light"/>
                <w:color w:val="auto"/>
                <w:szCs w:val="17"/>
              </w:rPr>
              <w:t xml:space="preserve"> hosts second Lao Business Forum, </w:t>
            </w:r>
            <w:r w:rsidR="00746DE7">
              <w:rPr>
                <w:rFonts w:ascii="Calibri Light" w:hAnsi="Calibri Light"/>
                <w:color w:val="auto"/>
                <w:szCs w:val="17"/>
              </w:rPr>
              <w:t xml:space="preserve">incorporating comments from prior consultation </w:t>
            </w:r>
            <w:r w:rsidRPr="00A22B32">
              <w:rPr>
                <w:rFonts w:ascii="Calibri Light" w:hAnsi="Calibri Light"/>
                <w:color w:val="auto"/>
                <w:szCs w:val="17"/>
              </w:rPr>
              <w:t>with SMEs and women-led businesses at the Provincial level</w:t>
            </w:r>
          </w:p>
          <w:p w:rsidR="00A22B32" w:rsidRDefault="00A22B32" w:rsidP="00A22B32">
            <w:pPr>
              <w:pStyle w:val="NormalIndented"/>
              <w:ind w:left="33"/>
              <w:rPr>
                <w:rFonts w:ascii="Calibri Light" w:hAnsi="Calibri Light"/>
                <w:color w:val="auto"/>
                <w:szCs w:val="17"/>
              </w:rPr>
            </w:pPr>
          </w:p>
          <w:p w:rsidR="00233F8C" w:rsidRPr="00A9486E" w:rsidRDefault="00EF0D70" w:rsidP="00EF0D70">
            <w:pPr>
              <w:pStyle w:val="NormalIndented"/>
              <w:ind w:left="33"/>
              <w:rPr>
                <w:rFonts w:ascii="Calibri Light" w:hAnsi="Calibri Light"/>
                <w:color w:val="auto"/>
                <w:szCs w:val="17"/>
              </w:rPr>
            </w:pPr>
            <w:r w:rsidRPr="00EF0D70">
              <w:rPr>
                <w:rFonts w:ascii="Calibri Light" w:hAnsi="Calibri Light"/>
                <w:color w:val="auto"/>
                <w:szCs w:val="17"/>
              </w:rPr>
              <w:t>250,000 people provided with financial services following successful launch of a new digital financial services platform, and more than 40 per cent of village bank committee members are women</w:t>
            </w:r>
          </w:p>
        </w:tc>
        <w:tc>
          <w:tcPr>
            <w:tcW w:w="937" w:type="pct"/>
            <w:tcBorders>
              <w:top w:val="nil"/>
              <w:left w:val="nil"/>
              <w:bottom w:val="single" w:sz="4" w:space="0" w:color="auto"/>
              <w:right w:val="nil"/>
            </w:tcBorders>
          </w:tcPr>
          <w:p w:rsidR="00233F8C" w:rsidRPr="00A9486E" w:rsidRDefault="00A22B32" w:rsidP="00233F8C">
            <w:pPr>
              <w:pStyle w:val="NormalIndented"/>
              <w:ind w:left="33"/>
              <w:rPr>
                <w:rFonts w:ascii="Calibri Light" w:hAnsi="Calibri Light"/>
                <w:color w:val="auto"/>
                <w:szCs w:val="17"/>
              </w:rPr>
            </w:pPr>
            <w:r w:rsidRPr="00A22B32">
              <w:rPr>
                <w:rFonts w:ascii="Calibri Light" w:hAnsi="Calibri Light"/>
                <w:color w:val="auto"/>
                <w:szCs w:val="17"/>
              </w:rPr>
              <w:t>Recommendations from first and second Lao Business Forum are actioned, including recommendations from women-led businesses and SMEs</w:t>
            </w:r>
          </w:p>
        </w:tc>
        <w:tc>
          <w:tcPr>
            <w:tcW w:w="897" w:type="pct"/>
            <w:tcBorders>
              <w:top w:val="nil"/>
              <w:left w:val="nil"/>
              <w:bottom w:val="single" w:sz="4" w:space="0" w:color="auto"/>
              <w:right w:val="nil"/>
            </w:tcBorders>
          </w:tcPr>
          <w:tbl>
            <w:tblPr>
              <w:tblStyle w:val="DFATTable"/>
              <w:tblW w:w="4794" w:type="pct"/>
              <w:tblLook w:val="04A0" w:firstRow="1" w:lastRow="0" w:firstColumn="1" w:lastColumn="0" w:noHBand="0" w:noVBand="1"/>
            </w:tblPr>
            <w:tblGrid>
              <w:gridCol w:w="2098"/>
            </w:tblGrid>
            <w:tr w:rsidR="00624346" w:rsidRPr="00973568" w:rsidTr="00476A91">
              <w:trPr>
                <w:trHeight w:val="455"/>
              </w:trPr>
              <w:tc>
                <w:tcPr>
                  <w:tcW w:w="893" w:type="pct"/>
                  <w:tcBorders>
                    <w:top w:val="nil"/>
                    <w:left w:val="nil"/>
                    <w:bottom w:val="nil"/>
                    <w:right w:val="nil"/>
                  </w:tcBorders>
                  <w:hideMark/>
                </w:tcPr>
                <w:p w:rsidR="00476A91" w:rsidRPr="00973568" w:rsidRDefault="00476A91">
                  <w:pPr>
                    <w:pStyle w:val="NormalIndented"/>
                    <w:ind w:left="0"/>
                    <w:rPr>
                      <w:rFonts w:ascii="Calibri Light" w:hAnsi="Calibri Light"/>
                      <w:szCs w:val="17"/>
                    </w:rPr>
                  </w:pPr>
                </w:p>
              </w:tc>
            </w:tr>
            <w:tr w:rsidR="00624346" w:rsidRPr="00973568" w:rsidTr="00476A91">
              <w:trPr>
                <w:trHeight w:val="455"/>
              </w:trPr>
              <w:tc>
                <w:tcPr>
                  <w:tcW w:w="893" w:type="pct"/>
                  <w:tcBorders>
                    <w:top w:val="nil"/>
                    <w:left w:val="nil"/>
                    <w:bottom w:val="nil"/>
                    <w:right w:val="nil"/>
                  </w:tcBorders>
                  <w:hideMark/>
                </w:tcPr>
                <w:p w:rsidR="00476A91" w:rsidRPr="00973568" w:rsidRDefault="00476A91">
                  <w:pPr>
                    <w:pStyle w:val="NormalIndented"/>
                    <w:ind w:left="0"/>
                    <w:rPr>
                      <w:rFonts w:ascii="Calibri Light" w:hAnsi="Calibri Light"/>
                      <w:szCs w:val="17"/>
                    </w:rPr>
                  </w:pPr>
                </w:p>
                <w:p w:rsidR="00476A91" w:rsidRPr="00973568" w:rsidRDefault="00476A91">
                  <w:pPr>
                    <w:pStyle w:val="NormalIndented"/>
                    <w:ind w:left="0"/>
                    <w:rPr>
                      <w:rFonts w:ascii="Calibri Light" w:hAnsi="Calibri Light"/>
                      <w:szCs w:val="17"/>
                    </w:rPr>
                  </w:pPr>
                </w:p>
                <w:p w:rsidR="00476A91" w:rsidRPr="00973568" w:rsidRDefault="00476A91">
                  <w:pPr>
                    <w:pStyle w:val="NormalIndented"/>
                    <w:ind w:left="0"/>
                    <w:rPr>
                      <w:rFonts w:ascii="Calibri Light" w:hAnsi="Calibri Light"/>
                      <w:szCs w:val="17"/>
                    </w:rPr>
                  </w:pPr>
                </w:p>
              </w:tc>
            </w:tr>
          </w:tbl>
          <w:p w:rsidR="00233F8C" w:rsidRPr="00973568" w:rsidRDefault="00233F8C" w:rsidP="00233F8C">
            <w:pPr>
              <w:pStyle w:val="NormalIndented"/>
              <w:ind w:left="0"/>
              <w:rPr>
                <w:rFonts w:ascii="Calibri Light" w:hAnsi="Calibri Light"/>
                <w:szCs w:val="17"/>
              </w:rPr>
            </w:pPr>
          </w:p>
        </w:tc>
      </w:tr>
    </w:tbl>
    <w:p w:rsidR="00184F1E" w:rsidRDefault="00184F1E" w:rsidP="00184F1E">
      <w:pPr>
        <w:spacing w:after="120" w:line="280" w:lineRule="exact"/>
        <w:rPr>
          <w:rFonts w:ascii="Franklin Gothic Book" w:eastAsia="Times New Roman" w:hAnsi="Franklin Gothic Book"/>
          <w:sz w:val="21"/>
        </w:rPr>
      </w:pPr>
    </w:p>
    <w:p w:rsidR="00D17802" w:rsidRDefault="00D17802">
      <w:pPr>
        <w:suppressAutoHyphens w:val="0"/>
        <w:spacing w:before="0" w:after="120" w:line="440" w:lineRule="atLeast"/>
        <w:rPr>
          <w:rFonts w:eastAsiaTheme="majorEastAsia" w:cstheme="majorBidi"/>
          <w:bCs/>
          <w:iCs/>
          <w:caps/>
          <w:spacing w:val="-10"/>
          <w:kern w:val="28"/>
          <w:sz w:val="38"/>
          <w:szCs w:val="24"/>
        </w:rPr>
      </w:pPr>
      <w:r>
        <w:br w:type="page"/>
      </w:r>
    </w:p>
    <w:p w:rsidR="00AF1B85" w:rsidRPr="00A8197B" w:rsidRDefault="00AF1B85" w:rsidP="00BE1BEB">
      <w:pPr>
        <w:pStyle w:val="Subtitle"/>
        <w:numPr>
          <w:ilvl w:val="0"/>
          <w:numId w:val="0"/>
        </w:numPr>
      </w:pPr>
      <w:r w:rsidRPr="00A8197B">
        <w:lastRenderedPageBreak/>
        <w:t xml:space="preserve">Annex </w:t>
      </w:r>
      <w:r w:rsidR="00184F1E">
        <w:t>C</w:t>
      </w:r>
      <w:r w:rsidRPr="00A8197B">
        <w:t xml:space="preserve">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B78C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INK391 Laos Australia Rural Livelihoods Program</w:t>
            </w:r>
          </w:p>
        </w:tc>
        <w:tc>
          <w:tcPr>
            <w:tcW w:w="3665" w:type="dxa"/>
          </w:tcPr>
          <w:p w:rsidR="00AF1B85" w:rsidRPr="00812509" w:rsidRDefault="00AB78C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Evaluation</w:t>
            </w:r>
          </w:p>
        </w:tc>
        <w:tc>
          <w:tcPr>
            <w:tcW w:w="1397" w:type="dxa"/>
          </w:tcPr>
          <w:p w:rsidR="00AF1B85" w:rsidRPr="00812509" w:rsidRDefault="00AB78C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September 2016    </w:t>
            </w:r>
          </w:p>
        </w:tc>
        <w:tc>
          <w:tcPr>
            <w:tcW w:w="1953" w:type="dxa"/>
          </w:tcPr>
          <w:p w:rsidR="00AF1B85" w:rsidRPr="00812509" w:rsidRDefault="00AB78C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19 December 2016</w:t>
            </w:r>
          </w:p>
        </w:tc>
        <w:tc>
          <w:tcPr>
            <w:tcW w:w="1671" w:type="dxa"/>
          </w:tcPr>
          <w:p w:rsidR="00AF1B85" w:rsidRPr="00812509" w:rsidRDefault="00AB78C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19 December 2016</w:t>
            </w:r>
          </w:p>
        </w:tc>
        <w:tc>
          <w:tcPr>
            <w:tcW w:w="2365" w:type="dxa"/>
          </w:tcPr>
          <w:p w:rsidR="00EA59EC" w:rsidRPr="00812509" w:rsidRDefault="00AB78C1" w:rsidP="003E305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19 December 2016</w:t>
            </w:r>
          </w:p>
        </w:tc>
      </w:tr>
      <w:tr w:rsidR="00EA59EC" w:rsidRPr="00812509" w:rsidTr="00EA59EC">
        <w:trPr>
          <w:cnfStyle w:val="100000000000" w:firstRow="1" w:lastRow="0" w:firstColumn="0" w:lastColumn="0" w:oddVBand="0" w:evenVBand="0" w:oddHBand="0" w:evenHBand="0" w:firstRowFirstColumn="0" w:firstRowLastColumn="0" w:lastRowFirstColumn="0" w:lastRowLastColumn="0"/>
        </w:trPr>
        <w:tc>
          <w:tcPr>
            <w:tcW w:w="3064" w:type="dxa"/>
          </w:tcPr>
          <w:p w:rsidR="00EA59EC" w:rsidRPr="00AB78C1" w:rsidRDefault="00EA59EC" w:rsidP="00EA59EC">
            <w:pPr>
              <w:rPr>
                <w:rFonts w:asciiTheme="minorHAnsi" w:eastAsia="Times New Roman" w:hAnsiTheme="minorHAnsi"/>
                <w:b w:val="0"/>
                <w:szCs w:val="17"/>
              </w:rPr>
            </w:pPr>
            <w:r w:rsidRPr="00AB78C1">
              <w:rPr>
                <w:rFonts w:asciiTheme="minorHAnsi" w:eastAsia="Times New Roman" w:hAnsiTheme="minorHAnsi"/>
                <w:b w:val="0"/>
                <w:szCs w:val="17"/>
              </w:rPr>
              <w:t>INJ573 Poverty Reduction Fund</w:t>
            </w:r>
          </w:p>
        </w:tc>
        <w:tc>
          <w:tcPr>
            <w:tcW w:w="3665" w:type="dxa"/>
          </w:tcPr>
          <w:p w:rsidR="00EA59EC" w:rsidRPr="00875547" w:rsidRDefault="00EA59EC" w:rsidP="00EA59EC">
            <w:pPr>
              <w:keepLines/>
              <w:spacing w:before="40" w:after="40" w:line="200" w:lineRule="atLeast"/>
              <w:rPr>
                <w:rFonts w:asciiTheme="minorHAnsi" w:eastAsia="Times New Roman" w:hAnsiTheme="minorHAnsi"/>
                <w:b w:val="0"/>
                <w:iCs/>
                <w:szCs w:val="17"/>
                <w:lang w:eastAsia="en-US"/>
              </w:rPr>
            </w:pPr>
            <w:r w:rsidRPr="00875547">
              <w:rPr>
                <w:rFonts w:asciiTheme="minorHAnsi" w:eastAsia="Times New Roman" w:hAnsiTheme="minorHAnsi"/>
                <w:b w:val="0"/>
                <w:iCs/>
                <w:szCs w:val="17"/>
                <w:lang w:eastAsia="en-US"/>
              </w:rPr>
              <w:t>Lao Poverty Reduction Fund Phase II Impact</w:t>
            </w:r>
          </w:p>
          <w:p w:rsidR="00EA59EC" w:rsidRDefault="00EA59EC" w:rsidP="00EA59EC">
            <w:pPr>
              <w:keepLines/>
              <w:spacing w:before="40" w:after="40" w:line="200" w:lineRule="atLeast"/>
              <w:rPr>
                <w:rFonts w:asciiTheme="minorHAnsi" w:eastAsia="Times New Roman" w:hAnsiTheme="minorHAnsi"/>
                <w:b w:val="0"/>
                <w:iCs/>
                <w:szCs w:val="17"/>
                <w:lang w:eastAsia="en-US"/>
              </w:rPr>
            </w:pPr>
            <w:r w:rsidRPr="00875547">
              <w:rPr>
                <w:rFonts w:asciiTheme="minorHAnsi" w:eastAsia="Times New Roman" w:hAnsiTheme="minorHAnsi"/>
                <w:b w:val="0"/>
                <w:iCs/>
                <w:szCs w:val="17"/>
                <w:lang w:eastAsia="en-US"/>
              </w:rPr>
              <w:t>Evaluation:</w:t>
            </w:r>
          </w:p>
          <w:p w:rsidR="009C391C" w:rsidRPr="00812509" w:rsidRDefault="009C391C" w:rsidP="00EA59EC">
            <w:pPr>
              <w:keepLines/>
              <w:spacing w:before="40" w:after="40" w:line="200" w:lineRule="atLeast"/>
              <w:rPr>
                <w:rFonts w:asciiTheme="minorHAnsi" w:eastAsia="Times New Roman" w:hAnsiTheme="minorHAnsi"/>
                <w:b w:val="0"/>
                <w:iCs/>
                <w:szCs w:val="17"/>
                <w:lang w:eastAsia="en-US"/>
              </w:rPr>
            </w:pPr>
          </w:p>
        </w:tc>
        <w:tc>
          <w:tcPr>
            <w:tcW w:w="1397" w:type="dxa"/>
          </w:tcPr>
          <w:p w:rsidR="00EA59EC" w:rsidRPr="00812509" w:rsidRDefault="00EA59EC" w:rsidP="00EA59E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 2016</w:t>
            </w:r>
          </w:p>
        </w:tc>
        <w:tc>
          <w:tcPr>
            <w:tcW w:w="1953" w:type="dxa"/>
          </w:tcPr>
          <w:p w:rsidR="00EA59EC" w:rsidRPr="00812509" w:rsidRDefault="00EA59EC" w:rsidP="00EA59E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17 January 2017</w:t>
            </w:r>
          </w:p>
        </w:tc>
        <w:tc>
          <w:tcPr>
            <w:tcW w:w="1671" w:type="dxa"/>
          </w:tcPr>
          <w:p w:rsidR="00EA59EC" w:rsidRPr="00812509" w:rsidRDefault="00EA59EC" w:rsidP="00EA59E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22 February 2017</w:t>
            </w:r>
          </w:p>
        </w:tc>
        <w:tc>
          <w:tcPr>
            <w:tcW w:w="2365" w:type="dxa"/>
          </w:tcPr>
          <w:p w:rsidR="00EA59EC" w:rsidRPr="00812509" w:rsidRDefault="00EA59EC" w:rsidP="00EA59E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06 April 2017 on the World Bank’s website</w:t>
            </w:r>
          </w:p>
        </w:tc>
      </w:tr>
    </w:tbl>
    <w:p w:rsidR="00EF0D70" w:rsidRDefault="00EF0D70"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rsidTr="005E606B">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rsidTr="005E606B">
        <w:tc>
          <w:tcPr>
            <w:tcW w:w="2444" w:type="dxa"/>
          </w:tcPr>
          <w:p w:rsidR="00AF1B85" w:rsidRPr="00812509" w:rsidRDefault="00C6236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BEQUAL Mid-term Review</w:t>
            </w:r>
            <w:r w:rsidR="00AF1B85" w:rsidRPr="00812509">
              <w:rPr>
                <w:rFonts w:asciiTheme="minorHAnsi" w:eastAsia="Times New Roman" w:hAnsiTheme="minorHAnsi"/>
                <w:iCs/>
                <w:szCs w:val="17"/>
                <w:lang w:eastAsia="en-US"/>
              </w:rPr>
              <w:t xml:space="preserve"> </w:t>
            </w:r>
          </w:p>
        </w:tc>
        <w:tc>
          <w:tcPr>
            <w:tcW w:w="2356" w:type="dxa"/>
          </w:tcPr>
          <w:p w:rsidR="00AF1B85" w:rsidRPr="00812509" w:rsidRDefault="00AF1B85" w:rsidP="00D15A00">
            <w:pPr>
              <w:keepLines/>
              <w:spacing w:before="40" w:after="40" w:line="200" w:lineRule="atLeast"/>
              <w:rPr>
                <w:rFonts w:asciiTheme="minorHAnsi" w:eastAsia="Times New Roman" w:hAnsiTheme="minorHAnsi"/>
                <w:iCs/>
                <w:szCs w:val="17"/>
                <w:lang w:eastAsia="en-US"/>
              </w:rPr>
            </w:pPr>
          </w:p>
        </w:tc>
        <w:tc>
          <w:tcPr>
            <w:tcW w:w="2042" w:type="dxa"/>
          </w:tcPr>
          <w:p w:rsidR="00AF1B85" w:rsidRPr="00812509" w:rsidRDefault="002D736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 2017</w:t>
            </w:r>
          </w:p>
        </w:tc>
        <w:tc>
          <w:tcPr>
            <w:tcW w:w="2208" w:type="dxa"/>
          </w:tcPr>
          <w:p w:rsidR="00AF1B85" w:rsidRPr="00812509" w:rsidRDefault="000A156E" w:rsidP="000A156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February</w:t>
            </w:r>
            <w:r w:rsidR="002D7363">
              <w:rPr>
                <w:rFonts w:asciiTheme="minorHAnsi" w:eastAsia="Times New Roman" w:hAnsiTheme="minorHAnsi"/>
                <w:iCs/>
                <w:szCs w:val="17"/>
                <w:lang w:eastAsia="en-US"/>
              </w:rPr>
              <w:t xml:space="preserve"> 201</w:t>
            </w:r>
            <w:r>
              <w:rPr>
                <w:rFonts w:asciiTheme="minorHAnsi" w:eastAsia="Times New Roman" w:hAnsiTheme="minorHAnsi"/>
                <w:iCs/>
                <w:szCs w:val="17"/>
                <w:lang w:eastAsia="en-US"/>
              </w:rPr>
              <w:t>8</w:t>
            </w:r>
          </w:p>
        </w:tc>
        <w:tc>
          <w:tcPr>
            <w:tcW w:w="2325" w:type="dxa"/>
          </w:tcPr>
          <w:p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 </w:t>
            </w:r>
            <w:r w:rsidR="002D7363" w:rsidRPr="00812509">
              <w:rPr>
                <w:rFonts w:asciiTheme="minorHAnsi" w:eastAsia="Times New Roman" w:hAnsiTheme="minorHAnsi"/>
                <w:iCs/>
                <w:szCs w:val="17"/>
                <w:lang w:eastAsia="en-US"/>
              </w:rPr>
              <w:t xml:space="preserve">improve existing investment </w:t>
            </w:r>
            <w:r w:rsidRPr="00812509">
              <w:rPr>
                <w:rFonts w:asciiTheme="minorHAnsi" w:eastAsia="Times New Roman" w:hAnsiTheme="minorHAnsi"/>
                <w:iCs/>
                <w:szCs w:val="17"/>
                <w:lang w:eastAsia="en-US"/>
              </w:rPr>
              <w:t>demonstrate results</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verify performance</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examine value for money</w:t>
            </w:r>
          </w:p>
          <w:p w:rsidR="00AF1B85" w:rsidRPr="00812509" w:rsidRDefault="00AF1B85" w:rsidP="00D15A00">
            <w:pPr>
              <w:keepLines/>
              <w:spacing w:before="40" w:after="40" w:line="200" w:lineRule="atLeast"/>
              <w:rPr>
                <w:rFonts w:asciiTheme="minorHAnsi" w:eastAsia="Times New Roman" w:hAnsiTheme="minorHAnsi"/>
                <w:iCs/>
                <w:color w:val="000000" w:themeColor="text1" w:themeShade="BF"/>
                <w:szCs w:val="17"/>
                <w:lang w:eastAsia="en-US"/>
              </w:rPr>
            </w:pPr>
          </w:p>
        </w:tc>
        <w:tc>
          <w:tcPr>
            <w:tcW w:w="2740" w:type="dxa"/>
          </w:tcPr>
          <w:p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DFAT led (consultants engaged by DFAT)</w:t>
            </w:r>
            <w:r w:rsidR="002D7363">
              <w:rPr>
                <w:rFonts w:asciiTheme="minorHAnsi" w:eastAsia="Times New Roman" w:hAnsiTheme="minorHAnsi"/>
                <w:iCs/>
                <w:szCs w:val="17"/>
                <w:lang w:eastAsia="en-US"/>
              </w:rPr>
              <w:t>.</w:t>
            </w:r>
          </w:p>
          <w:p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9532B8">
          <w:headerReference w:type="default" r:id="rId26"/>
          <w:headerReference w:type="first" r:id="rId27"/>
          <w:pgSz w:w="16838" w:h="11906" w:orient="landscape" w:code="9"/>
          <w:pgMar w:top="1134" w:right="1952" w:bottom="1134" w:left="851" w:header="1107" w:footer="567" w:gutter="0"/>
          <w:cols w:space="397"/>
          <w:docGrid w:linePitch="360"/>
        </w:sectPr>
      </w:pPr>
    </w:p>
    <w:p w:rsidR="0059146A" w:rsidRDefault="0059146A" w:rsidP="005B5769">
      <w:pPr>
        <w:pStyle w:val="ListBullet"/>
        <w:tabs>
          <w:tab w:val="clear" w:pos="284"/>
        </w:tabs>
      </w:pPr>
    </w:p>
    <w:p w:rsidR="005E606B" w:rsidRPr="00A8197B" w:rsidRDefault="005E606B" w:rsidP="00A8197B">
      <w:pPr>
        <w:pStyle w:val="Subtitle"/>
      </w:pPr>
      <w:r w:rsidRPr="00A8197B">
        <w:t xml:space="preserve">Annex </w:t>
      </w:r>
      <w:r w:rsidR="00184F1E">
        <w:t>D</w:t>
      </w:r>
      <w:r w:rsidRPr="00A8197B">
        <w:t xml:space="preserve">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W w:w="9900" w:type="dxa"/>
        <w:tblLook w:val="04A0" w:firstRow="1" w:lastRow="0" w:firstColumn="1" w:lastColumn="0" w:noHBand="0" w:noVBand="1"/>
      </w:tblPr>
      <w:tblGrid>
        <w:gridCol w:w="2800"/>
        <w:gridCol w:w="1140"/>
        <w:gridCol w:w="1060"/>
        <w:gridCol w:w="700"/>
        <w:gridCol w:w="700"/>
        <w:gridCol w:w="700"/>
        <w:gridCol w:w="700"/>
        <w:gridCol w:w="700"/>
        <w:gridCol w:w="700"/>
        <w:gridCol w:w="700"/>
      </w:tblGrid>
      <w:tr w:rsidR="007132EE" w:rsidRPr="007132EE" w:rsidTr="007132EE">
        <w:trPr>
          <w:trHeight w:val="1200"/>
        </w:trPr>
        <w:tc>
          <w:tcPr>
            <w:tcW w:w="2800" w:type="dxa"/>
            <w:tcBorders>
              <w:top w:val="single" w:sz="12" w:space="0" w:color="000000"/>
              <w:left w:val="nil"/>
              <w:bottom w:val="single" w:sz="4" w:space="0" w:color="auto"/>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200400" cy="228600"/>
                  <wp:effectExtent l="0" t="0" r="0" b="0"/>
                  <wp:wrapNone/>
                  <wp:docPr id="17" name="Picture 17"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132EE">
              <w:rPr>
                <w:rFonts w:ascii="Calibri Light" w:eastAsia="Times New Roman" w:hAnsi="Calibri Light" w:cs="Times New Roman"/>
                <w:b/>
                <w:bCs/>
                <w:iCs/>
                <w:color w:val="495965"/>
                <w:sz w:val="17"/>
                <w:szCs w:val="17"/>
                <w:lang w:eastAsia="en-AU"/>
              </w:rPr>
              <w:t>Investment name</w:t>
            </w:r>
          </w:p>
        </w:tc>
        <w:tc>
          <w:tcPr>
            <w:tcW w:w="1140" w:type="dxa"/>
            <w:tcBorders>
              <w:top w:val="single" w:sz="12" w:space="0" w:color="000000"/>
              <w:left w:val="nil"/>
              <w:bottom w:val="single" w:sz="4" w:space="0" w:color="auto"/>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Approved budget and duration</w:t>
            </w:r>
          </w:p>
        </w:tc>
        <w:tc>
          <w:tcPr>
            <w:tcW w:w="1060" w:type="dxa"/>
            <w:tcBorders>
              <w:top w:val="single" w:sz="12" w:space="0" w:color="000000"/>
              <w:left w:val="nil"/>
              <w:bottom w:val="single" w:sz="4" w:space="0" w:color="auto"/>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year on year</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Relevance</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Effectiveness</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Efficiency</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Monitoring and Evaluation</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Sustainability</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Gender equality</w:t>
            </w:r>
          </w:p>
        </w:tc>
        <w:tc>
          <w:tcPr>
            <w:tcW w:w="700" w:type="dxa"/>
            <w:tcBorders>
              <w:top w:val="single" w:sz="12" w:space="0" w:color="000000"/>
              <w:left w:val="nil"/>
              <w:bottom w:val="single" w:sz="4" w:space="0" w:color="auto"/>
              <w:right w:val="nil"/>
            </w:tcBorders>
            <w:shd w:val="clear" w:color="auto" w:fill="auto"/>
            <w:textDirection w:val="btLr"/>
            <w:vAlign w:val="bottom"/>
            <w:hideMark/>
          </w:tcPr>
          <w:p w:rsidR="007132EE" w:rsidRPr="007132EE" w:rsidRDefault="007132EE" w:rsidP="007132EE">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7132EE">
              <w:rPr>
                <w:rFonts w:ascii="Calibri Light" w:eastAsia="Times New Roman" w:hAnsi="Calibri Light" w:cs="Times New Roman"/>
                <w:b/>
                <w:bCs/>
                <w:iCs/>
                <w:color w:val="495965"/>
                <w:sz w:val="17"/>
                <w:szCs w:val="17"/>
                <w:lang w:eastAsia="en-AU"/>
              </w:rPr>
              <w:t>Risks  and Safeguards</w:t>
            </w:r>
          </w:p>
        </w:tc>
      </w:tr>
      <w:tr w:rsidR="007132EE" w:rsidRPr="007132EE" w:rsidTr="007132EE">
        <w:trPr>
          <w:trHeight w:val="300"/>
        </w:trPr>
        <w:tc>
          <w:tcPr>
            <w:tcW w:w="2800" w:type="dxa"/>
            <w:tcBorders>
              <w:top w:val="single" w:sz="4"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Basic Education Quality &amp; Access in Laos</w:t>
            </w:r>
          </w:p>
        </w:tc>
        <w:tc>
          <w:tcPr>
            <w:tcW w:w="1140" w:type="dxa"/>
            <w:tcBorders>
              <w:top w:val="single" w:sz="4"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7132EE">
              <w:rPr>
                <w:rFonts w:ascii="Calibri Light" w:eastAsia="Times New Roman" w:hAnsi="Calibri Light" w:cs="Times New Roman"/>
                <w:color w:val="000000"/>
                <w:sz w:val="17"/>
                <w:szCs w:val="17"/>
                <w:lang w:eastAsia="en-AU"/>
              </w:rPr>
              <w:t xml:space="preserve">$65m </w:t>
            </w:r>
          </w:p>
        </w:tc>
        <w:tc>
          <w:tcPr>
            <w:tcW w:w="1060" w:type="dxa"/>
            <w:tcBorders>
              <w:top w:val="single" w:sz="4"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single" w:sz="4" w:space="0" w:color="auto"/>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single" w:sz="4"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single" w:sz="4"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single" w:sz="4"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single" w:sz="4"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single" w:sz="4"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single" w:sz="4" w:space="0" w:color="auto"/>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 </w:t>
            </w:r>
          </w:p>
        </w:tc>
      </w:tr>
      <w:tr w:rsidR="007132EE" w:rsidRPr="007132EE" w:rsidTr="007132EE">
        <w:trPr>
          <w:trHeight w:val="315"/>
        </w:trPr>
        <w:tc>
          <w:tcPr>
            <w:tcW w:w="280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color w:val="495965"/>
                <w:sz w:val="17"/>
                <w:szCs w:val="17"/>
                <w:lang w:val="en-AU" w:eastAsia="en-AU"/>
              </w:rPr>
              <w:t> </w:t>
            </w:r>
          </w:p>
        </w:tc>
        <w:tc>
          <w:tcPr>
            <w:tcW w:w="114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2016-19</w:t>
            </w:r>
          </w:p>
        </w:tc>
        <w:tc>
          <w:tcPr>
            <w:tcW w:w="106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single" w:sz="8" w:space="0" w:color="auto"/>
              <w:right w:val="nil"/>
            </w:tcBorders>
            <w:shd w:val="clear" w:color="000000" w:fill="92D050"/>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r>
      <w:tr w:rsidR="007132EE" w:rsidRPr="007132EE" w:rsidTr="007132EE">
        <w:trPr>
          <w:trHeight w:val="450"/>
        </w:trPr>
        <w:tc>
          <w:tcPr>
            <w:tcW w:w="280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Basic Education School Meals &amp; WATSAN Program</w:t>
            </w:r>
          </w:p>
        </w:tc>
        <w:tc>
          <w:tcPr>
            <w:tcW w:w="114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7132EE">
              <w:rPr>
                <w:rFonts w:ascii="Calibri Light" w:eastAsia="Times New Roman" w:hAnsi="Calibri Light" w:cs="Times New Roman"/>
                <w:color w:val="000000"/>
                <w:sz w:val="17"/>
                <w:szCs w:val="17"/>
                <w:lang w:eastAsia="en-AU"/>
              </w:rPr>
              <w:t xml:space="preserve">$22.1m </w:t>
            </w:r>
          </w:p>
        </w:tc>
        <w:tc>
          <w:tcPr>
            <w:tcW w:w="106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3</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 </w:t>
            </w:r>
          </w:p>
        </w:tc>
      </w:tr>
      <w:tr w:rsidR="007132EE" w:rsidRPr="007132EE" w:rsidTr="007132EE">
        <w:trPr>
          <w:trHeight w:val="315"/>
        </w:trPr>
        <w:tc>
          <w:tcPr>
            <w:tcW w:w="280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color w:val="495965"/>
                <w:sz w:val="17"/>
                <w:szCs w:val="17"/>
                <w:lang w:val="en-AU" w:eastAsia="en-AU"/>
              </w:rPr>
              <w:t> </w:t>
            </w:r>
          </w:p>
        </w:tc>
        <w:tc>
          <w:tcPr>
            <w:tcW w:w="114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 xml:space="preserve">2012-18 </w:t>
            </w:r>
          </w:p>
        </w:tc>
        <w:tc>
          <w:tcPr>
            <w:tcW w:w="106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single" w:sz="8" w:space="0" w:color="auto"/>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3</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single" w:sz="8" w:space="0" w:color="auto"/>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3</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single" w:sz="8" w:space="0" w:color="auto"/>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r>
      <w:tr w:rsidR="007132EE" w:rsidRPr="007132EE" w:rsidTr="007132EE">
        <w:trPr>
          <w:trHeight w:val="300"/>
        </w:trPr>
        <w:tc>
          <w:tcPr>
            <w:tcW w:w="280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 xml:space="preserve">Laos Australia Institute   </w:t>
            </w:r>
          </w:p>
        </w:tc>
        <w:tc>
          <w:tcPr>
            <w:tcW w:w="114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$29.6m</w:t>
            </w:r>
          </w:p>
        </w:tc>
        <w:tc>
          <w:tcPr>
            <w:tcW w:w="106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 </w:t>
            </w:r>
          </w:p>
        </w:tc>
      </w:tr>
      <w:tr w:rsidR="007132EE" w:rsidRPr="007132EE" w:rsidTr="007132EE">
        <w:trPr>
          <w:trHeight w:val="315"/>
        </w:trPr>
        <w:tc>
          <w:tcPr>
            <w:tcW w:w="280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color w:val="495965"/>
                <w:sz w:val="17"/>
                <w:szCs w:val="17"/>
                <w:lang w:val="en-AU" w:eastAsia="en-AU"/>
              </w:rPr>
              <w:t> </w:t>
            </w:r>
          </w:p>
        </w:tc>
        <w:tc>
          <w:tcPr>
            <w:tcW w:w="114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2012-2021</w:t>
            </w:r>
          </w:p>
        </w:tc>
        <w:tc>
          <w:tcPr>
            <w:tcW w:w="106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5</w:t>
            </w:r>
          </w:p>
        </w:tc>
        <w:tc>
          <w:tcPr>
            <w:tcW w:w="700" w:type="dxa"/>
            <w:tcBorders>
              <w:top w:val="nil"/>
              <w:left w:val="nil"/>
              <w:bottom w:val="nil"/>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3</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c>
          <w:tcPr>
            <w:tcW w:w="700" w:type="dxa"/>
            <w:tcBorders>
              <w:top w:val="nil"/>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4</w:t>
            </w:r>
          </w:p>
        </w:tc>
      </w:tr>
      <w:tr w:rsidR="007132EE" w:rsidRPr="007132EE" w:rsidTr="007132EE">
        <w:trPr>
          <w:trHeight w:val="300"/>
        </w:trPr>
        <w:tc>
          <w:tcPr>
            <w:tcW w:w="280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Trade Development Facility</w:t>
            </w:r>
          </w:p>
        </w:tc>
        <w:tc>
          <w:tcPr>
            <w:tcW w:w="114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$9.1m</w:t>
            </w:r>
          </w:p>
        </w:tc>
        <w:tc>
          <w:tcPr>
            <w:tcW w:w="106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 </w:t>
            </w:r>
          </w:p>
        </w:tc>
      </w:tr>
      <w:tr w:rsidR="007132EE" w:rsidRPr="007132EE" w:rsidTr="007132EE">
        <w:trPr>
          <w:trHeight w:val="315"/>
        </w:trPr>
        <w:tc>
          <w:tcPr>
            <w:tcW w:w="280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p>
        </w:tc>
        <w:tc>
          <w:tcPr>
            <w:tcW w:w="114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2013-2019</w:t>
            </w:r>
          </w:p>
        </w:tc>
        <w:tc>
          <w:tcPr>
            <w:tcW w:w="106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r>
      <w:tr w:rsidR="007132EE" w:rsidRPr="007132EE" w:rsidTr="007132EE">
        <w:trPr>
          <w:trHeight w:val="510"/>
        </w:trPr>
        <w:tc>
          <w:tcPr>
            <w:tcW w:w="280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Laos Australia Rural Livelihoods Program</w:t>
            </w:r>
          </w:p>
        </w:tc>
        <w:tc>
          <w:tcPr>
            <w:tcW w:w="114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$34.9m</w:t>
            </w:r>
          </w:p>
        </w:tc>
        <w:tc>
          <w:tcPr>
            <w:tcW w:w="106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 </w:t>
            </w:r>
          </w:p>
        </w:tc>
      </w:tr>
      <w:tr w:rsidR="007132EE" w:rsidRPr="007132EE" w:rsidTr="007132EE">
        <w:trPr>
          <w:trHeight w:val="315"/>
        </w:trPr>
        <w:tc>
          <w:tcPr>
            <w:tcW w:w="280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p>
        </w:tc>
        <w:tc>
          <w:tcPr>
            <w:tcW w:w="114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2012-2019</w:t>
            </w:r>
          </w:p>
        </w:tc>
        <w:tc>
          <w:tcPr>
            <w:tcW w:w="106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nil"/>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3</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3</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nil"/>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r>
      <w:tr w:rsidR="007132EE" w:rsidRPr="007132EE" w:rsidTr="007132EE">
        <w:trPr>
          <w:trHeight w:val="300"/>
        </w:trPr>
        <w:tc>
          <w:tcPr>
            <w:tcW w:w="280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Support for UXO Action in Laos</w:t>
            </w:r>
          </w:p>
        </w:tc>
        <w:tc>
          <w:tcPr>
            <w:tcW w:w="114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$9m</w:t>
            </w:r>
          </w:p>
        </w:tc>
        <w:tc>
          <w:tcPr>
            <w:tcW w:w="106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 </w:t>
            </w:r>
          </w:p>
        </w:tc>
      </w:tr>
      <w:tr w:rsidR="007132EE" w:rsidRPr="007132EE" w:rsidTr="007132EE">
        <w:trPr>
          <w:trHeight w:val="315"/>
        </w:trPr>
        <w:tc>
          <w:tcPr>
            <w:tcW w:w="280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p>
        </w:tc>
        <w:tc>
          <w:tcPr>
            <w:tcW w:w="114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2011-2016</w:t>
            </w:r>
          </w:p>
        </w:tc>
        <w:tc>
          <w:tcPr>
            <w:tcW w:w="1060" w:type="dxa"/>
            <w:tcBorders>
              <w:top w:val="nil"/>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nil"/>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3</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C0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3</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nil"/>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r>
      <w:tr w:rsidR="007132EE" w:rsidRPr="007132EE" w:rsidTr="007132EE">
        <w:trPr>
          <w:trHeight w:val="510"/>
        </w:trPr>
        <w:tc>
          <w:tcPr>
            <w:tcW w:w="280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Laos Australia Development Learning Facility</w:t>
            </w:r>
          </w:p>
        </w:tc>
        <w:tc>
          <w:tcPr>
            <w:tcW w:w="114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$10.6m</w:t>
            </w:r>
          </w:p>
        </w:tc>
        <w:tc>
          <w:tcPr>
            <w:tcW w:w="1060" w:type="dxa"/>
            <w:tcBorders>
              <w:top w:val="single" w:sz="8" w:space="0" w:color="auto"/>
              <w:left w:val="nil"/>
              <w:bottom w:val="nil"/>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2017 AQC</w:t>
            </w:r>
          </w:p>
        </w:tc>
        <w:tc>
          <w:tcPr>
            <w:tcW w:w="700" w:type="dxa"/>
            <w:tcBorders>
              <w:top w:val="single" w:sz="8" w:space="0" w:color="auto"/>
              <w:left w:val="nil"/>
              <w:bottom w:val="nil"/>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single" w:sz="8" w:space="0" w:color="auto"/>
              <w:left w:val="nil"/>
              <w:bottom w:val="nil"/>
              <w:right w:val="nil"/>
            </w:tcBorders>
            <w:shd w:val="clear" w:color="000000" w:fill="FFFF0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 </w:t>
            </w:r>
          </w:p>
        </w:tc>
      </w:tr>
      <w:tr w:rsidR="007132EE" w:rsidRPr="007132EE" w:rsidTr="007132EE">
        <w:trPr>
          <w:trHeight w:val="315"/>
        </w:trPr>
        <w:tc>
          <w:tcPr>
            <w:tcW w:w="280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val="en-AU" w:eastAsia="en-AU"/>
              </w:rPr>
              <w:t> </w:t>
            </w:r>
          </w:p>
        </w:tc>
        <w:tc>
          <w:tcPr>
            <w:tcW w:w="114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2014-2020</w:t>
            </w:r>
          </w:p>
        </w:tc>
        <w:tc>
          <w:tcPr>
            <w:tcW w:w="1060" w:type="dxa"/>
            <w:tcBorders>
              <w:top w:val="nil"/>
              <w:left w:val="nil"/>
              <w:bottom w:val="single" w:sz="8" w:space="0" w:color="auto"/>
              <w:right w:val="nil"/>
            </w:tcBorders>
            <w:shd w:val="clear" w:color="auto" w:fill="auto"/>
            <w:vAlign w:val="center"/>
            <w:hideMark/>
          </w:tcPr>
          <w:p w:rsidR="007132EE" w:rsidRPr="007132EE" w:rsidRDefault="007132EE" w:rsidP="007132EE">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7132EE">
              <w:rPr>
                <w:rFonts w:ascii="Calibri Light" w:eastAsia="Times New Roman" w:hAnsi="Calibri Light" w:cs="Times New Roman"/>
                <w:iCs/>
                <w:color w:val="495965"/>
                <w:sz w:val="17"/>
                <w:szCs w:val="17"/>
                <w:lang w:eastAsia="en-AU"/>
              </w:rPr>
              <w:t>2016 AQC</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nil"/>
              <w:left w:val="nil"/>
              <w:bottom w:val="single" w:sz="8" w:space="0" w:color="auto"/>
              <w:right w:val="nil"/>
            </w:tcBorders>
            <w:shd w:val="clear" w:color="000000" w:fill="92D05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single" w:sz="8" w:space="0" w:color="auto"/>
              <w:right w:val="nil"/>
            </w:tcBorders>
            <w:shd w:val="clear" w:color="000000" w:fill="FFFF00"/>
            <w:noWrap/>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4</w:t>
            </w:r>
          </w:p>
        </w:tc>
        <w:tc>
          <w:tcPr>
            <w:tcW w:w="700" w:type="dxa"/>
            <w:tcBorders>
              <w:top w:val="nil"/>
              <w:left w:val="nil"/>
              <w:bottom w:val="single" w:sz="8" w:space="0" w:color="auto"/>
              <w:right w:val="nil"/>
            </w:tcBorders>
            <w:shd w:val="clear" w:color="000000" w:fill="92D050"/>
            <w:vAlign w:val="center"/>
            <w:hideMark/>
          </w:tcPr>
          <w:p w:rsidR="007132EE" w:rsidRPr="007132EE" w:rsidRDefault="007132EE" w:rsidP="007132EE">
            <w:pPr>
              <w:suppressAutoHyphens w:val="0"/>
              <w:spacing w:before="0" w:after="0" w:line="240" w:lineRule="auto"/>
              <w:jc w:val="right"/>
              <w:rPr>
                <w:rFonts w:ascii="Franklin Gothic Book" w:eastAsia="Times New Roman" w:hAnsi="Franklin Gothic Book" w:cs="Times New Roman"/>
                <w:color w:val="495965"/>
                <w:sz w:val="17"/>
                <w:szCs w:val="17"/>
                <w:lang w:val="en-AU" w:eastAsia="en-AU"/>
              </w:rPr>
            </w:pPr>
            <w:r w:rsidRPr="007132EE">
              <w:rPr>
                <w:rFonts w:ascii="Franklin Gothic Book" w:eastAsia="Times New Roman" w:hAnsi="Franklin Gothic Book" w:cs="Times New Roman"/>
                <w:color w:val="495965"/>
                <w:sz w:val="17"/>
                <w:szCs w:val="17"/>
                <w:lang w:eastAsia="en-AU"/>
              </w:rPr>
              <w:t>5</w:t>
            </w:r>
          </w:p>
        </w:tc>
      </w:tr>
    </w:tbl>
    <w:p w:rsidR="005E606B" w:rsidRPr="00C61187" w:rsidRDefault="005E606B" w:rsidP="005E606B">
      <w:pPr>
        <w:rPr>
          <w:iCs/>
        </w:rPr>
      </w:pPr>
    </w:p>
    <w:p w:rsidR="00A8197B" w:rsidRPr="00C61187" w:rsidRDefault="00A8197B" w:rsidP="00A8197B">
      <w:pPr>
        <w:rPr>
          <w:iCs/>
        </w:rPr>
      </w:pPr>
    </w:p>
    <w:p w:rsidR="005E606B" w:rsidRPr="00C61187" w:rsidRDefault="005E606B" w:rsidP="005E606B">
      <w:pPr>
        <w:keepNext/>
        <w:numPr>
          <w:ilvl w:val="2"/>
          <w:numId w:val="0"/>
        </w:numPr>
        <w:spacing w:before="240" w:after="120"/>
        <w:outlineLvl w:val="2"/>
        <w:rPr>
          <w:rFonts w:ascii="Helvetica" w:eastAsia="Times New Roman" w:hAnsi="Helvetica" w:cs="Arial"/>
          <w:b/>
          <w:color w:val="124486"/>
          <w:kern w:val="28"/>
          <w:lang w:eastAsia="zh-CN"/>
        </w:rPr>
      </w:pPr>
      <w:r w:rsidRPr="00C61187">
        <w:rPr>
          <w:rFonts w:ascii="Helvetica" w:eastAsia="Times New Roman" w:hAnsi="Helvetica" w:cs="Arial"/>
          <w:b/>
          <w:color w:val="124486"/>
          <w:kern w:val="28"/>
          <w:lang w:eastAsia="zh-CN"/>
        </w:rPr>
        <w:br w:type="page"/>
      </w:r>
    </w:p>
    <w:p w:rsidR="0059146A" w:rsidRDefault="0059146A" w:rsidP="005B5769">
      <w:pPr>
        <w:pStyle w:val="ListBullet"/>
        <w:tabs>
          <w:tab w:val="clear" w:pos="284"/>
        </w:tabs>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p>
    <w:p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71"/>
        <w:gridCol w:w="1284"/>
        <w:gridCol w:w="823"/>
        <w:gridCol w:w="821"/>
        <w:gridCol w:w="823"/>
        <w:gridCol w:w="821"/>
        <w:gridCol w:w="823"/>
        <w:gridCol w:w="821"/>
        <w:gridCol w:w="823"/>
        <w:gridCol w:w="828"/>
      </w:tblGrid>
      <w:tr w:rsidR="00A8197B" w:rsidRPr="00812509" w:rsidTr="007132EE">
        <w:trPr>
          <w:cnfStyle w:val="000000010000" w:firstRow="0" w:lastRow="0" w:firstColumn="0" w:lastColumn="0" w:oddVBand="0" w:evenVBand="0" w:oddHBand="0" w:evenHBand="1" w:firstRowFirstColumn="0" w:firstRowLastColumn="0" w:lastRowFirstColumn="0" w:lastRowLastColumn="0"/>
          <w:trHeight w:val="1505"/>
        </w:trPr>
        <w:tc>
          <w:tcPr>
            <w:tcW w:w="897"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5EA5997C" wp14:editId="11FE1A5E">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3"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3"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3"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5E0815" w:rsidRPr="00812509" w:rsidTr="005E0815">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5E0815" w:rsidRPr="00812509" w:rsidRDefault="005E0815" w:rsidP="00D15A00">
            <w:pPr>
              <w:keepLines/>
              <w:spacing w:before="40" w:after="40" w:line="200" w:lineRule="atLeast"/>
              <w:rPr>
                <w:rFonts w:asciiTheme="minorHAnsi" w:eastAsia="Times New Roman" w:hAnsiTheme="minorHAnsi"/>
                <w:iCs/>
                <w:szCs w:val="17"/>
                <w:lang w:eastAsia="en-US"/>
              </w:rPr>
            </w:pPr>
            <w:r>
              <w:rPr>
                <w:rFonts w:eastAsia="Times New Roman"/>
                <w:iCs/>
                <w:szCs w:val="17"/>
              </w:rPr>
              <w:t>Poverty Reduction Fund Phase II</w:t>
            </w:r>
          </w:p>
        </w:tc>
        <w:tc>
          <w:tcPr>
            <w:tcW w:w="652" w:type="pct"/>
          </w:tcPr>
          <w:p w:rsidR="005E0815" w:rsidRDefault="005E0815" w:rsidP="007F47FD">
            <w:pPr>
              <w:keepLines/>
              <w:spacing w:before="40" w:after="40" w:line="200" w:lineRule="atLeast"/>
              <w:rPr>
                <w:rFonts w:eastAsia="Times New Roman"/>
                <w:iCs/>
                <w:szCs w:val="17"/>
              </w:rPr>
            </w:pPr>
            <w:r>
              <w:rPr>
                <w:rFonts w:eastAsia="Times New Roman"/>
                <w:iCs/>
                <w:szCs w:val="17"/>
              </w:rPr>
              <w:t>$20.3m</w:t>
            </w:r>
          </w:p>
          <w:p w:rsidR="005E0815" w:rsidRPr="00812509" w:rsidRDefault="005E0815" w:rsidP="003E305C">
            <w:pPr>
              <w:keepLines/>
              <w:spacing w:before="40" w:after="40" w:line="200" w:lineRule="atLeast"/>
              <w:rPr>
                <w:rFonts w:asciiTheme="minorHAnsi" w:eastAsia="Times New Roman" w:hAnsiTheme="minorHAnsi"/>
                <w:iCs/>
                <w:szCs w:val="17"/>
                <w:lang w:eastAsia="en-US"/>
              </w:rPr>
            </w:pPr>
            <w:r>
              <w:rPr>
                <w:rFonts w:eastAsia="Times New Roman"/>
                <w:iCs/>
                <w:szCs w:val="17"/>
              </w:rPr>
              <w:t>2011-2017</w:t>
            </w:r>
          </w:p>
        </w:tc>
        <w:tc>
          <w:tcPr>
            <w:tcW w:w="413" w:type="pct"/>
            <w:shd w:val="clear" w:color="auto" w:fill="FFFF00"/>
            <w:noWrap/>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noWrap/>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c>
          <w:tcPr>
            <w:tcW w:w="413" w:type="pct"/>
            <w:shd w:val="clear" w:color="auto" w:fill="92D050"/>
            <w:noWrap/>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5</w:t>
            </w:r>
          </w:p>
        </w:tc>
        <w:tc>
          <w:tcPr>
            <w:tcW w:w="412" w:type="pct"/>
            <w:shd w:val="clear" w:color="auto" w:fill="92D050"/>
            <w:noWrap/>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5</w:t>
            </w:r>
          </w:p>
        </w:tc>
        <w:tc>
          <w:tcPr>
            <w:tcW w:w="413" w:type="pct"/>
            <w:shd w:val="clear" w:color="auto" w:fill="92D050"/>
            <w:noWrap/>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5</w:t>
            </w:r>
          </w:p>
        </w:tc>
        <w:tc>
          <w:tcPr>
            <w:tcW w:w="412" w:type="pct"/>
            <w:shd w:val="clear" w:color="auto" w:fill="FFFF00"/>
            <w:noWrap/>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c>
          <w:tcPr>
            <w:tcW w:w="413" w:type="pct"/>
            <w:shd w:val="clear" w:color="auto" w:fill="FFFF00"/>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r>
              <w:rPr>
                <w:rFonts w:eastAsia="Times New Roman"/>
                <w:iCs/>
                <w:szCs w:val="17"/>
              </w:rPr>
              <w:t>4</w:t>
            </w:r>
          </w:p>
        </w:tc>
        <w:tc>
          <w:tcPr>
            <w:tcW w:w="408" w:type="pct"/>
            <w:shd w:val="clear" w:color="auto" w:fill="92D050"/>
          </w:tcPr>
          <w:p w:rsidR="005E0815" w:rsidRPr="00812509" w:rsidRDefault="005E0815" w:rsidP="00D15A00">
            <w:pPr>
              <w:keepLines/>
              <w:spacing w:before="40" w:after="40" w:line="200" w:lineRule="atLeast"/>
              <w:jc w:val="center"/>
              <w:rPr>
                <w:rFonts w:asciiTheme="minorHAnsi" w:eastAsia="Times New Roman" w:hAnsiTheme="minorHAnsi"/>
                <w:iCs/>
                <w:szCs w:val="17"/>
                <w:lang w:eastAsia="en-US"/>
              </w:rPr>
            </w:pP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934882">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934882">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A8197B" w:rsidRDefault="00A8197B" w:rsidP="00A8197B">
      <w:pPr>
        <w:pStyle w:val="ListBullet"/>
        <w:tabs>
          <w:tab w:val="clear" w:pos="284"/>
        </w:tabs>
      </w:pPr>
    </w:p>
    <w:p w:rsidR="00A8197B" w:rsidRPr="00A8197B" w:rsidRDefault="00A8197B" w:rsidP="00A8197B"/>
    <w:p w:rsidR="00015316" w:rsidRDefault="00015316" w:rsidP="003212D0">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p w:rsidR="00D17802" w:rsidRPr="003212D0" w:rsidRDefault="00D17802" w:rsidP="003212D0">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D17802" w:rsidRPr="003212D0" w:rsidSect="009532B8">
      <w:headerReference w:type="default" r:id="rId28"/>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E90" w:rsidRDefault="007F5E90" w:rsidP="00EF4574">
      <w:pPr>
        <w:spacing w:before="0" w:after="0" w:line="240" w:lineRule="auto"/>
      </w:pPr>
      <w:r>
        <w:separator/>
      </w:r>
    </w:p>
  </w:endnote>
  <w:endnote w:type="continuationSeparator" w:id="0">
    <w:p w:rsidR="007F5E90" w:rsidRDefault="007F5E9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4C" w:rsidRDefault="00695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Default="00194A82" w:rsidP="004839E3">
    <w:pPr>
      <w:pStyle w:val="Footer"/>
      <w:rPr>
        <w:lang w:val="en-AU"/>
      </w:rPr>
    </w:pPr>
  </w:p>
  <w:p w:rsidR="00194A82" w:rsidRDefault="00194A82" w:rsidP="004839E3">
    <w:pPr>
      <w:pStyle w:val="Footer"/>
    </w:pPr>
  </w:p>
  <w:p w:rsidR="00194A82" w:rsidRPr="00CD0E4B" w:rsidRDefault="00194A82" w:rsidP="004839E3">
    <w:pPr>
      <w:pStyle w:val="Footer"/>
    </w:pPr>
    <w:r w:rsidRPr="00CD0E4B">
      <w:rPr>
        <w:noProof/>
        <w:lang w:val="en-AU" w:eastAsia="en-AU"/>
      </w:rPr>
      <w:drawing>
        <wp:inline distT="0" distB="0" distL="0" distR="0" wp14:anchorId="01AD5E9C" wp14:editId="7313465C">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194A82" w:rsidRPr="00CD0E4B" w:rsidRDefault="00194A82" w:rsidP="004839E3">
    <w:pPr>
      <w:pStyle w:val="Footer"/>
      <w:rPr>
        <w:color w:val="ACD08C" w:themeColor="accent3"/>
      </w:rPr>
    </w:pPr>
    <w:r w:rsidRPr="00CD0E4B">
      <w:rPr>
        <w:color w:val="ACD08C" w:themeColor="accent3"/>
      </w:rPr>
      <w:t>DFAT.GOV.AU</w:t>
    </w:r>
  </w:p>
  <w:p w:rsidR="00194A82" w:rsidRPr="004839E3" w:rsidRDefault="00194A82"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4839E3" w:rsidRDefault="00194A82"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6D5697B0" wp14:editId="2E062F4D">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194A82" w:rsidRDefault="00194A82"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Default="00194A82" w:rsidP="004839E3">
    <w:pPr>
      <w:pStyle w:val="Footer"/>
      <w:rPr>
        <w:lang w:val="en-AU"/>
      </w:rPr>
    </w:pPr>
  </w:p>
  <w:p w:rsidR="00194A82" w:rsidRDefault="00194A82" w:rsidP="004839E3">
    <w:pPr>
      <w:pStyle w:val="Footer"/>
    </w:pPr>
  </w:p>
  <w:p w:rsidR="00194A82" w:rsidRPr="00CD0E4B" w:rsidRDefault="00194A82" w:rsidP="004839E3">
    <w:pPr>
      <w:pStyle w:val="Footer"/>
    </w:pPr>
    <w:r w:rsidRPr="00CD0E4B">
      <w:rPr>
        <w:noProof/>
        <w:lang w:val="en-AU" w:eastAsia="en-AU"/>
      </w:rPr>
      <w:drawing>
        <wp:inline distT="0" distB="0" distL="0" distR="0" wp14:anchorId="6E596D28" wp14:editId="77BD76FD">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194A82" w:rsidRPr="00CD0E4B" w:rsidRDefault="00194A82" w:rsidP="004839E3">
    <w:pPr>
      <w:pStyle w:val="Footer"/>
      <w:rPr>
        <w:color w:val="ACD08C" w:themeColor="accent3"/>
      </w:rPr>
    </w:pPr>
    <w:r w:rsidRPr="00CD0E4B">
      <w:rPr>
        <w:color w:val="ACD08C" w:themeColor="accent3"/>
      </w:rPr>
      <w:t>DFAT.GOV.AU</w:t>
    </w:r>
  </w:p>
  <w:p w:rsidR="00194A82" w:rsidRPr="004839E3" w:rsidRDefault="00194A82"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E90" w:rsidRPr="008C5A0E" w:rsidRDefault="007F5E90" w:rsidP="001D663E">
      <w:pPr>
        <w:pStyle w:val="Footer"/>
        <w:pBdr>
          <w:top w:val="single" w:sz="4" w:space="1" w:color="495965" w:themeColor="text2"/>
        </w:pBdr>
      </w:pPr>
    </w:p>
  </w:footnote>
  <w:footnote w:type="continuationSeparator" w:id="0">
    <w:p w:rsidR="007F5E90" w:rsidRDefault="007F5E90" w:rsidP="00EF4574">
      <w:pPr>
        <w:spacing w:before="0" w:after="0" w:line="240" w:lineRule="auto"/>
      </w:pPr>
      <w:r>
        <w:continuationSeparator/>
      </w:r>
    </w:p>
  </w:footnote>
  <w:footnote w:id="1">
    <w:p w:rsidR="00194A82" w:rsidRPr="005F10B1" w:rsidRDefault="00194A82">
      <w:pPr>
        <w:pStyle w:val="FootnoteText"/>
        <w:rPr>
          <w:lang w:val="en-AU"/>
        </w:rPr>
      </w:pPr>
      <w:r>
        <w:rPr>
          <w:rStyle w:val="FootnoteReference"/>
        </w:rPr>
        <w:footnoteRef/>
      </w:r>
      <w:r>
        <w:t xml:space="preserve"> Compared, for example, to 1.2 per cent in Cambodia. </w:t>
      </w:r>
      <w:r w:rsidRPr="005F10B1">
        <w:rPr>
          <w:u w:val="single"/>
        </w:rPr>
        <w:t>Economic Trends and prospects in developing Southeast Asia</w:t>
      </w:r>
      <w:r>
        <w:t>, 2017, ADB.</w:t>
      </w:r>
    </w:p>
  </w:footnote>
  <w:footnote w:id="2">
    <w:p w:rsidR="00194A82" w:rsidRPr="002C2205" w:rsidRDefault="00194A82">
      <w:pPr>
        <w:pStyle w:val="FootnoteText"/>
        <w:rPr>
          <w:lang w:val="en-AU"/>
        </w:rPr>
      </w:pPr>
      <w:r>
        <w:rPr>
          <w:rStyle w:val="FootnoteReference"/>
        </w:rPr>
        <w:footnoteRef/>
      </w:r>
      <w:r>
        <w:t xml:space="preserve"> </w:t>
      </w:r>
      <w:r>
        <w:rPr>
          <w:lang w:val="en-AU"/>
        </w:rPr>
        <w:t>System Country Diagnosis, World Bank, 2016.</w:t>
      </w:r>
    </w:p>
  </w:footnote>
  <w:footnote w:id="3">
    <w:p w:rsidR="00194A82" w:rsidRDefault="00194A82">
      <w:pPr>
        <w:pStyle w:val="FootnoteText"/>
      </w:pPr>
      <w:r>
        <w:rPr>
          <w:rStyle w:val="FootnoteReference"/>
        </w:rPr>
        <w:footnoteRef/>
      </w:r>
      <w:r>
        <w:t xml:space="preserve"> </w:t>
      </w:r>
      <w:r w:rsidRPr="00225F93">
        <w:t>Building Women’s Leadership Contr</w:t>
      </w:r>
      <w:r>
        <w:t>ibutions of Australian Awards, Office of Development Effectiveness (</w:t>
      </w:r>
      <w:r w:rsidRPr="00225F93">
        <w:t>ODE</w:t>
      </w:r>
      <w:r>
        <w:t>),</w:t>
      </w:r>
      <w:r w:rsidRPr="00225F93">
        <w:t xml:space="preserve"> 2015</w:t>
      </w:r>
      <w:r>
        <w:t>.</w:t>
      </w:r>
    </w:p>
    <w:p w:rsidR="00194A82" w:rsidRPr="00225F93" w:rsidRDefault="00194A82">
      <w:pPr>
        <w:pStyle w:val="FootnoteText"/>
        <w:rPr>
          <w:lang w:val="en-AU"/>
        </w:rPr>
      </w:pPr>
      <w:r w:rsidRPr="00225F93">
        <w:rPr>
          <w:lang w:val="en-AU"/>
        </w:rPr>
        <w:t>Analytical Study of Wom</w:t>
      </w:r>
      <w:r>
        <w:rPr>
          <w:lang w:val="en-AU"/>
        </w:rPr>
        <w:t>en's Leadership in the Lao PDR, Laos Australia Institute, 2015.</w:t>
      </w:r>
    </w:p>
  </w:footnote>
  <w:footnote w:id="4">
    <w:p w:rsidR="00194A82" w:rsidRPr="00BE714B" w:rsidRDefault="00194A82">
      <w:pPr>
        <w:pStyle w:val="FootnoteText"/>
        <w:rPr>
          <w:lang w:val="en-AU"/>
        </w:rPr>
      </w:pPr>
      <w:r>
        <w:rPr>
          <w:rStyle w:val="FootnoteReference"/>
        </w:rPr>
        <w:footnoteRef/>
      </w:r>
      <w:r>
        <w:t xml:space="preserve"> </w:t>
      </w:r>
      <w:r>
        <w:rPr>
          <w:lang w:val="en-AU"/>
        </w:rPr>
        <w:t>Through the program 18 people are being trained, including 12 with a disability (30% female).</w:t>
      </w:r>
    </w:p>
  </w:footnote>
  <w:footnote w:id="5">
    <w:p w:rsidR="006C0A88" w:rsidRPr="006C0A88" w:rsidRDefault="006C0A88">
      <w:pPr>
        <w:pStyle w:val="FootnoteText"/>
        <w:rPr>
          <w:lang w:val="en-AU"/>
        </w:rPr>
      </w:pPr>
      <w:r>
        <w:rPr>
          <w:rStyle w:val="FootnoteReference"/>
        </w:rPr>
        <w:footnoteRef/>
      </w:r>
      <w:r>
        <w:t xml:space="preserve"> </w:t>
      </w:r>
      <w:r>
        <w:rPr>
          <w:lang w:val="en-AU"/>
        </w:rPr>
        <w:t>Includes regional activities reported in the ASEAN and Mekong Program APPR.</w:t>
      </w:r>
    </w:p>
  </w:footnote>
  <w:footnote w:id="6">
    <w:p w:rsidR="00194A82" w:rsidRPr="00E22603" w:rsidRDefault="00194A82">
      <w:pPr>
        <w:pStyle w:val="FootnoteText"/>
        <w:rPr>
          <w:lang w:val="en-AU"/>
        </w:rPr>
      </w:pPr>
      <w:r>
        <w:rPr>
          <w:rStyle w:val="FootnoteReference"/>
        </w:rPr>
        <w:footnoteRef/>
      </w:r>
      <w:r>
        <w:t xml:space="preserve"> </w:t>
      </w:r>
      <w:r>
        <w:rPr>
          <w:lang w:val="en-AU"/>
        </w:rPr>
        <w:t>World Bank Investment Climate Report 2016</w:t>
      </w:r>
    </w:p>
  </w:footnote>
  <w:footnote w:id="7">
    <w:p w:rsidR="00194A82" w:rsidRPr="005475D1" w:rsidRDefault="00194A82">
      <w:pPr>
        <w:pStyle w:val="FootnoteText"/>
        <w:rPr>
          <w:lang w:val="en-AU"/>
        </w:rPr>
      </w:pPr>
      <w:r>
        <w:rPr>
          <w:rStyle w:val="FootnoteReference"/>
        </w:rPr>
        <w:footnoteRef/>
      </w:r>
      <w:r>
        <w:t xml:space="preserve"> </w:t>
      </w:r>
      <w:r w:rsidRPr="005475D1">
        <w:t>Net primary enrolment has plateaued in recent years (at around 97.8 per cent).</w:t>
      </w:r>
    </w:p>
  </w:footnote>
  <w:footnote w:id="8">
    <w:p w:rsidR="00194A82" w:rsidRPr="00183CE1" w:rsidRDefault="00194A82">
      <w:pPr>
        <w:pStyle w:val="FootnoteText"/>
        <w:rPr>
          <w:lang w:val="en-AU"/>
        </w:rPr>
      </w:pPr>
      <w:r>
        <w:rPr>
          <w:rStyle w:val="FootnoteReference"/>
        </w:rPr>
        <w:footnoteRef/>
      </w:r>
      <w:r>
        <w:t xml:space="preserve"> </w:t>
      </w:r>
      <w:r w:rsidRPr="00183CE1">
        <w:rPr>
          <w:u w:val="single"/>
        </w:rPr>
        <w:t>Reducing Early Grade Dropout and Low Achievement in Lao PDR:  Root Causes Research and Possible Interventions</w:t>
      </w:r>
      <w:r>
        <w:t xml:space="preserve">, World Bank, </w:t>
      </w:r>
      <w:r w:rsidRPr="00183CE1">
        <w:t>May 2</w:t>
      </w:r>
      <w:r>
        <w:t>0</w:t>
      </w:r>
      <w:r w:rsidRPr="00183CE1">
        <w:t>16</w:t>
      </w:r>
      <w:r>
        <w:t>, p</w:t>
      </w:r>
      <w:r w:rsidRPr="00183CE1">
        <w:t xml:space="preserve">  12.</w:t>
      </w:r>
    </w:p>
  </w:footnote>
  <w:footnote w:id="9">
    <w:p w:rsidR="00194A82" w:rsidRPr="000830AD" w:rsidRDefault="00194A82" w:rsidP="00515EE5">
      <w:pPr>
        <w:pStyle w:val="FootnoteText"/>
        <w:rPr>
          <w:lang w:val="en-AU"/>
        </w:rPr>
      </w:pPr>
      <w:r>
        <w:rPr>
          <w:rStyle w:val="FootnoteReference"/>
        </w:rPr>
        <w:footnoteRef/>
      </w:r>
      <w:r>
        <w:t xml:space="preserve"> </w:t>
      </w:r>
      <w:r>
        <w:rPr>
          <w:lang w:val="en-AU"/>
        </w:rPr>
        <w:t>LADLF Rapid Appraisal of the BEQUAL Design,2016; LADLF Decision-making Ecosystem Study2017.</w:t>
      </w:r>
    </w:p>
  </w:footnote>
  <w:footnote w:id="10">
    <w:p w:rsidR="00194A82" w:rsidRPr="009D1D60" w:rsidRDefault="00194A82" w:rsidP="00515EE5">
      <w:pPr>
        <w:pStyle w:val="FootnoteText"/>
        <w:rPr>
          <w:lang w:val="en-AU"/>
        </w:rPr>
      </w:pPr>
      <w:r>
        <w:rPr>
          <w:rStyle w:val="FootnoteReference"/>
        </w:rPr>
        <w:footnoteRef/>
      </w:r>
      <w:r>
        <w:t xml:space="preserve"> </w:t>
      </w:r>
      <w:r>
        <w:rPr>
          <w:lang w:val="en-AU"/>
        </w:rPr>
        <w:t>BEQUAL MTR, Aide Memoire, 25 August 2017.</w:t>
      </w:r>
    </w:p>
  </w:footnote>
  <w:footnote w:id="11">
    <w:p w:rsidR="00194A82" w:rsidRPr="00D10A4E" w:rsidRDefault="00194A82" w:rsidP="005B5C5A">
      <w:pPr>
        <w:pStyle w:val="FootnoteText"/>
        <w:rPr>
          <w:lang w:val="en-AU"/>
        </w:rPr>
      </w:pPr>
      <w:r>
        <w:rPr>
          <w:rStyle w:val="FootnoteReference"/>
        </w:rPr>
        <w:footnoteRef/>
      </w:r>
      <w:r>
        <w:t xml:space="preserve"> Ministry of Labour and Social Welfare </w:t>
      </w:r>
      <w:r>
        <w:rPr>
          <w:lang w:val="en-AU"/>
        </w:rPr>
        <w:t>Report to National Assembly on the implementation of the National Socio-Economic Development Plan 2017.</w:t>
      </w:r>
    </w:p>
  </w:footnote>
  <w:footnote w:id="12">
    <w:p w:rsidR="00194A82" w:rsidRDefault="00194A82" w:rsidP="004E621A">
      <w:pPr>
        <w:pStyle w:val="FootnoteText"/>
      </w:pPr>
      <w:r>
        <w:rPr>
          <w:rStyle w:val="FootnoteReference"/>
        </w:rPr>
        <w:footnoteRef/>
      </w:r>
      <w:r>
        <w:t xml:space="preserve"> </w:t>
      </w:r>
      <w:r w:rsidRPr="00225F93">
        <w:t>Building Women’s Leadership Contr</w:t>
      </w:r>
      <w:r>
        <w:t>ibutions of Australian Awards, Office of Development Effectiveness (</w:t>
      </w:r>
      <w:r w:rsidRPr="00225F93">
        <w:t>ODE</w:t>
      </w:r>
      <w:r>
        <w:t>),</w:t>
      </w:r>
      <w:r w:rsidRPr="00225F93">
        <w:t xml:space="preserve"> 2015</w:t>
      </w:r>
      <w:r>
        <w:t>.</w:t>
      </w:r>
    </w:p>
    <w:p w:rsidR="00194A82" w:rsidRPr="004E621A" w:rsidRDefault="00194A82" w:rsidP="004E621A">
      <w:pPr>
        <w:pStyle w:val="FootnoteText"/>
        <w:rPr>
          <w:lang w:val="en-AU"/>
        </w:rPr>
      </w:pPr>
      <w:r w:rsidRPr="00225F93">
        <w:rPr>
          <w:lang w:val="en-AU"/>
        </w:rPr>
        <w:t>Analytical Study of Wom</w:t>
      </w:r>
      <w:r>
        <w:rPr>
          <w:lang w:val="en-AU"/>
        </w:rPr>
        <w:t>en's Leadership in the Lao PDR, Laos Australia Institute, 2015.</w:t>
      </w:r>
    </w:p>
  </w:footnote>
  <w:footnote w:id="13">
    <w:p w:rsidR="00194A82" w:rsidRPr="008450C0" w:rsidRDefault="00194A82">
      <w:pPr>
        <w:pStyle w:val="FootnoteText"/>
        <w:rPr>
          <w:lang w:val="en-AU"/>
        </w:rPr>
      </w:pPr>
      <w:r>
        <w:rPr>
          <w:rStyle w:val="FootnoteReference"/>
        </w:rPr>
        <w:footnoteRef/>
      </w:r>
      <w:r>
        <w:t xml:space="preserve"> </w:t>
      </w:r>
      <w:r w:rsidRPr="008450C0">
        <w:rPr>
          <w:u w:val="single"/>
          <w:lang w:val="en-AU"/>
        </w:rPr>
        <w:t>Impact Assessment Survey of the Business Assistance Facility</w:t>
      </w:r>
      <w:r>
        <w:rPr>
          <w:lang w:val="en-AU"/>
        </w:rPr>
        <w:t>, National Implementation Unit, Ministry of Industry and Commerce, 28 March 2017.</w:t>
      </w:r>
    </w:p>
  </w:footnote>
  <w:footnote w:id="14">
    <w:p w:rsidR="00194A82" w:rsidRPr="00AF4756" w:rsidRDefault="00194A82">
      <w:pPr>
        <w:pStyle w:val="FootnoteText"/>
        <w:rPr>
          <w:lang w:val="en-AU"/>
        </w:rPr>
      </w:pPr>
      <w:r>
        <w:rPr>
          <w:rStyle w:val="FootnoteReference"/>
        </w:rPr>
        <w:footnoteRef/>
      </w:r>
      <w:r>
        <w:t xml:space="preserve"> </w:t>
      </w:r>
      <w:r w:rsidRPr="00AF4756">
        <w:rPr>
          <w:u w:val="single"/>
          <w:lang w:val="en-AU"/>
        </w:rPr>
        <w:t>Implementation Completion and Results Report: Poverty Reduction Fund Project II</w:t>
      </w:r>
      <w:r>
        <w:rPr>
          <w:lang w:val="en-AU"/>
        </w:rPr>
        <w:t>, World Bank, 26 June 2017, p. 11. Total project beneficiaries reached was 970,431 compared with a target of 700,000 (139% achievement rate; 49% female; 72% ethnic group).</w:t>
      </w:r>
    </w:p>
  </w:footnote>
  <w:footnote w:id="15">
    <w:p w:rsidR="00194A82" w:rsidRPr="005C0862" w:rsidRDefault="00194A82">
      <w:pPr>
        <w:pStyle w:val="FootnoteText"/>
        <w:rPr>
          <w:lang w:val="en-AU"/>
        </w:rPr>
      </w:pPr>
      <w:r>
        <w:rPr>
          <w:rStyle w:val="FootnoteReference"/>
        </w:rPr>
        <w:footnoteRef/>
      </w:r>
      <w:r>
        <w:t xml:space="preserve"> </w:t>
      </w:r>
      <w:r w:rsidRPr="005C0862">
        <w:rPr>
          <w:u w:val="single"/>
          <w:lang w:val="en-AU"/>
        </w:rPr>
        <w:t>Lao Poverty Reduction Fund Phase II: Impact Evaluation: Final Report</w:t>
      </w:r>
      <w:r>
        <w:rPr>
          <w:lang w:val="en-AU"/>
        </w:rPr>
        <w:t>, World Bank, 1 October 2016.</w:t>
      </w:r>
    </w:p>
  </w:footnote>
  <w:footnote w:id="16">
    <w:p w:rsidR="00194A82" w:rsidRPr="00251C20" w:rsidRDefault="00194A82">
      <w:pPr>
        <w:pStyle w:val="FootnoteText"/>
        <w:rPr>
          <w:lang w:val="en-AU"/>
        </w:rPr>
      </w:pPr>
      <w:r>
        <w:rPr>
          <w:rStyle w:val="FootnoteReference"/>
        </w:rPr>
        <w:footnoteRef/>
      </w:r>
      <w:r>
        <w:t xml:space="preserve"> </w:t>
      </w:r>
      <w:r>
        <w:rPr>
          <w:lang w:val="en-AU"/>
        </w:rPr>
        <w:t>Over the reporting period, 10 evaluative studies were commissioned through the Learning Facility focusing on the targeting, context, and effectiveness of BEQUAL interventions.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4C" w:rsidRDefault="00695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33501" w:rsidRDefault="00194A82" w:rsidP="008F56A8">
    <w:pPr>
      <w:pStyle w:val="Header"/>
      <w:jc w:val="left"/>
    </w:pPr>
    <w:r>
      <w:rPr>
        <w:noProof/>
        <w:lang w:val="en-AU" w:eastAsia="en-AU"/>
      </w:rPr>
      <w:drawing>
        <wp:anchor distT="0" distB="0" distL="114300" distR="114300" simplePos="0" relativeHeight="251671552" behindDoc="1" locked="1" layoutInCell="1" allowOverlap="1" wp14:anchorId="6D514D52" wp14:editId="6310417E">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D352D" w:rsidRDefault="00194A82" w:rsidP="003D352D">
    <w:pPr>
      <w:pStyle w:val="Header"/>
      <w:jc w:val="left"/>
    </w:pPr>
    <w:r>
      <w:rPr>
        <w:noProof/>
        <w:lang w:val="en-AU" w:eastAsia="en-AU"/>
      </w:rPr>
      <w:drawing>
        <wp:anchor distT="0" distB="0" distL="114300" distR="114300" simplePos="0" relativeHeight="251669504" behindDoc="1" locked="1" layoutInCell="1" allowOverlap="1" wp14:anchorId="457F2066" wp14:editId="390AC5E4">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33501" w:rsidRDefault="00194A82" w:rsidP="008F56A8">
    <w:pPr>
      <w:pStyle w:val="Header"/>
      <w:jc w:val="left"/>
    </w:pPr>
    <w:r>
      <w:rPr>
        <w:noProof/>
        <w:lang w:val="en-AU" w:eastAsia="en-AU"/>
      </w:rPr>
      <w:drawing>
        <wp:anchor distT="0" distB="0" distL="114300" distR="114300" simplePos="0" relativeHeight="251685888" behindDoc="1" locked="1" layoutInCell="1" allowOverlap="1" wp14:anchorId="3E517A42" wp14:editId="56CC1549">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D352D" w:rsidRDefault="00194A82" w:rsidP="003D352D">
    <w:pPr>
      <w:pStyle w:val="Header"/>
      <w:jc w:val="left"/>
    </w:pPr>
    <w:r>
      <w:rPr>
        <w:noProof/>
        <w:lang w:val="en-AU" w:eastAsia="en-AU"/>
      </w:rPr>
      <w:drawing>
        <wp:anchor distT="0" distB="0" distL="114300" distR="114300" simplePos="0" relativeHeight="251673600" behindDoc="1" locked="1" layoutInCell="1" allowOverlap="1" wp14:anchorId="1D2A4C2A" wp14:editId="7AB8ACA3">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33501" w:rsidRDefault="00194A82" w:rsidP="008F56A8">
    <w:pPr>
      <w:pStyle w:val="Header"/>
      <w:jc w:val="left"/>
    </w:pPr>
    <w:r>
      <w:rPr>
        <w:noProof/>
        <w:lang w:val="en-AU" w:eastAsia="en-AU"/>
      </w:rPr>
      <w:drawing>
        <wp:anchor distT="0" distB="0" distL="114300" distR="114300" simplePos="0" relativeHeight="251687936" behindDoc="1" locked="1" layoutInCell="1" allowOverlap="1" wp14:anchorId="07084628" wp14:editId="63781225">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D352D" w:rsidRDefault="00194A82" w:rsidP="003D352D">
    <w:pPr>
      <w:pStyle w:val="Header"/>
      <w:jc w:val="left"/>
    </w:pPr>
    <w:r>
      <w:rPr>
        <w:noProof/>
        <w:lang w:val="en-AU" w:eastAsia="en-AU"/>
      </w:rPr>
      <w:drawing>
        <wp:anchor distT="0" distB="0" distL="114300" distR="114300" simplePos="0" relativeHeight="251675648" behindDoc="1" locked="1" layoutInCell="1" allowOverlap="1" wp14:anchorId="105CF654" wp14:editId="5962A2AC">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82" w:rsidRPr="00333501" w:rsidRDefault="00194A82" w:rsidP="008F56A8">
    <w:pPr>
      <w:pStyle w:val="Header"/>
      <w:jc w:val="left"/>
    </w:pPr>
    <w:r>
      <w:rPr>
        <w:noProof/>
        <w:lang w:val="en-AU" w:eastAsia="en-AU"/>
      </w:rPr>
      <w:drawing>
        <wp:anchor distT="0" distB="0" distL="114300" distR="114300" simplePos="0" relativeHeight="251683840" behindDoc="1" locked="1" layoutInCell="1" allowOverlap="1" wp14:anchorId="59BEEF80" wp14:editId="0CF6F1B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91066"/>
    <w:multiLevelType w:val="hybridMultilevel"/>
    <w:tmpl w:val="A0BAAA94"/>
    <w:lvl w:ilvl="0" w:tplc="8878EE24">
      <w:start w:val="1"/>
      <w:numFmt w:val="bullet"/>
      <w:pStyle w:val="Body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24547F"/>
    <w:multiLevelType w:val="hybridMultilevel"/>
    <w:tmpl w:val="375AF814"/>
    <w:lvl w:ilvl="0" w:tplc="BFA22EE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89829A1"/>
    <w:multiLevelType w:val="hybridMultilevel"/>
    <w:tmpl w:val="6410268E"/>
    <w:lvl w:ilvl="0" w:tplc="722A55B0">
      <w:start w:val="1"/>
      <w:numFmt w:val="bullet"/>
      <w:lvlText w:val="•"/>
      <w:lvlJc w:val="left"/>
      <w:pPr>
        <w:tabs>
          <w:tab w:val="num" w:pos="720"/>
        </w:tabs>
        <w:ind w:left="720" w:hanging="360"/>
      </w:pPr>
      <w:rPr>
        <w:rFonts w:ascii="Arial" w:hAnsi="Arial" w:hint="default"/>
      </w:rPr>
    </w:lvl>
    <w:lvl w:ilvl="1" w:tplc="A2B0B010" w:tentative="1">
      <w:start w:val="1"/>
      <w:numFmt w:val="bullet"/>
      <w:lvlText w:val="•"/>
      <w:lvlJc w:val="left"/>
      <w:pPr>
        <w:tabs>
          <w:tab w:val="num" w:pos="1440"/>
        </w:tabs>
        <w:ind w:left="1440" w:hanging="360"/>
      </w:pPr>
      <w:rPr>
        <w:rFonts w:ascii="Arial" w:hAnsi="Arial" w:hint="default"/>
      </w:rPr>
    </w:lvl>
    <w:lvl w:ilvl="2" w:tplc="0B647B58" w:tentative="1">
      <w:start w:val="1"/>
      <w:numFmt w:val="bullet"/>
      <w:lvlText w:val="•"/>
      <w:lvlJc w:val="left"/>
      <w:pPr>
        <w:tabs>
          <w:tab w:val="num" w:pos="2160"/>
        </w:tabs>
        <w:ind w:left="2160" w:hanging="360"/>
      </w:pPr>
      <w:rPr>
        <w:rFonts w:ascii="Arial" w:hAnsi="Arial" w:hint="default"/>
      </w:rPr>
    </w:lvl>
    <w:lvl w:ilvl="3" w:tplc="75B07A96" w:tentative="1">
      <w:start w:val="1"/>
      <w:numFmt w:val="bullet"/>
      <w:lvlText w:val="•"/>
      <w:lvlJc w:val="left"/>
      <w:pPr>
        <w:tabs>
          <w:tab w:val="num" w:pos="2880"/>
        </w:tabs>
        <w:ind w:left="2880" w:hanging="360"/>
      </w:pPr>
      <w:rPr>
        <w:rFonts w:ascii="Arial" w:hAnsi="Arial" w:hint="default"/>
      </w:rPr>
    </w:lvl>
    <w:lvl w:ilvl="4" w:tplc="581491AA" w:tentative="1">
      <w:start w:val="1"/>
      <w:numFmt w:val="bullet"/>
      <w:lvlText w:val="•"/>
      <w:lvlJc w:val="left"/>
      <w:pPr>
        <w:tabs>
          <w:tab w:val="num" w:pos="3600"/>
        </w:tabs>
        <w:ind w:left="3600" w:hanging="360"/>
      </w:pPr>
      <w:rPr>
        <w:rFonts w:ascii="Arial" w:hAnsi="Arial" w:hint="default"/>
      </w:rPr>
    </w:lvl>
    <w:lvl w:ilvl="5" w:tplc="C78E0C90" w:tentative="1">
      <w:start w:val="1"/>
      <w:numFmt w:val="bullet"/>
      <w:lvlText w:val="•"/>
      <w:lvlJc w:val="left"/>
      <w:pPr>
        <w:tabs>
          <w:tab w:val="num" w:pos="4320"/>
        </w:tabs>
        <w:ind w:left="4320" w:hanging="360"/>
      </w:pPr>
      <w:rPr>
        <w:rFonts w:ascii="Arial" w:hAnsi="Arial" w:hint="default"/>
      </w:rPr>
    </w:lvl>
    <w:lvl w:ilvl="6" w:tplc="633EA198" w:tentative="1">
      <w:start w:val="1"/>
      <w:numFmt w:val="bullet"/>
      <w:lvlText w:val="•"/>
      <w:lvlJc w:val="left"/>
      <w:pPr>
        <w:tabs>
          <w:tab w:val="num" w:pos="5040"/>
        </w:tabs>
        <w:ind w:left="5040" w:hanging="360"/>
      </w:pPr>
      <w:rPr>
        <w:rFonts w:ascii="Arial" w:hAnsi="Arial" w:hint="default"/>
      </w:rPr>
    </w:lvl>
    <w:lvl w:ilvl="7" w:tplc="E91A394A" w:tentative="1">
      <w:start w:val="1"/>
      <w:numFmt w:val="bullet"/>
      <w:lvlText w:val="•"/>
      <w:lvlJc w:val="left"/>
      <w:pPr>
        <w:tabs>
          <w:tab w:val="num" w:pos="5760"/>
        </w:tabs>
        <w:ind w:left="5760" w:hanging="360"/>
      </w:pPr>
      <w:rPr>
        <w:rFonts w:ascii="Arial" w:hAnsi="Arial" w:hint="default"/>
      </w:rPr>
    </w:lvl>
    <w:lvl w:ilvl="8" w:tplc="214A8F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3C22D6"/>
    <w:multiLevelType w:val="hybridMultilevel"/>
    <w:tmpl w:val="6888B3C2"/>
    <w:lvl w:ilvl="0" w:tplc="8CE4AA5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C26F6B"/>
    <w:multiLevelType w:val="hybridMultilevel"/>
    <w:tmpl w:val="753AD7F0"/>
    <w:lvl w:ilvl="0" w:tplc="9AD6802E">
      <w:start w:val="1"/>
      <w:numFmt w:val="bullet"/>
      <w:lvlText w:val="•"/>
      <w:lvlJc w:val="left"/>
      <w:pPr>
        <w:tabs>
          <w:tab w:val="num" w:pos="720"/>
        </w:tabs>
        <w:ind w:left="720" w:hanging="360"/>
      </w:pPr>
      <w:rPr>
        <w:rFonts w:ascii="Arial" w:hAnsi="Arial" w:hint="default"/>
      </w:rPr>
    </w:lvl>
    <w:lvl w:ilvl="1" w:tplc="EA84813E" w:tentative="1">
      <w:start w:val="1"/>
      <w:numFmt w:val="bullet"/>
      <w:lvlText w:val="•"/>
      <w:lvlJc w:val="left"/>
      <w:pPr>
        <w:tabs>
          <w:tab w:val="num" w:pos="1440"/>
        </w:tabs>
        <w:ind w:left="1440" w:hanging="360"/>
      </w:pPr>
      <w:rPr>
        <w:rFonts w:ascii="Arial" w:hAnsi="Arial" w:hint="default"/>
      </w:rPr>
    </w:lvl>
    <w:lvl w:ilvl="2" w:tplc="956E238E" w:tentative="1">
      <w:start w:val="1"/>
      <w:numFmt w:val="bullet"/>
      <w:lvlText w:val="•"/>
      <w:lvlJc w:val="left"/>
      <w:pPr>
        <w:tabs>
          <w:tab w:val="num" w:pos="2160"/>
        </w:tabs>
        <w:ind w:left="2160" w:hanging="360"/>
      </w:pPr>
      <w:rPr>
        <w:rFonts w:ascii="Arial" w:hAnsi="Arial" w:hint="default"/>
      </w:rPr>
    </w:lvl>
    <w:lvl w:ilvl="3" w:tplc="493626D4" w:tentative="1">
      <w:start w:val="1"/>
      <w:numFmt w:val="bullet"/>
      <w:lvlText w:val="•"/>
      <w:lvlJc w:val="left"/>
      <w:pPr>
        <w:tabs>
          <w:tab w:val="num" w:pos="2880"/>
        </w:tabs>
        <w:ind w:left="2880" w:hanging="360"/>
      </w:pPr>
      <w:rPr>
        <w:rFonts w:ascii="Arial" w:hAnsi="Arial" w:hint="default"/>
      </w:rPr>
    </w:lvl>
    <w:lvl w:ilvl="4" w:tplc="F1DACEA4" w:tentative="1">
      <w:start w:val="1"/>
      <w:numFmt w:val="bullet"/>
      <w:lvlText w:val="•"/>
      <w:lvlJc w:val="left"/>
      <w:pPr>
        <w:tabs>
          <w:tab w:val="num" w:pos="3600"/>
        </w:tabs>
        <w:ind w:left="3600" w:hanging="360"/>
      </w:pPr>
      <w:rPr>
        <w:rFonts w:ascii="Arial" w:hAnsi="Arial" w:hint="default"/>
      </w:rPr>
    </w:lvl>
    <w:lvl w:ilvl="5" w:tplc="E1564C38" w:tentative="1">
      <w:start w:val="1"/>
      <w:numFmt w:val="bullet"/>
      <w:lvlText w:val="•"/>
      <w:lvlJc w:val="left"/>
      <w:pPr>
        <w:tabs>
          <w:tab w:val="num" w:pos="4320"/>
        </w:tabs>
        <w:ind w:left="4320" w:hanging="360"/>
      </w:pPr>
      <w:rPr>
        <w:rFonts w:ascii="Arial" w:hAnsi="Arial" w:hint="default"/>
      </w:rPr>
    </w:lvl>
    <w:lvl w:ilvl="6" w:tplc="923C7F8A" w:tentative="1">
      <w:start w:val="1"/>
      <w:numFmt w:val="bullet"/>
      <w:lvlText w:val="•"/>
      <w:lvlJc w:val="left"/>
      <w:pPr>
        <w:tabs>
          <w:tab w:val="num" w:pos="5040"/>
        </w:tabs>
        <w:ind w:left="5040" w:hanging="360"/>
      </w:pPr>
      <w:rPr>
        <w:rFonts w:ascii="Arial" w:hAnsi="Arial" w:hint="default"/>
      </w:rPr>
    </w:lvl>
    <w:lvl w:ilvl="7" w:tplc="3A6C9F82" w:tentative="1">
      <w:start w:val="1"/>
      <w:numFmt w:val="bullet"/>
      <w:lvlText w:val="•"/>
      <w:lvlJc w:val="left"/>
      <w:pPr>
        <w:tabs>
          <w:tab w:val="num" w:pos="5760"/>
        </w:tabs>
        <w:ind w:left="5760" w:hanging="360"/>
      </w:pPr>
      <w:rPr>
        <w:rFonts w:ascii="Arial" w:hAnsi="Arial" w:hint="default"/>
      </w:rPr>
    </w:lvl>
    <w:lvl w:ilvl="8" w:tplc="C01A4B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F174610"/>
    <w:multiLevelType w:val="hybridMultilevel"/>
    <w:tmpl w:val="29F2A63C"/>
    <w:lvl w:ilvl="0" w:tplc="CACED108">
      <w:start w:val="1"/>
      <w:numFmt w:val="bullet"/>
      <w:lvlText w:val="•"/>
      <w:lvlJc w:val="left"/>
      <w:pPr>
        <w:tabs>
          <w:tab w:val="num" w:pos="720"/>
        </w:tabs>
        <w:ind w:left="720" w:hanging="360"/>
      </w:pPr>
      <w:rPr>
        <w:rFonts w:ascii="Arial" w:hAnsi="Arial" w:hint="default"/>
      </w:rPr>
    </w:lvl>
    <w:lvl w:ilvl="1" w:tplc="AA3ADC34" w:tentative="1">
      <w:start w:val="1"/>
      <w:numFmt w:val="bullet"/>
      <w:lvlText w:val="•"/>
      <w:lvlJc w:val="left"/>
      <w:pPr>
        <w:tabs>
          <w:tab w:val="num" w:pos="1440"/>
        </w:tabs>
        <w:ind w:left="1440" w:hanging="360"/>
      </w:pPr>
      <w:rPr>
        <w:rFonts w:ascii="Arial" w:hAnsi="Arial" w:hint="default"/>
      </w:rPr>
    </w:lvl>
    <w:lvl w:ilvl="2" w:tplc="5EF08AC4" w:tentative="1">
      <w:start w:val="1"/>
      <w:numFmt w:val="bullet"/>
      <w:lvlText w:val="•"/>
      <w:lvlJc w:val="left"/>
      <w:pPr>
        <w:tabs>
          <w:tab w:val="num" w:pos="2160"/>
        </w:tabs>
        <w:ind w:left="2160" w:hanging="360"/>
      </w:pPr>
      <w:rPr>
        <w:rFonts w:ascii="Arial" w:hAnsi="Arial" w:hint="default"/>
      </w:rPr>
    </w:lvl>
    <w:lvl w:ilvl="3" w:tplc="EECCB6C8" w:tentative="1">
      <w:start w:val="1"/>
      <w:numFmt w:val="bullet"/>
      <w:lvlText w:val="•"/>
      <w:lvlJc w:val="left"/>
      <w:pPr>
        <w:tabs>
          <w:tab w:val="num" w:pos="2880"/>
        </w:tabs>
        <w:ind w:left="2880" w:hanging="360"/>
      </w:pPr>
      <w:rPr>
        <w:rFonts w:ascii="Arial" w:hAnsi="Arial" w:hint="default"/>
      </w:rPr>
    </w:lvl>
    <w:lvl w:ilvl="4" w:tplc="AF027EB6" w:tentative="1">
      <w:start w:val="1"/>
      <w:numFmt w:val="bullet"/>
      <w:lvlText w:val="•"/>
      <w:lvlJc w:val="left"/>
      <w:pPr>
        <w:tabs>
          <w:tab w:val="num" w:pos="3600"/>
        </w:tabs>
        <w:ind w:left="3600" w:hanging="360"/>
      </w:pPr>
      <w:rPr>
        <w:rFonts w:ascii="Arial" w:hAnsi="Arial" w:hint="default"/>
      </w:rPr>
    </w:lvl>
    <w:lvl w:ilvl="5" w:tplc="86364638" w:tentative="1">
      <w:start w:val="1"/>
      <w:numFmt w:val="bullet"/>
      <w:lvlText w:val="•"/>
      <w:lvlJc w:val="left"/>
      <w:pPr>
        <w:tabs>
          <w:tab w:val="num" w:pos="4320"/>
        </w:tabs>
        <w:ind w:left="4320" w:hanging="360"/>
      </w:pPr>
      <w:rPr>
        <w:rFonts w:ascii="Arial" w:hAnsi="Arial" w:hint="default"/>
      </w:rPr>
    </w:lvl>
    <w:lvl w:ilvl="6" w:tplc="5CCEBA60" w:tentative="1">
      <w:start w:val="1"/>
      <w:numFmt w:val="bullet"/>
      <w:lvlText w:val="•"/>
      <w:lvlJc w:val="left"/>
      <w:pPr>
        <w:tabs>
          <w:tab w:val="num" w:pos="5040"/>
        </w:tabs>
        <w:ind w:left="5040" w:hanging="360"/>
      </w:pPr>
      <w:rPr>
        <w:rFonts w:ascii="Arial" w:hAnsi="Arial" w:hint="default"/>
      </w:rPr>
    </w:lvl>
    <w:lvl w:ilvl="7" w:tplc="8CA87A6C" w:tentative="1">
      <w:start w:val="1"/>
      <w:numFmt w:val="bullet"/>
      <w:lvlText w:val="•"/>
      <w:lvlJc w:val="left"/>
      <w:pPr>
        <w:tabs>
          <w:tab w:val="num" w:pos="5760"/>
        </w:tabs>
        <w:ind w:left="5760" w:hanging="360"/>
      </w:pPr>
      <w:rPr>
        <w:rFonts w:ascii="Arial" w:hAnsi="Arial" w:hint="default"/>
      </w:rPr>
    </w:lvl>
    <w:lvl w:ilvl="8" w:tplc="104C9C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8A1CC6"/>
    <w:multiLevelType w:val="hybridMultilevel"/>
    <w:tmpl w:val="ED34641C"/>
    <w:lvl w:ilvl="0" w:tplc="E7ECF5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8490F"/>
    <w:multiLevelType w:val="hybridMultilevel"/>
    <w:tmpl w:val="2C74A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9"/>
  </w:num>
  <w:num w:numId="23">
    <w:abstractNumId w:val="19"/>
  </w:num>
  <w:num w:numId="24">
    <w:abstractNumId w:val="28"/>
  </w:num>
  <w:num w:numId="25">
    <w:abstractNumId w:val="28"/>
  </w:num>
  <w:num w:numId="26">
    <w:abstractNumId w:val="28"/>
  </w:num>
  <w:num w:numId="27">
    <w:abstractNumId w:val="27"/>
  </w:num>
  <w:num w:numId="28">
    <w:abstractNumId w:val="11"/>
  </w:num>
  <w:num w:numId="29">
    <w:abstractNumId w:val="11"/>
  </w:num>
  <w:num w:numId="30">
    <w:abstractNumId w:val="11"/>
  </w:num>
  <w:num w:numId="31">
    <w:abstractNumId w:val="21"/>
  </w:num>
  <w:num w:numId="32">
    <w:abstractNumId w:val="26"/>
  </w:num>
  <w:num w:numId="33">
    <w:abstractNumId w:val="31"/>
  </w:num>
  <w:num w:numId="34">
    <w:abstractNumId w:val="25"/>
  </w:num>
  <w:num w:numId="35">
    <w:abstractNumId w:val="14"/>
  </w:num>
  <w:num w:numId="36">
    <w:abstractNumId w:val="22"/>
  </w:num>
  <w:num w:numId="37">
    <w:abstractNumId w:val="16"/>
  </w:num>
  <w:num w:numId="38">
    <w:abstractNumId w:val="10"/>
  </w:num>
  <w:num w:numId="39">
    <w:abstractNumId w:val="13"/>
  </w:num>
  <w:num w:numId="40">
    <w:abstractNumId w:val="24"/>
  </w:num>
  <w:num w:numId="41">
    <w:abstractNumId w:val="18"/>
  </w:num>
  <w:num w:numId="42">
    <w:abstractNumId w:val="15"/>
  </w:num>
  <w:num w:numId="43">
    <w:abstractNumId w:val="20"/>
  </w:num>
  <w:num w:numId="44">
    <w:abstractNumId w:val="17"/>
    <w:lvlOverride w:ilvl="0">
      <w:startOverride w:val="1"/>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14"/>
    <w:rsid w:val="00001DA8"/>
    <w:rsid w:val="000055D8"/>
    <w:rsid w:val="0000620F"/>
    <w:rsid w:val="00011F3B"/>
    <w:rsid w:val="00015316"/>
    <w:rsid w:val="00016699"/>
    <w:rsid w:val="0002080A"/>
    <w:rsid w:val="000219BB"/>
    <w:rsid w:val="0002782F"/>
    <w:rsid w:val="00031512"/>
    <w:rsid w:val="00042D7E"/>
    <w:rsid w:val="00053CC9"/>
    <w:rsid w:val="00054E4D"/>
    <w:rsid w:val="00057C66"/>
    <w:rsid w:val="00060073"/>
    <w:rsid w:val="00060268"/>
    <w:rsid w:val="00073CB6"/>
    <w:rsid w:val="00076806"/>
    <w:rsid w:val="00081244"/>
    <w:rsid w:val="000830AD"/>
    <w:rsid w:val="00084483"/>
    <w:rsid w:val="00085190"/>
    <w:rsid w:val="000879E3"/>
    <w:rsid w:val="00094DF2"/>
    <w:rsid w:val="00096020"/>
    <w:rsid w:val="000A0807"/>
    <w:rsid w:val="000A156E"/>
    <w:rsid w:val="000A2F4A"/>
    <w:rsid w:val="000A6C9A"/>
    <w:rsid w:val="000A78AD"/>
    <w:rsid w:val="000B0A14"/>
    <w:rsid w:val="000B12B6"/>
    <w:rsid w:val="000B4A87"/>
    <w:rsid w:val="000C0421"/>
    <w:rsid w:val="000D66D6"/>
    <w:rsid w:val="000E1E2C"/>
    <w:rsid w:val="000E2761"/>
    <w:rsid w:val="000E314A"/>
    <w:rsid w:val="000F0615"/>
    <w:rsid w:val="000F25F2"/>
    <w:rsid w:val="00113F94"/>
    <w:rsid w:val="00117598"/>
    <w:rsid w:val="001209A1"/>
    <w:rsid w:val="0013180C"/>
    <w:rsid w:val="00132EAB"/>
    <w:rsid w:val="0013481F"/>
    <w:rsid w:val="00135C9D"/>
    <w:rsid w:val="001365EF"/>
    <w:rsid w:val="00140963"/>
    <w:rsid w:val="00141AA1"/>
    <w:rsid w:val="001510E1"/>
    <w:rsid w:val="001541EA"/>
    <w:rsid w:val="00160842"/>
    <w:rsid w:val="00161ADF"/>
    <w:rsid w:val="00162DE2"/>
    <w:rsid w:val="00163894"/>
    <w:rsid w:val="00166689"/>
    <w:rsid w:val="00166A79"/>
    <w:rsid w:val="00166DDA"/>
    <w:rsid w:val="00171A4F"/>
    <w:rsid w:val="00171E7A"/>
    <w:rsid w:val="001733F8"/>
    <w:rsid w:val="0017477C"/>
    <w:rsid w:val="001773C6"/>
    <w:rsid w:val="001827E8"/>
    <w:rsid w:val="00183CE1"/>
    <w:rsid w:val="00184F1E"/>
    <w:rsid w:val="001852F4"/>
    <w:rsid w:val="00194A82"/>
    <w:rsid w:val="001D14E2"/>
    <w:rsid w:val="001D663E"/>
    <w:rsid w:val="001E197C"/>
    <w:rsid w:val="001E1DC0"/>
    <w:rsid w:val="001E3D0E"/>
    <w:rsid w:val="001E4E53"/>
    <w:rsid w:val="001F60B9"/>
    <w:rsid w:val="00205166"/>
    <w:rsid w:val="00212A19"/>
    <w:rsid w:val="00225F93"/>
    <w:rsid w:val="00233F8C"/>
    <w:rsid w:val="00236A53"/>
    <w:rsid w:val="00241E94"/>
    <w:rsid w:val="00244204"/>
    <w:rsid w:val="00251C20"/>
    <w:rsid w:val="00253D1A"/>
    <w:rsid w:val="002547FF"/>
    <w:rsid w:val="00254814"/>
    <w:rsid w:val="0026176B"/>
    <w:rsid w:val="0026488A"/>
    <w:rsid w:val="00265F0D"/>
    <w:rsid w:val="0027563E"/>
    <w:rsid w:val="00275DB7"/>
    <w:rsid w:val="002846BC"/>
    <w:rsid w:val="002848BF"/>
    <w:rsid w:val="00284957"/>
    <w:rsid w:val="0028602A"/>
    <w:rsid w:val="002A1B39"/>
    <w:rsid w:val="002A4A0E"/>
    <w:rsid w:val="002A51CA"/>
    <w:rsid w:val="002A62C8"/>
    <w:rsid w:val="002B0AFB"/>
    <w:rsid w:val="002B2C72"/>
    <w:rsid w:val="002B3E95"/>
    <w:rsid w:val="002B5E10"/>
    <w:rsid w:val="002C2205"/>
    <w:rsid w:val="002C78A7"/>
    <w:rsid w:val="002D185E"/>
    <w:rsid w:val="002D7363"/>
    <w:rsid w:val="002D7629"/>
    <w:rsid w:val="002E4B3C"/>
    <w:rsid w:val="003002C0"/>
    <w:rsid w:val="00301144"/>
    <w:rsid w:val="00303529"/>
    <w:rsid w:val="00306045"/>
    <w:rsid w:val="00307CA6"/>
    <w:rsid w:val="00312909"/>
    <w:rsid w:val="00312B7B"/>
    <w:rsid w:val="003148B7"/>
    <w:rsid w:val="003158C3"/>
    <w:rsid w:val="003212D0"/>
    <w:rsid w:val="00326428"/>
    <w:rsid w:val="00326F09"/>
    <w:rsid w:val="003274CD"/>
    <w:rsid w:val="00333501"/>
    <w:rsid w:val="00337434"/>
    <w:rsid w:val="00337CEF"/>
    <w:rsid w:val="003457C4"/>
    <w:rsid w:val="00350621"/>
    <w:rsid w:val="0035119D"/>
    <w:rsid w:val="003518B0"/>
    <w:rsid w:val="00353365"/>
    <w:rsid w:val="00353D5F"/>
    <w:rsid w:val="00355299"/>
    <w:rsid w:val="00360A30"/>
    <w:rsid w:val="00364142"/>
    <w:rsid w:val="003764EE"/>
    <w:rsid w:val="00380104"/>
    <w:rsid w:val="00383458"/>
    <w:rsid w:val="00383D27"/>
    <w:rsid w:val="0038764C"/>
    <w:rsid w:val="00393C86"/>
    <w:rsid w:val="0039654A"/>
    <w:rsid w:val="003975C6"/>
    <w:rsid w:val="003B17B3"/>
    <w:rsid w:val="003B3103"/>
    <w:rsid w:val="003B4F12"/>
    <w:rsid w:val="003B6307"/>
    <w:rsid w:val="003B7FB4"/>
    <w:rsid w:val="003C14B0"/>
    <w:rsid w:val="003C460B"/>
    <w:rsid w:val="003C5F88"/>
    <w:rsid w:val="003D2B3F"/>
    <w:rsid w:val="003D319E"/>
    <w:rsid w:val="003D352D"/>
    <w:rsid w:val="003E305C"/>
    <w:rsid w:val="003E4C54"/>
    <w:rsid w:val="003E53B7"/>
    <w:rsid w:val="003E571C"/>
    <w:rsid w:val="003E7CBB"/>
    <w:rsid w:val="003F2C24"/>
    <w:rsid w:val="003F3369"/>
    <w:rsid w:val="003F6D60"/>
    <w:rsid w:val="003F75C1"/>
    <w:rsid w:val="00400B0F"/>
    <w:rsid w:val="00402ACC"/>
    <w:rsid w:val="00404323"/>
    <w:rsid w:val="00405FBD"/>
    <w:rsid w:val="004120EC"/>
    <w:rsid w:val="004222BC"/>
    <w:rsid w:val="00423F31"/>
    <w:rsid w:val="00427F30"/>
    <w:rsid w:val="00431899"/>
    <w:rsid w:val="00436D8E"/>
    <w:rsid w:val="0044063A"/>
    <w:rsid w:val="00454792"/>
    <w:rsid w:val="00456E7C"/>
    <w:rsid w:val="004655CE"/>
    <w:rsid w:val="00474483"/>
    <w:rsid w:val="00476A91"/>
    <w:rsid w:val="00480116"/>
    <w:rsid w:val="00480422"/>
    <w:rsid w:val="00480CF2"/>
    <w:rsid w:val="00481A0A"/>
    <w:rsid w:val="004832F0"/>
    <w:rsid w:val="004836E2"/>
    <w:rsid w:val="004839E3"/>
    <w:rsid w:val="00486804"/>
    <w:rsid w:val="0049137C"/>
    <w:rsid w:val="00495963"/>
    <w:rsid w:val="004977A1"/>
    <w:rsid w:val="00497CA6"/>
    <w:rsid w:val="004A2293"/>
    <w:rsid w:val="004A31E5"/>
    <w:rsid w:val="004A4D72"/>
    <w:rsid w:val="004B3775"/>
    <w:rsid w:val="004B4227"/>
    <w:rsid w:val="004D0BA0"/>
    <w:rsid w:val="004E0264"/>
    <w:rsid w:val="004E058F"/>
    <w:rsid w:val="004E3476"/>
    <w:rsid w:val="004E3B87"/>
    <w:rsid w:val="004E621A"/>
    <w:rsid w:val="004E700B"/>
    <w:rsid w:val="004F151A"/>
    <w:rsid w:val="004F1BB6"/>
    <w:rsid w:val="004F50DB"/>
    <w:rsid w:val="005002A3"/>
    <w:rsid w:val="0050079E"/>
    <w:rsid w:val="0050290F"/>
    <w:rsid w:val="005036D4"/>
    <w:rsid w:val="00506276"/>
    <w:rsid w:val="00510921"/>
    <w:rsid w:val="00510AD3"/>
    <w:rsid w:val="00512233"/>
    <w:rsid w:val="00513348"/>
    <w:rsid w:val="00515EE5"/>
    <w:rsid w:val="0052003A"/>
    <w:rsid w:val="00524D89"/>
    <w:rsid w:val="0052648B"/>
    <w:rsid w:val="005274AE"/>
    <w:rsid w:val="005318E7"/>
    <w:rsid w:val="00532652"/>
    <w:rsid w:val="00533B5D"/>
    <w:rsid w:val="005475D1"/>
    <w:rsid w:val="005511BF"/>
    <w:rsid w:val="0055169F"/>
    <w:rsid w:val="00553CB5"/>
    <w:rsid w:val="00554598"/>
    <w:rsid w:val="0057148D"/>
    <w:rsid w:val="005718AE"/>
    <w:rsid w:val="00571E3B"/>
    <w:rsid w:val="00576F5C"/>
    <w:rsid w:val="0058180E"/>
    <w:rsid w:val="00585FC8"/>
    <w:rsid w:val="00586C7B"/>
    <w:rsid w:val="0059146A"/>
    <w:rsid w:val="005A08F9"/>
    <w:rsid w:val="005A50D1"/>
    <w:rsid w:val="005A6340"/>
    <w:rsid w:val="005A6FFF"/>
    <w:rsid w:val="005A792E"/>
    <w:rsid w:val="005B1234"/>
    <w:rsid w:val="005B2C52"/>
    <w:rsid w:val="005B5769"/>
    <w:rsid w:val="005B5C5A"/>
    <w:rsid w:val="005B6CF8"/>
    <w:rsid w:val="005C0862"/>
    <w:rsid w:val="005C3F1D"/>
    <w:rsid w:val="005C771A"/>
    <w:rsid w:val="005C78DB"/>
    <w:rsid w:val="005D3377"/>
    <w:rsid w:val="005D3655"/>
    <w:rsid w:val="005E0815"/>
    <w:rsid w:val="005E1F83"/>
    <w:rsid w:val="005E606B"/>
    <w:rsid w:val="005F10B1"/>
    <w:rsid w:val="005F4AF1"/>
    <w:rsid w:val="005F5838"/>
    <w:rsid w:val="005F6105"/>
    <w:rsid w:val="005F68B0"/>
    <w:rsid w:val="00601751"/>
    <w:rsid w:val="00614C7C"/>
    <w:rsid w:val="00621EDF"/>
    <w:rsid w:val="00623BA1"/>
    <w:rsid w:val="00624346"/>
    <w:rsid w:val="00624AAB"/>
    <w:rsid w:val="006346BC"/>
    <w:rsid w:val="00634D99"/>
    <w:rsid w:val="0063503E"/>
    <w:rsid w:val="00651365"/>
    <w:rsid w:val="00657379"/>
    <w:rsid w:val="00660C3C"/>
    <w:rsid w:val="00662729"/>
    <w:rsid w:val="0066652A"/>
    <w:rsid w:val="0067053A"/>
    <w:rsid w:val="00680522"/>
    <w:rsid w:val="00681F08"/>
    <w:rsid w:val="00682167"/>
    <w:rsid w:val="0069504C"/>
    <w:rsid w:val="00695665"/>
    <w:rsid w:val="00695730"/>
    <w:rsid w:val="006A3F67"/>
    <w:rsid w:val="006B17EA"/>
    <w:rsid w:val="006B1A7A"/>
    <w:rsid w:val="006B3774"/>
    <w:rsid w:val="006B521C"/>
    <w:rsid w:val="006C0A88"/>
    <w:rsid w:val="006C2921"/>
    <w:rsid w:val="006C42AF"/>
    <w:rsid w:val="006C76C6"/>
    <w:rsid w:val="006D1399"/>
    <w:rsid w:val="006D446A"/>
    <w:rsid w:val="006E0BDA"/>
    <w:rsid w:val="006E379C"/>
    <w:rsid w:val="006F27B1"/>
    <w:rsid w:val="006F638E"/>
    <w:rsid w:val="00706EFE"/>
    <w:rsid w:val="00711D8E"/>
    <w:rsid w:val="00712672"/>
    <w:rsid w:val="007132EE"/>
    <w:rsid w:val="007201B6"/>
    <w:rsid w:val="00725A8B"/>
    <w:rsid w:val="00732CBC"/>
    <w:rsid w:val="00734E3F"/>
    <w:rsid w:val="00736985"/>
    <w:rsid w:val="00743B6F"/>
    <w:rsid w:val="00743BD4"/>
    <w:rsid w:val="00745DF5"/>
    <w:rsid w:val="00746DE7"/>
    <w:rsid w:val="00761067"/>
    <w:rsid w:val="0076250F"/>
    <w:rsid w:val="00771066"/>
    <w:rsid w:val="00771B53"/>
    <w:rsid w:val="00773E30"/>
    <w:rsid w:val="007822BC"/>
    <w:rsid w:val="00782A64"/>
    <w:rsid w:val="00783C60"/>
    <w:rsid w:val="00783F4C"/>
    <w:rsid w:val="00784031"/>
    <w:rsid w:val="00784034"/>
    <w:rsid w:val="00791DFE"/>
    <w:rsid w:val="0079309E"/>
    <w:rsid w:val="007A272B"/>
    <w:rsid w:val="007A6119"/>
    <w:rsid w:val="007A61AD"/>
    <w:rsid w:val="007B32CD"/>
    <w:rsid w:val="007B3CE4"/>
    <w:rsid w:val="007B6200"/>
    <w:rsid w:val="007C23EE"/>
    <w:rsid w:val="007C4D9F"/>
    <w:rsid w:val="007D43C8"/>
    <w:rsid w:val="007E463C"/>
    <w:rsid w:val="007F313D"/>
    <w:rsid w:val="007F3395"/>
    <w:rsid w:val="007F47FD"/>
    <w:rsid w:val="007F5E90"/>
    <w:rsid w:val="00800352"/>
    <w:rsid w:val="00801B9F"/>
    <w:rsid w:val="00801C28"/>
    <w:rsid w:val="008057FD"/>
    <w:rsid w:val="00812509"/>
    <w:rsid w:val="008142A8"/>
    <w:rsid w:val="00816CC6"/>
    <w:rsid w:val="00831AD0"/>
    <w:rsid w:val="00832007"/>
    <w:rsid w:val="00834B80"/>
    <w:rsid w:val="00834F1D"/>
    <w:rsid w:val="008446B0"/>
    <w:rsid w:val="008450C0"/>
    <w:rsid w:val="00846E05"/>
    <w:rsid w:val="008475F0"/>
    <w:rsid w:val="00852C37"/>
    <w:rsid w:val="008557DF"/>
    <w:rsid w:val="00864210"/>
    <w:rsid w:val="0086501B"/>
    <w:rsid w:val="00865478"/>
    <w:rsid w:val="008663B4"/>
    <w:rsid w:val="00871963"/>
    <w:rsid w:val="00877E90"/>
    <w:rsid w:val="00882154"/>
    <w:rsid w:val="0089452D"/>
    <w:rsid w:val="0089578A"/>
    <w:rsid w:val="008A1FFB"/>
    <w:rsid w:val="008A5AFE"/>
    <w:rsid w:val="008B68D7"/>
    <w:rsid w:val="008C2F58"/>
    <w:rsid w:val="008C5A0E"/>
    <w:rsid w:val="008D4779"/>
    <w:rsid w:val="008D6D9C"/>
    <w:rsid w:val="008F56A8"/>
    <w:rsid w:val="008F602C"/>
    <w:rsid w:val="009035A7"/>
    <w:rsid w:val="009056DD"/>
    <w:rsid w:val="00916FB1"/>
    <w:rsid w:val="00920F4D"/>
    <w:rsid w:val="00934882"/>
    <w:rsid w:val="00935C51"/>
    <w:rsid w:val="00941F31"/>
    <w:rsid w:val="009532B8"/>
    <w:rsid w:val="009564C0"/>
    <w:rsid w:val="00973568"/>
    <w:rsid w:val="00974651"/>
    <w:rsid w:val="00984E45"/>
    <w:rsid w:val="009903F3"/>
    <w:rsid w:val="00992C76"/>
    <w:rsid w:val="009934A9"/>
    <w:rsid w:val="0099587D"/>
    <w:rsid w:val="009A6691"/>
    <w:rsid w:val="009A6A05"/>
    <w:rsid w:val="009A7D37"/>
    <w:rsid w:val="009B4D3B"/>
    <w:rsid w:val="009C125B"/>
    <w:rsid w:val="009C1B5B"/>
    <w:rsid w:val="009C1C69"/>
    <w:rsid w:val="009C23A4"/>
    <w:rsid w:val="009C391C"/>
    <w:rsid w:val="009D1D60"/>
    <w:rsid w:val="009D28F8"/>
    <w:rsid w:val="009D7407"/>
    <w:rsid w:val="009E0866"/>
    <w:rsid w:val="009F1F82"/>
    <w:rsid w:val="009F5488"/>
    <w:rsid w:val="009F6423"/>
    <w:rsid w:val="00A012CD"/>
    <w:rsid w:val="00A02761"/>
    <w:rsid w:val="00A0393F"/>
    <w:rsid w:val="00A066DE"/>
    <w:rsid w:val="00A07DFA"/>
    <w:rsid w:val="00A109F2"/>
    <w:rsid w:val="00A134B6"/>
    <w:rsid w:val="00A15529"/>
    <w:rsid w:val="00A15882"/>
    <w:rsid w:val="00A16A5A"/>
    <w:rsid w:val="00A22B32"/>
    <w:rsid w:val="00A232E5"/>
    <w:rsid w:val="00A239A8"/>
    <w:rsid w:val="00A23FC8"/>
    <w:rsid w:val="00A24A62"/>
    <w:rsid w:val="00A31C9F"/>
    <w:rsid w:val="00A37BDE"/>
    <w:rsid w:val="00A4144F"/>
    <w:rsid w:val="00A5183F"/>
    <w:rsid w:val="00A535B7"/>
    <w:rsid w:val="00A56F14"/>
    <w:rsid w:val="00A63E1B"/>
    <w:rsid w:val="00A67C9F"/>
    <w:rsid w:val="00A70133"/>
    <w:rsid w:val="00A7317E"/>
    <w:rsid w:val="00A7389B"/>
    <w:rsid w:val="00A80F95"/>
    <w:rsid w:val="00A8197B"/>
    <w:rsid w:val="00A83AC0"/>
    <w:rsid w:val="00A84162"/>
    <w:rsid w:val="00A872A4"/>
    <w:rsid w:val="00A91CD8"/>
    <w:rsid w:val="00A92CF2"/>
    <w:rsid w:val="00A9486E"/>
    <w:rsid w:val="00A94E8A"/>
    <w:rsid w:val="00AA3626"/>
    <w:rsid w:val="00AA387C"/>
    <w:rsid w:val="00AA42C6"/>
    <w:rsid w:val="00AA53C7"/>
    <w:rsid w:val="00AA7BE3"/>
    <w:rsid w:val="00AB5E7F"/>
    <w:rsid w:val="00AB78C1"/>
    <w:rsid w:val="00AC164A"/>
    <w:rsid w:val="00AC4A04"/>
    <w:rsid w:val="00AC5620"/>
    <w:rsid w:val="00AC70C0"/>
    <w:rsid w:val="00AD36CC"/>
    <w:rsid w:val="00AD4425"/>
    <w:rsid w:val="00AE79E1"/>
    <w:rsid w:val="00AF0F3F"/>
    <w:rsid w:val="00AF1B85"/>
    <w:rsid w:val="00AF2050"/>
    <w:rsid w:val="00AF380D"/>
    <w:rsid w:val="00AF4756"/>
    <w:rsid w:val="00AF5A3F"/>
    <w:rsid w:val="00B03CA8"/>
    <w:rsid w:val="00B052E9"/>
    <w:rsid w:val="00B12980"/>
    <w:rsid w:val="00B1665A"/>
    <w:rsid w:val="00B169FF"/>
    <w:rsid w:val="00B17B05"/>
    <w:rsid w:val="00B26C53"/>
    <w:rsid w:val="00B331DC"/>
    <w:rsid w:val="00B36CC8"/>
    <w:rsid w:val="00B438D3"/>
    <w:rsid w:val="00B55E19"/>
    <w:rsid w:val="00B60704"/>
    <w:rsid w:val="00B63670"/>
    <w:rsid w:val="00B64EB0"/>
    <w:rsid w:val="00B6568A"/>
    <w:rsid w:val="00B679FB"/>
    <w:rsid w:val="00B73C43"/>
    <w:rsid w:val="00B754C8"/>
    <w:rsid w:val="00B75D7D"/>
    <w:rsid w:val="00B81C87"/>
    <w:rsid w:val="00B8475C"/>
    <w:rsid w:val="00B85897"/>
    <w:rsid w:val="00B907C7"/>
    <w:rsid w:val="00B967BA"/>
    <w:rsid w:val="00BA4B6D"/>
    <w:rsid w:val="00BA6D2E"/>
    <w:rsid w:val="00BB26C5"/>
    <w:rsid w:val="00BB577B"/>
    <w:rsid w:val="00BC0328"/>
    <w:rsid w:val="00BC1639"/>
    <w:rsid w:val="00BC7592"/>
    <w:rsid w:val="00BD28E2"/>
    <w:rsid w:val="00BD36AF"/>
    <w:rsid w:val="00BD71B1"/>
    <w:rsid w:val="00BE1BEB"/>
    <w:rsid w:val="00BE67C7"/>
    <w:rsid w:val="00BE6A20"/>
    <w:rsid w:val="00BE714B"/>
    <w:rsid w:val="00BF3260"/>
    <w:rsid w:val="00BF39AE"/>
    <w:rsid w:val="00BF4DE6"/>
    <w:rsid w:val="00C0472E"/>
    <w:rsid w:val="00C105F4"/>
    <w:rsid w:val="00C1154B"/>
    <w:rsid w:val="00C12EBB"/>
    <w:rsid w:val="00C16068"/>
    <w:rsid w:val="00C20182"/>
    <w:rsid w:val="00C228AE"/>
    <w:rsid w:val="00C243F9"/>
    <w:rsid w:val="00C26AC2"/>
    <w:rsid w:val="00C27BA1"/>
    <w:rsid w:val="00C3724E"/>
    <w:rsid w:val="00C42CDE"/>
    <w:rsid w:val="00C46432"/>
    <w:rsid w:val="00C5182A"/>
    <w:rsid w:val="00C523F9"/>
    <w:rsid w:val="00C62360"/>
    <w:rsid w:val="00C63642"/>
    <w:rsid w:val="00C63EE9"/>
    <w:rsid w:val="00C6626C"/>
    <w:rsid w:val="00C66EB3"/>
    <w:rsid w:val="00C7139B"/>
    <w:rsid w:val="00C73F03"/>
    <w:rsid w:val="00C7639B"/>
    <w:rsid w:val="00C813D8"/>
    <w:rsid w:val="00C849F3"/>
    <w:rsid w:val="00C90A2D"/>
    <w:rsid w:val="00C90B84"/>
    <w:rsid w:val="00CA24A3"/>
    <w:rsid w:val="00CA37B1"/>
    <w:rsid w:val="00CB1959"/>
    <w:rsid w:val="00CB1B25"/>
    <w:rsid w:val="00CB2742"/>
    <w:rsid w:val="00CB64FE"/>
    <w:rsid w:val="00CC3768"/>
    <w:rsid w:val="00CC462E"/>
    <w:rsid w:val="00CC4767"/>
    <w:rsid w:val="00CC6900"/>
    <w:rsid w:val="00CD0E4B"/>
    <w:rsid w:val="00CD1652"/>
    <w:rsid w:val="00CD4851"/>
    <w:rsid w:val="00CD4A59"/>
    <w:rsid w:val="00CE0155"/>
    <w:rsid w:val="00CE07A9"/>
    <w:rsid w:val="00CE5438"/>
    <w:rsid w:val="00CE7EA7"/>
    <w:rsid w:val="00CF1B26"/>
    <w:rsid w:val="00CF2785"/>
    <w:rsid w:val="00CF670F"/>
    <w:rsid w:val="00D00802"/>
    <w:rsid w:val="00D0296C"/>
    <w:rsid w:val="00D07D12"/>
    <w:rsid w:val="00D146A2"/>
    <w:rsid w:val="00D15A00"/>
    <w:rsid w:val="00D16B46"/>
    <w:rsid w:val="00D17802"/>
    <w:rsid w:val="00D24FE6"/>
    <w:rsid w:val="00D2559C"/>
    <w:rsid w:val="00D2653F"/>
    <w:rsid w:val="00D3082F"/>
    <w:rsid w:val="00D3432B"/>
    <w:rsid w:val="00D64BD1"/>
    <w:rsid w:val="00D654BE"/>
    <w:rsid w:val="00D72760"/>
    <w:rsid w:val="00D74B22"/>
    <w:rsid w:val="00D76414"/>
    <w:rsid w:val="00D76D9F"/>
    <w:rsid w:val="00DA28E3"/>
    <w:rsid w:val="00DA4FF8"/>
    <w:rsid w:val="00DA5C48"/>
    <w:rsid w:val="00DB6584"/>
    <w:rsid w:val="00DB782D"/>
    <w:rsid w:val="00DC0A27"/>
    <w:rsid w:val="00DC19C3"/>
    <w:rsid w:val="00DC7E3D"/>
    <w:rsid w:val="00DD1986"/>
    <w:rsid w:val="00DD3FAF"/>
    <w:rsid w:val="00DE084C"/>
    <w:rsid w:val="00DF018F"/>
    <w:rsid w:val="00DF3413"/>
    <w:rsid w:val="00E01A8B"/>
    <w:rsid w:val="00E0310C"/>
    <w:rsid w:val="00E07E60"/>
    <w:rsid w:val="00E22603"/>
    <w:rsid w:val="00E315C9"/>
    <w:rsid w:val="00E357B7"/>
    <w:rsid w:val="00E378D7"/>
    <w:rsid w:val="00E44675"/>
    <w:rsid w:val="00E4781D"/>
    <w:rsid w:val="00E47954"/>
    <w:rsid w:val="00E51577"/>
    <w:rsid w:val="00E53800"/>
    <w:rsid w:val="00E53851"/>
    <w:rsid w:val="00E5695E"/>
    <w:rsid w:val="00E6081F"/>
    <w:rsid w:val="00E64F6F"/>
    <w:rsid w:val="00E65105"/>
    <w:rsid w:val="00E71445"/>
    <w:rsid w:val="00E716FE"/>
    <w:rsid w:val="00E72C92"/>
    <w:rsid w:val="00E831CF"/>
    <w:rsid w:val="00E86330"/>
    <w:rsid w:val="00E96651"/>
    <w:rsid w:val="00EA04B2"/>
    <w:rsid w:val="00EA143D"/>
    <w:rsid w:val="00EA20F3"/>
    <w:rsid w:val="00EA221E"/>
    <w:rsid w:val="00EA340D"/>
    <w:rsid w:val="00EA59EC"/>
    <w:rsid w:val="00EA63C8"/>
    <w:rsid w:val="00EA6BDC"/>
    <w:rsid w:val="00EB3DA5"/>
    <w:rsid w:val="00EB50E1"/>
    <w:rsid w:val="00EC7E30"/>
    <w:rsid w:val="00ED1CD6"/>
    <w:rsid w:val="00ED2831"/>
    <w:rsid w:val="00ED2F96"/>
    <w:rsid w:val="00ED3990"/>
    <w:rsid w:val="00ED43D1"/>
    <w:rsid w:val="00EE1708"/>
    <w:rsid w:val="00EE4EE1"/>
    <w:rsid w:val="00EE5678"/>
    <w:rsid w:val="00EF0D70"/>
    <w:rsid w:val="00EF4574"/>
    <w:rsid w:val="00EF4AD9"/>
    <w:rsid w:val="00F04B93"/>
    <w:rsid w:val="00F06182"/>
    <w:rsid w:val="00F10161"/>
    <w:rsid w:val="00F1470B"/>
    <w:rsid w:val="00F17ED8"/>
    <w:rsid w:val="00F23852"/>
    <w:rsid w:val="00F23BF7"/>
    <w:rsid w:val="00F2684E"/>
    <w:rsid w:val="00F4140A"/>
    <w:rsid w:val="00F42AD0"/>
    <w:rsid w:val="00F44BC3"/>
    <w:rsid w:val="00F52B12"/>
    <w:rsid w:val="00F5404C"/>
    <w:rsid w:val="00F729EF"/>
    <w:rsid w:val="00F770E5"/>
    <w:rsid w:val="00F77CAE"/>
    <w:rsid w:val="00F81C95"/>
    <w:rsid w:val="00F82271"/>
    <w:rsid w:val="00F83428"/>
    <w:rsid w:val="00F8705C"/>
    <w:rsid w:val="00F96BB9"/>
    <w:rsid w:val="00F97E2B"/>
    <w:rsid w:val="00FA6B78"/>
    <w:rsid w:val="00FB380E"/>
    <w:rsid w:val="00FB406A"/>
    <w:rsid w:val="00FB4420"/>
    <w:rsid w:val="00FB4F75"/>
    <w:rsid w:val="00FB6F32"/>
    <w:rsid w:val="00FC50A9"/>
    <w:rsid w:val="00FC65F0"/>
    <w:rsid w:val="00FD0AC1"/>
    <w:rsid w:val="00FE6D51"/>
    <w:rsid w:val="00FF09F3"/>
    <w:rsid w:val="00FF0C20"/>
    <w:rsid w:val="00FF243A"/>
    <w:rsid w:val="00FF31A3"/>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4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Char Char,Char,ft,single space,footnote text,fn,Footnote Text Char Char Char Char,FOOTNOTES"/>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F04B93"/>
    <w:pPr>
      <w:keepLines/>
      <w:suppressAutoHyphens w:val="0"/>
      <w:spacing w:before="80" w:after="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ormal 2,Main numbered paragraph"/>
    <w:basedOn w:val="Normal"/>
    <w:link w:val="ListParagraphChar"/>
    <w:uiPriority w:val="34"/>
    <w:qFormat/>
    <w:rsid w:val="007B3CE4"/>
    <w:pPr>
      <w:ind w:left="720"/>
      <w:contextualSpacing/>
    </w:pPr>
  </w:style>
  <w:style w:type="character" w:styleId="CommentReference">
    <w:name w:val="annotation reference"/>
    <w:basedOn w:val="DefaultParagraphFont"/>
    <w:uiPriority w:val="99"/>
    <w:semiHidden/>
    <w:unhideWhenUsed/>
    <w:rsid w:val="00D24FE6"/>
    <w:rPr>
      <w:sz w:val="16"/>
      <w:szCs w:val="16"/>
    </w:rPr>
  </w:style>
  <w:style w:type="paragraph" w:styleId="CommentText">
    <w:name w:val="annotation text"/>
    <w:basedOn w:val="Normal"/>
    <w:link w:val="CommentTextChar"/>
    <w:uiPriority w:val="99"/>
    <w:semiHidden/>
    <w:unhideWhenUsed/>
    <w:rsid w:val="00D24FE6"/>
    <w:pPr>
      <w:spacing w:line="240" w:lineRule="auto"/>
    </w:pPr>
    <w:rPr>
      <w:sz w:val="20"/>
      <w:szCs w:val="20"/>
    </w:rPr>
  </w:style>
  <w:style w:type="character" w:customStyle="1" w:styleId="CommentTextChar">
    <w:name w:val="Comment Text Char"/>
    <w:basedOn w:val="DefaultParagraphFont"/>
    <w:link w:val="CommentText"/>
    <w:uiPriority w:val="99"/>
    <w:semiHidden/>
    <w:rsid w:val="00D24FE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D24FE6"/>
    <w:rPr>
      <w:b/>
      <w:bCs/>
    </w:rPr>
  </w:style>
  <w:style w:type="character" w:customStyle="1" w:styleId="CommentSubjectChar">
    <w:name w:val="Comment Subject Char"/>
    <w:basedOn w:val="CommentTextChar"/>
    <w:link w:val="CommentSubject"/>
    <w:uiPriority w:val="99"/>
    <w:semiHidden/>
    <w:rsid w:val="00D24FE6"/>
    <w:rPr>
      <w:b/>
      <w:bCs/>
      <w:color w:val="495965" w:themeColor="text2"/>
      <w:sz w:val="20"/>
      <w:szCs w:val="20"/>
      <w:lang w:val="en-GB"/>
    </w:rPr>
  </w:style>
  <w:style w:type="paragraph" w:styleId="Revision">
    <w:name w:val="Revision"/>
    <w:hidden/>
    <w:uiPriority w:val="99"/>
    <w:semiHidden/>
    <w:rsid w:val="00D24FE6"/>
    <w:pPr>
      <w:spacing w:after="0" w:line="240" w:lineRule="auto"/>
    </w:pPr>
    <w:rPr>
      <w:color w:val="495965" w:themeColor="text2"/>
      <w:lang w:val="en-GB"/>
    </w:rPr>
  </w:style>
  <w:style w:type="paragraph" w:customStyle="1" w:styleId="BodyCopy">
    <w:name w:val="Body Copy"/>
    <w:basedOn w:val="BodyText"/>
    <w:link w:val="BodyCopyChar"/>
    <w:qFormat/>
    <w:rsid w:val="00973568"/>
    <w:pPr>
      <w:spacing w:before="120" w:after="120" w:line="264" w:lineRule="auto"/>
    </w:pPr>
    <w:rPr>
      <w:rFonts w:ascii="Arial" w:eastAsia="Arial" w:hAnsi="Arial"/>
      <w:color w:val="000000" w:themeColor="text1"/>
      <w:sz w:val="20"/>
      <w:szCs w:val="20"/>
      <w:lang w:eastAsia="en-US"/>
    </w:rPr>
  </w:style>
  <w:style w:type="character" w:customStyle="1" w:styleId="BodyCopyChar">
    <w:name w:val="Body Copy Char"/>
    <w:basedOn w:val="DefaultParagraphFont"/>
    <w:link w:val="BodyCopy"/>
    <w:rsid w:val="00973568"/>
    <w:rPr>
      <w:rFonts w:ascii="Arial" w:eastAsia="Arial" w:hAnsi="Arial" w:cs="Times New Roman"/>
      <w:color w:val="000000" w:themeColor="text1"/>
      <w:sz w:val="20"/>
      <w:szCs w:val="20"/>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337CEF"/>
    <w:rPr>
      <w:color w:val="495965" w:themeColor="text2"/>
      <w:lang w:val="en-GB"/>
    </w:rPr>
  </w:style>
  <w:style w:type="paragraph" w:customStyle="1" w:styleId="BodyBullet">
    <w:name w:val="Body Bullet"/>
    <w:qFormat/>
    <w:rsid w:val="00337CEF"/>
    <w:pPr>
      <w:numPr>
        <w:numId w:val="38"/>
      </w:numPr>
      <w:spacing w:before="100" w:after="100" w:line="252" w:lineRule="auto"/>
      <w:ind w:left="284" w:hanging="284"/>
    </w:pPr>
    <w:rPr>
      <w:rFonts w:ascii="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446">
      <w:bodyDiv w:val="1"/>
      <w:marLeft w:val="0"/>
      <w:marRight w:val="0"/>
      <w:marTop w:val="0"/>
      <w:marBottom w:val="0"/>
      <w:divBdr>
        <w:top w:val="none" w:sz="0" w:space="0" w:color="auto"/>
        <w:left w:val="none" w:sz="0" w:space="0" w:color="auto"/>
        <w:bottom w:val="none" w:sz="0" w:space="0" w:color="auto"/>
        <w:right w:val="none" w:sz="0" w:space="0" w:color="auto"/>
      </w:divBdr>
      <w:divsChild>
        <w:div w:id="874540320">
          <w:marLeft w:val="547"/>
          <w:marRight w:val="0"/>
          <w:marTop w:val="106"/>
          <w:marBottom w:val="0"/>
          <w:divBdr>
            <w:top w:val="none" w:sz="0" w:space="0" w:color="auto"/>
            <w:left w:val="none" w:sz="0" w:space="0" w:color="auto"/>
            <w:bottom w:val="none" w:sz="0" w:space="0" w:color="auto"/>
            <w:right w:val="none" w:sz="0" w:space="0" w:color="auto"/>
          </w:divBdr>
        </w:div>
      </w:divsChild>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26984325">
      <w:bodyDiv w:val="1"/>
      <w:marLeft w:val="0"/>
      <w:marRight w:val="0"/>
      <w:marTop w:val="0"/>
      <w:marBottom w:val="0"/>
      <w:divBdr>
        <w:top w:val="none" w:sz="0" w:space="0" w:color="auto"/>
        <w:left w:val="none" w:sz="0" w:space="0" w:color="auto"/>
        <w:bottom w:val="none" w:sz="0" w:space="0" w:color="auto"/>
        <w:right w:val="none" w:sz="0" w:space="0" w:color="auto"/>
      </w:divBdr>
      <w:divsChild>
        <w:div w:id="761876443">
          <w:marLeft w:val="547"/>
          <w:marRight w:val="0"/>
          <w:marTop w:val="106"/>
          <w:marBottom w:val="0"/>
          <w:divBdr>
            <w:top w:val="none" w:sz="0" w:space="0" w:color="auto"/>
            <w:left w:val="none" w:sz="0" w:space="0" w:color="auto"/>
            <w:bottom w:val="none" w:sz="0" w:space="0" w:color="auto"/>
            <w:right w:val="none" w:sz="0" w:space="0" w:color="auto"/>
          </w:divBdr>
        </w:div>
      </w:divsChild>
    </w:div>
    <w:div w:id="562562441">
      <w:bodyDiv w:val="1"/>
      <w:marLeft w:val="0"/>
      <w:marRight w:val="0"/>
      <w:marTop w:val="0"/>
      <w:marBottom w:val="0"/>
      <w:divBdr>
        <w:top w:val="none" w:sz="0" w:space="0" w:color="auto"/>
        <w:left w:val="none" w:sz="0" w:space="0" w:color="auto"/>
        <w:bottom w:val="none" w:sz="0" w:space="0" w:color="auto"/>
        <w:right w:val="none" w:sz="0" w:space="0" w:color="auto"/>
      </w:divBdr>
    </w:div>
    <w:div w:id="668873062">
      <w:bodyDiv w:val="1"/>
      <w:marLeft w:val="0"/>
      <w:marRight w:val="0"/>
      <w:marTop w:val="0"/>
      <w:marBottom w:val="0"/>
      <w:divBdr>
        <w:top w:val="none" w:sz="0" w:space="0" w:color="auto"/>
        <w:left w:val="none" w:sz="0" w:space="0" w:color="auto"/>
        <w:bottom w:val="none" w:sz="0" w:space="0" w:color="auto"/>
        <w:right w:val="none" w:sz="0" w:space="0" w:color="auto"/>
      </w:divBdr>
    </w:div>
    <w:div w:id="756171701">
      <w:bodyDiv w:val="1"/>
      <w:marLeft w:val="0"/>
      <w:marRight w:val="0"/>
      <w:marTop w:val="0"/>
      <w:marBottom w:val="0"/>
      <w:divBdr>
        <w:top w:val="none" w:sz="0" w:space="0" w:color="auto"/>
        <w:left w:val="none" w:sz="0" w:space="0" w:color="auto"/>
        <w:bottom w:val="none" w:sz="0" w:space="0" w:color="auto"/>
        <w:right w:val="none" w:sz="0" w:space="0" w:color="auto"/>
      </w:divBdr>
    </w:div>
    <w:div w:id="1144548361">
      <w:bodyDiv w:val="1"/>
      <w:marLeft w:val="0"/>
      <w:marRight w:val="0"/>
      <w:marTop w:val="0"/>
      <w:marBottom w:val="0"/>
      <w:divBdr>
        <w:top w:val="none" w:sz="0" w:space="0" w:color="auto"/>
        <w:left w:val="none" w:sz="0" w:space="0" w:color="auto"/>
        <w:bottom w:val="none" w:sz="0" w:space="0" w:color="auto"/>
        <w:right w:val="none" w:sz="0" w:space="0" w:color="auto"/>
      </w:divBdr>
    </w:div>
    <w:div w:id="1152869573">
      <w:bodyDiv w:val="1"/>
      <w:marLeft w:val="0"/>
      <w:marRight w:val="0"/>
      <w:marTop w:val="0"/>
      <w:marBottom w:val="0"/>
      <w:divBdr>
        <w:top w:val="none" w:sz="0" w:space="0" w:color="auto"/>
        <w:left w:val="none" w:sz="0" w:space="0" w:color="auto"/>
        <w:bottom w:val="none" w:sz="0" w:space="0" w:color="auto"/>
        <w:right w:val="none" w:sz="0" w:space="0" w:color="auto"/>
      </w:divBdr>
    </w:div>
    <w:div w:id="1155141733">
      <w:bodyDiv w:val="1"/>
      <w:marLeft w:val="0"/>
      <w:marRight w:val="0"/>
      <w:marTop w:val="0"/>
      <w:marBottom w:val="0"/>
      <w:divBdr>
        <w:top w:val="none" w:sz="0" w:space="0" w:color="auto"/>
        <w:left w:val="none" w:sz="0" w:space="0" w:color="auto"/>
        <w:bottom w:val="none" w:sz="0" w:space="0" w:color="auto"/>
        <w:right w:val="none" w:sz="0" w:space="0" w:color="auto"/>
      </w:divBdr>
    </w:div>
    <w:div w:id="1216694097">
      <w:bodyDiv w:val="1"/>
      <w:marLeft w:val="0"/>
      <w:marRight w:val="0"/>
      <w:marTop w:val="0"/>
      <w:marBottom w:val="0"/>
      <w:divBdr>
        <w:top w:val="none" w:sz="0" w:space="0" w:color="auto"/>
        <w:left w:val="none" w:sz="0" w:space="0" w:color="auto"/>
        <w:bottom w:val="none" w:sz="0" w:space="0" w:color="auto"/>
        <w:right w:val="none" w:sz="0" w:space="0" w:color="auto"/>
      </w:divBdr>
    </w:div>
    <w:div w:id="1349746673">
      <w:bodyDiv w:val="1"/>
      <w:marLeft w:val="0"/>
      <w:marRight w:val="0"/>
      <w:marTop w:val="0"/>
      <w:marBottom w:val="0"/>
      <w:divBdr>
        <w:top w:val="none" w:sz="0" w:space="0" w:color="auto"/>
        <w:left w:val="none" w:sz="0" w:space="0" w:color="auto"/>
        <w:bottom w:val="none" w:sz="0" w:space="0" w:color="auto"/>
        <w:right w:val="none" w:sz="0" w:space="0" w:color="auto"/>
      </w:divBdr>
    </w:div>
    <w:div w:id="1552038407">
      <w:bodyDiv w:val="1"/>
      <w:marLeft w:val="0"/>
      <w:marRight w:val="0"/>
      <w:marTop w:val="0"/>
      <w:marBottom w:val="0"/>
      <w:divBdr>
        <w:top w:val="none" w:sz="0" w:space="0" w:color="auto"/>
        <w:left w:val="none" w:sz="0" w:space="0" w:color="auto"/>
        <w:bottom w:val="none" w:sz="0" w:space="0" w:color="auto"/>
        <w:right w:val="none" w:sz="0" w:space="0" w:color="auto"/>
      </w:divBdr>
    </w:div>
    <w:div w:id="1568300979">
      <w:bodyDiv w:val="1"/>
      <w:marLeft w:val="0"/>
      <w:marRight w:val="0"/>
      <w:marTop w:val="0"/>
      <w:marBottom w:val="0"/>
      <w:divBdr>
        <w:top w:val="none" w:sz="0" w:space="0" w:color="auto"/>
        <w:left w:val="none" w:sz="0" w:space="0" w:color="auto"/>
        <w:bottom w:val="none" w:sz="0" w:space="0" w:color="auto"/>
        <w:right w:val="none" w:sz="0" w:space="0" w:color="auto"/>
      </w:divBdr>
    </w:div>
    <w:div w:id="1631475362">
      <w:bodyDiv w:val="1"/>
      <w:marLeft w:val="0"/>
      <w:marRight w:val="0"/>
      <w:marTop w:val="0"/>
      <w:marBottom w:val="0"/>
      <w:divBdr>
        <w:top w:val="none" w:sz="0" w:space="0" w:color="auto"/>
        <w:left w:val="none" w:sz="0" w:space="0" w:color="auto"/>
        <w:bottom w:val="none" w:sz="0" w:space="0" w:color="auto"/>
        <w:right w:val="none" w:sz="0" w:space="0" w:color="auto"/>
      </w:divBdr>
      <w:divsChild>
        <w:div w:id="739333405">
          <w:marLeft w:val="547"/>
          <w:marRight w:val="0"/>
          <w:marTop w:val="106"/>
          <w:marBottom w:val="0"/>
          <w:divBdr>
            <w:top w:val="none" w:sz="0" w:space="0" w:color="auto"/>
            <w:left w:val="none" w:sz="0" w:space="0" w:color="auto"/>
            <w:bottom w:val="none" w:sz="0" w:space="0" w:color="auto"/>
            <w:right w:val="none" w:sz="0" w:space="0" w:color="auto"/>
          </w:divBdr>
        </w:div>
      </w:divsChild>
    </w:div>
    <w:div w:id="1643466601">
      <w:bodyDiv w:val="1"/>
      <w:marLeft w:val="0"/>
      <w:marRight w:val="0"/>
      <w:marTop w:val="0"/>
      <w:marBottom w:val="0"/>
      <w:divBdr>
        <w:top w:val="none" w:sz="0" w:space="0" w:color="auto"/>
        <w:left w:val="none" w:sz="0" w:space="0" w:color="auto"/>
        <w:bottom w:val="none" w:sz="0" w:space="0" w:color="auto"/>
        <w:right w:val="none" w:sz="0" w:space="0" w:color="auto"/>
      </w:divBdr>
    </w:div>
    <w:div w:id="16805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eader" Target="header5.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7.xml"/><Relationship Id="rId30"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61D40E-6E17-4A59-832C-582A7EB82347}"/>
</file>

<file path=customXml/itemProps2.xml><?xml version="1.0" encoding="utf-8"?>
<ds:datastoreItem xmlns:ds="http://schemas.openxmlformats.org/officeDocument/2006/customXml" ds:itemID="{50CA87DB-D240-4A09-A5F3-4D5091EFB5A4}"/>
</file>

<file path=customXml/itemProps3.xml><?xml version="1.0" encoding="utf-8"?>
<ds:datastoreItem xmlns:ds="http://schemas.openxmlformats.org/officeDocument/2006/customXml" ds:itemID="{20FC311F-1F8D-44AE-9CC5-AF238EA23C42}"/>
</file>

<file path=customXml/itemProps4.xml><?xml version="1.0" encoding="utf-8"?>
<ds:datastoreItem xmlns:ds="http://schemas.openxmlformats.org/officeDocument/2006/customXml" ds:itemID="{2E794387-DD1B-4A35-910F-7CC665C722DD}"/>
</file>

<file path=docProps/app.xml><?xml version="1.0" encoding="utf-8"?>
<Properties xmlns="http://schemas.openxmlformats.org/officeDocument/2006/extended-properties" xmlns:vt="http://schemas.openxmlformats.org/officeDocument/2006/docPropsVTypes">
  <Template>Normal.dotm</Template>
  <TotalTime>0</TotalTime>
  <Pages>18</Pages>
  <Words>6514</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Laos Aid Program Performance Report 2016-17</vt:lpstr>
    </vt:vector>
  </TitlesOfParts>
  <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Laos Aid Program Performance Report 2016-17</dc:title>
  <dc:creator/>
  <cp:lastModifiedBy/>
  <cp:revision>1</cp:revision>
  <dcterms:created xsi:type="dcterms:W3CDTF">2017-09-21T03:11:00Z</dcterms:created>
  <dcterms:modified xsi:type="dcterms:W3CDTF">2017-09-21T03:12:00Z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786abba2-ad12-440a-9cb7-60235f683346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1123600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