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52D" w:rsidRPr="00982C79" w:rsidRDefault="00A56F14" w:rsidP="00D146A2">
      <w:pPr>
        <w:rPr>
          <w:lang w:val="en-AU"/>
        </w:rPr>
      </w:pPr>
      <w:bookmarkStart w:id="0" w:name="_GoBack"/>
      <w:bookmarkEnd w:id="0"/>
      <w:r w:rsidRPr="00982C79">
        <w:rPr>
          <w:noProof/>
          <w:lang w:val="en-AU" w:eastAsia="en-AU"/>
        </w:rPr>
        <w:drawing>
          <wp:anchor distT="0" distB="0" distL="114300" distR="114300" simplePos="0" relativeHeight="251661312" behindDoc="1" locked="1" layoutInCell="1" allowOverlap="1" wp14:anchorId="025AF8EB" wp14:editId="770BFF19">
            <wp:simplePos x="0" y="0"/>
            <wp:positionH relativeFrom="page">
              <wp:posOffset>872490</wp:posOffset>
            </wp:positionH>
            <wp:positionV relativeFrom="page">
              <wp:posOffset>1561465</wp:posOffset>
            </wp:positionV>
            <wp:extent cx="3167380" cy="5543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sidRPr="00982C79">
        <w:rPr>
          <w:noProof/>
          <w:lang w:val="en-AU" w:eastAsia="en-AU"/>
        </w:rPr>
        <w:drawing>
          <wp:anchor distT="0" distB="0" distL="114300" distR="114300" simplePos="0" relativeHeight="251659264" behindDoc="1" locked="1" layoutInCell="1" allowOverlap="1" wp14:anchorId="224656FA" wp14:editId="7F8366A5">
            <wp:simplePos x="0" y="0"/>
            <wp:positionH relativeFrom="page">
              <wp:posOffset>69850</wp:posOffset>
            </wp:positionH>
            <wp:positionV relativeFrom="page">
              <wp:posOffset>231140</wp:posOffset>
            </wp:positionV>
            <wp:extent cx="7559675" cy="106934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10">
                      <a:extLst>
                        <a:ext uri="{28A0092B-C50C-407E-A947-70E740481C1C}">
                          <a14:useLocalDpi xmlns:a14="http://schemas.microsoft.com/office/drawing/2010/main" val="0"/>
                        </a:ext>
                      </a:extLst>
                    </a:blip>
                    <a:stretch>
                      <a:fillRect/>
                    </a:stretch>
                  </pic:blipFill>
                  <pic:spPr>
                    <a:xfrm>
                      <a:off x="0" y="0"/>
                      <a:ext cx="7559675" cy="10693400"/>
                    </a:xfrm>
                    <a:prstGeom prst="rect">
                      <a:avLst/>
                    </a:prstGeom>
                  </pic:spPr>
                </pic:pic>
              </a:graphicData>
            </a:graphic>
            <wp14:sizeRelH relativeFrom="margin">
              <wp14:pctWidth>0</wp14:pctWidth>
            </wp14:sizeRelH>
            <wp14:sizeRelV relativeFrom="margin">
              <wp14:pctHeight>0</wp14:pctHeight>
            </wp14:sizeRelV>
          </wp:anchor>
        </w:drawing>
      </w:r>
    </w:p>
    <w:p w:rsidR="003D352D" w:rsidRPr="00982C79" w:rsidRDefault="003D352D" w:rsidP="00D146A2">
      <w:pPr>
        <w:rPr>
          <w:lang w:val="en-AU"/>
        </w:rPr>
      </w:pPr>
    </w:p>
    <w:p w:rsidR="003D352D" w:rsidRPr="00982C79" w:rsidRDefault="003D352D" w:rsidP="00D146A2">
      <w:pPr>
        <w:rPr>
          <w:lang w:val="en-AU"/>
        </w:rPr>
      </w:pPr>
    </w:p>
    <w:p w:rsidR="003D352D" w:rsidRPr="00982C79" w:rsidRDefault="003D352D" w:rsidP="00D146A2">
      <w:pPr>
        <w:rPr>
          <w:lang w:val="en-AU"/>
        </w:rPr>
      </w:pPr>
    </w:p>
    <w:p w:rsidR="003D352D" w:rsidRPr="00982C79" w:rsidRDefault="003D352D" w:rsidP="00D146A2">
      <w:pPr>
        <w:rPr>
          <w:lang w:val="en-AU"/>
        </w:rPr>
      </w:pPr>
    </w:p>
    <w:p w:rsidR="003D352D" w:rsidRPr="00982C79" w:rsidRDefault="003D352D" w:rsidP="00D146A2">
      <w:pPr>
        <w:rPr>
          <w:lang w:val="en-AU"/>
        </w:rPr>
      </w:pPr>
    </w:p>
    <w:p w:rsidR="003D352D" w:rsidRPr="00982C79" w:rsidRDefault="003D352D" w:rsidP="00D146A2">
      <w:pPr>
        <w:rPr>
          <w:lang w:val="en-AU"/>
        </w:rPr>
      </w:pPr>
    </w:p>
    <w:p w:rsidR="003D352D" w:rsidRPr="00982C79" w:rsidRDefault="003D352D" w:rsidP="00D146A2">
      <w:pPr>
        <w:rPr>
          <w:lang w:val="en-AU"/>
        </w:rPr>
      </w:pPr>
    </w:p>
    <w:p w:rsidR="003D352D" w:rsidRPr="00982C79" w:rsidRDefault="003D352D" w:rsidP="00D146A2">
      <w:pPr>
        <w:rPr>
          <w:lang w:val="en-AU"/>
        </w:rPr>
      </w:pPr>
    </w:p>
    <w:p w:rsidR="003D352D" w:rsidRPr="00982C79" w:rsidRDefault="003D352D" w:rsidP="00D146A2">
      <w:pPr>
        <w:rPr>
          <w:lang w:val="en-AU"/>
        </w:rPr>
      </w:pPr>
    </w:p>
    <w:p w:rsidR="003D352D" w:rsidRPr="00982C79" w:rsidRDefault="003D352D" w:rsidP="00D146A2">
      <w:pPr>
        <w:rPr>
          <w:lang w:val="en-AU"/>
        </w:rPr>
      </w:pPr>
    </w:p>
    <w:p w:rsidR="003D352D" w:rsidRPr="00982C79" w:rsidRDefault="003D352D" w:rsidP="00D146A2">
      <w:pPr>
        <w:rPr>
          <w:lang w:val="en-AU"/>
        </w:rPr>
      </w:pPr>
    </w:p>
    <w:p w:rsidR="003D352D" w:rsidRPr="00982C79" w:rsidRDefault="003D352D" w:rsidP="00D146A2">
      <w:pPr>
        <w:rPr>
          <w:lang w:val="en-AU"/>
        </w:rPr>
      </w:pPr>
    </w:p>
    <w:p w:rsidR="003D352D" w:rsidRPr="00982C79" w:rsidRDefault="003D352D" w:rsidP="00D146A2">
      <w:pPr>
        <w:rPr>
          <w:lang w:val="en-AU"/>
        </w:rPr>
      </w:pPr>
    </w:p>
    <w:p w:rsidR="003D352D" w:rsidRPr="00982C79" w:rsidRDefault="003D352D" w:rsidP="00D146A2">
      <w:pPr>
        <w:rPr>
          <w:lang w:val="en-AU"/>
        </w:rPr>
      </w:pPr>
    </w:p>
    <w:p w:rsidR="003D352D" w:rsidRPr="00982C79" w:rsidRDefault="003D352D" w:rsidP="00D146A2">
      <w:pPr>
        <w:rPr>
          <w:lang w:val="en-AU"/>
        </w:rPr>
      </w:pPr>
    </w:p>
    <w:p w:rsidR="003D352D" w:rsidRPr="00982C79" w:rsidRDefault="003D352D" w:rsidP="0059146A">
      <w:pPr>
        <w:rPr>
          <w:lang w:val="en-AU"/>
        </w:rPr>
      </w:pPr>
    </w:p>
    <w:p w:rsidR="003D352D" w:rsidRPr="00982C79" w:rsidRDefault="003D352D" w:rsidP="0059146A">
      <w:pPr>
        <w:rPr>
          <w:lang w:val="en-AU"/>
        </w:rPr>
      </w:pPr>
    </w:p>
    <w:p w:rsidR="003D352D" w:rsidRPr="00982C79" w:rsidRDefault="003D352D" w:rsidP="0059146A">
      <w:pPr>
        <w:rPr>
          <w:lang w:val="en-AU"/>
        </w:rPr>
      </w:pPr>
    </w:p>
    <w:p w:rsidR="003D352D" w:rsidRPr="00982C79" w:rsidRDefault="003D352D" w:rsidP="0059146A">
      <w:pPr>
        <w:rPr>
          <w:lang w:val="en-AU"/>
        </w:rPr>
      </w:pPr>
    </w:p>
    <w:p w:rsidR="003D352D" w:rsidRPr="00982C79" w:rsidRDefault="003D352D" w:rsidP="0059146A">
      <w:pPr>
        <w:rPr>
          <w:lang w:val="en-AU"/>
        </w:rPr>
      </w:pPr>
    </w:p>
    <w:p w:rsidR="003D352D" w:rsidRPr="00982C79" w:rsidRDefault="003D352D" w:rsidP="0059146A">
      <w:pPr>
        <w:rPr>
          <w:lang w:val="en-AU"/>
        </w:rPr>
      </w:pPr>
    </w:p>
    <w:p w:rsidR="00A56F14" w:rsidRPr="00982C79" w:rsidRDefault="00A56F14" w:rsidP="00A56F14">
      <w:pPr>
        <w:rPr>
          <w:lang w:val="en-AU"/>
        </w:rPr>
      </w:pPr>
    </w:p>
    <w:p w:rsidR="00A56F14" w:rsidRPr="00982C79" w:rsidRDefault="00A56F14" w:rsidP="0059146A">
      <w:pPr>
        <w:rPr>
          <w:lang w:val="en-AU"/>
        </w:rPr>
      </w:pPr>
    </w:p>
    <w:p w:rsidR="00A56F14" w:rsidRPr="00982C79" w:rsidRDefault="00A56F14" w:rsidP="0059146A">
      <w:pPr>
        <w:rPr>
          <w:lang w:val="en-AU"/>
        </w:rPr>
      </w:pPr>
    </w:p>
    <w:p w:rsidR="0059146A" w:rsidRPr="00982C79" w:rsidRDefault="0059146A" w:rsidP="0059146A">
      <w:pPr>
        <w:rPr>
          <w:lang w:val="en-AU"/>
        </w:rPr>
      </w:pPr>
    </w:p>
    <w:p w:rsidR="0059146A" w:rsidRPr="00982C79" w:rsidRDefault="0059146A" w:rsidP="0059146A">
      <w:pPr>
        <w:rPr>
          <w:lang w:val="en-AU"/>
        </w:rPr>
      </w:pPr>
    </w:p>
    <w:p w:rsidR="0059146A" w:rsidRPr="00982C79" w:rsidRDefault="0059146A" w:rsidP="0059146A">
      <w:pPr>
        <w:rPr>
          <w:lang w:val="en-AU"/>
        </w:rPr>
      </w:pPr>
    </w:p>
    <w:p w:rsidR="0059146A" w:rsidRPr="00982C79" w:rsidRDefault="0059146A" w:rsidP="0059146A">
      <w:pPr>
        <w:rPr>
          <w:lang w:val="en-AU"/>
        </w:rPr>
      </w:pPr>
    </w:p>
    <w:p w:rsidR="003D352D" w:rsidRPr="00982C79" w:rsidRDefault="00A56F14" w:rsidP="003D352D">
      <w:pPr>
        <w:pStyle w:val="Title"/>
        <w:spacing w:after="120" w:line="600" w:lineRule="exact"/>
        <w:rPr>
          <w:spacing w:val="-20"/>
          <w:sz w:val="60"/>
          <w:lang w:val="en-AU"/>
        </w:rPr>
      </w:pPr>
      <w:r w:rsidRPr="00982C79">
        <w:rPr>
          <w:spacing w:val="-20"/>
          <w:sz w:val="60"/>
          <w:lang w:val="en-AU"/>
        </w:rPr>
        <w:t>Aid program performance</w:t>
      </w:r>
      <w:r w:rsidR="003D352D" w:rsidRPr="00982C79">
        <w:rPr>
          <w:spacing w:val="-20"/>
          <w:sz w:val="60"/>
          <w:lang w:val="en-AU"/>
        </w:rPr>
        <w:t xml:space="preserve"> </w:t>
      </w:r>
      <w:r w:rsidRPr="00982C79">
        <w:rPr>
          <w:spacing w:val="-20"/>
          <w:sz w:val="60"/>
          <w:lang w:val="en-AU"/>
        </w:rPr>
        <w:t>report 2015-16</w:t>
      </w:r>
    </w:p>
    <w:p w:rsidR="0059146A" w:rsidRPr="00982C79" w:rsidRDefault="00A83DE7" w:rsidP="00A56F14">
      <w:pPr>
        <w:rPr>
          <w:sz w:val="24"/>
          <w:lang w:val="en-AU"/>
        </w:rPr>
        <w:sectPr w:rsidR="0059146A" w:rsidRPr="00982C79" w:rsidSect="00A56F14">
          <w:headerReference w:type="even" r:id="rId11"/>
          <w:headerReference w:type="default" r:id="rId12"/>
          <w:footerReference w:type="even" r:id="rId13"/>
          <w:footerReference w:type="default" r:id="rId14"/>
          <w:headerReference w:type="first" r:id="rId15"/>
          <w:footerReference w:type="first" r:id="rId16"/>
          <w:pgSz w:w="11906" w:h="16838" w:code="9"/>
          <w:pgMar w:top="1952" w:right="1134" w:bottom="851" w:left="1134" w:header="1814" w:footer="567" w:gutter="0"/>
          <w:cols w:space="397"/>
          <w:titlePg/>
          <w:docGrid w:linePitch="360"/>
        </w:sectPr>
      </w:pPr>
      <w:r w:rsidRPr="00982C79">
        <w:rPr>
          <w:sz w:val="40"/>
          <w:lang w:val="en-AU"/>
        </w:rPr>
        <w:t>Laos</w:t>
      </w:r>
      <w:r w:rsidR="0059146A" w:rsidRPr="00982C79">
        <w:rPr>
          <w:sz w:val="40"/>
          <w:lang w:val="en-AU"/>
        </w:rPr>
        <w:br/>
      </w:r>
      <w:r w:rsidR="009C5571">
        <w:rPr>
          <w:sz w:val="24"/>
          <w:lang w:val="en-AU"/>
        </w:rPr>
        <w:t>November</w:t>
      </w:r>
      <w:r w:rsidR="0059146A" w:rsidRPr="00982C79">
        <w:rPr>
          <w:sz w:val="24"/>
          <w:lang w:val="en-AU"/>
        </w:rPr>
        <w:t xml:space="preserve"> 2016</w:t>
      </w:r>
    </w:p>
    <w:p w:rsidR="005B5769" w:rsidRPr="00982C79" w:rsidRDefault="003D7437" w:rsidP="00B438D3">
      <w:pPr>
        <w:pStyle w:val="Title"/>
        <w:rPr>
          <w:lang w:val="en-AU"/>
        </w:rPr>
      </w:pPr>
      <w:r>
        <w:rPr>
          <w:lang w:val="en-AU"/>
        </w:rPr>
        <w:lastRenderedPageBreak/>
        <w:t xml:space="preserve">Laos </w:t>
      </w:r>
      <w:r w:rsidR="005B5769" w:rsidRPr="00982C79">
        <w:rPr>
          <w:lang w:val="en-AU"/>
        </w:rPr>
        <w:t>Aid Program Performance Information 2015-16</w:t>
      </w:r>
    </w:p>
    <w:p w:rsidR="005B5769" w:rsidRPr="00982C79" w:rsidRDefault="005B5769" w:rsidP="00B438D3">
      <w:pPr>
        <w:pStyle w:val="Subtitle"/>
        <w:rPr>
          <w:lang w:val="en-AU"/>
        </w:rPr>
      </w:pPr>
      <w:r w:rsidRPr="00982C79">
        <w:rPr>
          <w:lang w:val="en-AU"/>
        </w:rPr>
        <w:t>Summary</w:t>
      </w:r>
    </w:p>
    <w:p w:rsidR="00A26894" w:rsidRDefault="00A26894" w:rsidP="00015316">
      <w:pPr>
        <w:rPr>
          <w:lang w:val="en-AU"/>
        </w:rPr>
      </w:pPr>
      <w:r>
        <w:rPr>
          <w:lang w:val="en-AU"/>
        </w:rPr>
        <w:t xml:space="preserve">This </w:t>
      </w:r>
      <w:r w:rsidR="00643471">
        <w:rPr>
          <w:lang w:val="en-AU"/>
        </w:rPr>
        <w:t xml:space="preserve">report </w:t>
      </w:r>
      <w:r>
        <w:rPr>
          <w:lang w:val="en-AU"/>
        </w:rPr>
        <w:t xml:space="preserve">assesses the performance of </w:t>
      </w:r>
      <w:r w:rsidR="00643471">
        <w:rPr>
          <w:lang w:val="en-AU"/>
        </w:rPr>
        <w:t xml:space="preserve">Australian aid </w:t>
      </w:r>
      <w:r w:rsidR="008E2A36">
        <w:rPr>
          <w:lang w:val="en-AU"/>
        </w:rPr>
        <w:t xml:space="preserve">to Laos </w:t>
      </w:r>
      <w:r w:rsidR="00643471">
        <w:rPr>
          <w:lang w:val="en-AU"/>
        </w:rPr>
        <w:t xml:space="preserve">under </w:t>
      </w:r>
      <w:r>
        <w:rPr>
          <w:lang w:val="en-AU"/>
        </w:rPr>
        <w:t xml:space="preserve">the first year of </w:t>
      </w:r>
      <w:r w:rsidR="008E2A36">
        <w:rPr>
          <w:lang w:val="en-AU"/>
        </w:rPr>
        <w:t>Australia’s</w:t>
      </w:r>
      <w:r>
        <w:rPr>
          <w:lang w:val="en-AU"/>
        </w:rPr>
        <w:t xml:space="preserve"> new aid program strategy – the Laos Program Aid Investment Plan (2015-16 to 2019-20)</w:t>
      </w:r>
      <w:r w:rsidR="003C7CFC">
        <w:rPr>
          <w:lang w:val="en-AU"/>
        </w:rPr>
        <w:t xml:space="preserve">.  </w:t>
      </w:r>
      <w:r w:rsidR="001F04E6">
        <w:rPr>
          <w:lang w:val="en-AU"/>
        </w:rPr>
        <w:t>This</w:t>
      </w:r>
      <w:r>
        <w:rPr>
          <w:lang w:val="en-AU"/>
        </w:rPr>
        <w:t xml:space="preserve"> new strategy aims to promote access to quality basic education, develop </w:t>
      </w:r>
      <w:r w:rsidR="00877922">
        <w:rPr>
          <w:lang w:val="en-AU"/>
        </w:rPr>
        <w:t>Laos’</w:t>
      </w:r>
      <w:r>
        <w:rPr>
          <w:lang w:val="en-AU"/>
        </w:rPr>
        <w:t xml:space="preserve"> human resources and support a stronger trade regime and private sector competitiveness. </w:t>
      </w:r>
    </w:p>
    <w:p w:rsidR="00A26894" w:rsidRDefault="001F04E6" w:rsidP="00015316">
      <w:pPr>
        <w:rPr>
          <w:lang w:val="en-AU"/>
        </w:rPr>
      </w:pPr>
      <w:r>
        <w:rPr>
          <w:lang w:val="en-AU"/>
        </w:rPr>
        <w:t xml:space="preserve">Australia’s aid </w:t>
      </w:r>
      <w:r w:rsidR="0087006B">
        <w:rPr>
          <w:lang w:val="en-AU"/>
        </w:rPr>
        <w:t>to Laos</w:t>
      </w:r>
      <w:r w:rsidR="00877922">
        <w:rPr>
          <w:lang w:val="en-AU"/>
        </w:rPr>
        <w:t xml:space="preserve"> address</w:t>
      </w:r>
      <w:r>
        <w:rPr>
          <w:lang w:val="en-AU"/>
        </w:rPr>
        <w:t>es</w:t>
      </w:r>
      <w:r w:rsidR="00877922">
        <w:rPr>
          <w:lang w:val="en-AU"/>
        </w:rPr>
        <w:t xml:space="preserve"> a number of critical constraints to inclusive development.  Our education sector engagement is designed to ensure children leave the primary school system with a quality education that enables them to both benefit from and contribute to Laos</w:t>
      </w:r>
      <w:r w:rsidR="0027495C">
        <w:rPr>
          <w:lang w:val="en-AU"/>
        </w:rPr>
        <w:t>’</w:t>
      </w:r>
      <w:r w:rsidR="00877922">
        <w:rPr>
          <w:lang w:val="en-AU"/>
        </w:rPr>
        <w:t xml:space="preserve"> economic development.  Our human resource development support aims to address a crucial constraint to the competitiveness of Lao businesses and the delivery of effective government services.  Our trade and private sector engagement aims to help position Laos to capitalise on the opportunities created by more integrated global and regional markets.</w:t>
      </w:r>
    </w:p>
    <w:p w:rsidR="00B438D3" w:rsidRDefault="00982C79" w:rsidP="00015316">
      <w:pPr>
        <w:rPr>
          <w:lang w:val="en-AU"/>
        </w:rPr>
      </w:pPr>
      <w:r w:rsidRPr="00982C79">
        <w:rPr>
          <w:lang w:val="en-AU"/>
        </w:rPr>
        <w:t xml:space="preserve">Australian aid to Laos in 2015-16 </w:t>
      </w:r>
      <w:r w:rsidR="006C654B">
        <w:rPr>
          <w:lang w:val="en-AU"/>
        </w:rPr>
        <w:t xml:space="preserve">was </w:t>
      </w:r>
      <w:r w:rsidRPr="00982C79">
        <w:rPr>
          <w:lang w:val="en-AU"/>
        </w:rPr>
        <w:t>estimated at $44.8 million</w:t>
      </w:r>
      <w:r w:rsidR="005B5769" w:rsidRPr="00982C79">
        <w:rPr>
          <w:lang w:val="en-AU"/>
        </w:rPr>
        <w:t>.</w:t>
      </w:r>
      <w:r w:rsidRPr="00982C79">
        <w:rPr>
          <w:lang w:val="en-AU"/>
        </w:rPr>
        <w:t xml:space="preserve">  In 2014, the most recent year international aid data is available, </w:t>
      </w:r>
      <w:r w:rsidR="003A4C80">
        <w:rPr>
          <w:lang w:val="en-AU"/>
        </w:rPr>
        <w:t>Australia was Laos’ second largest bilateral donor</w:t>
      </w:r>
      <w:r w:rsidR="003A4C80">
        <w:rPr>
          <w:rStyle w:val="FootnoteReference"/>
          <w:lang w:val="en-AU"/>
        </w:rPr>
        <w:footnoteReference w:id="1"/>
      </w:r>
      <w:r w:rsidR="003A4C80">
        <w:rPr>
          <w:lang w:val="en-AU"/>
        </w:rPr>
        <w:t>.</w:t>
      </w:r>
      <w:r w:rsidR="003D098E">
        <w:rPr>
          <w:lang w:val="en-AU"/>
        </w:rPr>
        <w:t xml:space="preserve">  </w:t>
      </w:r>
      <w:r w:rsidR="00BE2470">
        <w:rPr>
          <w:lang w:val="en-AU"/>
        </w:rPr>
        <w:t xml:space="preserve">However, Australia’s </w:t>
      </w:r>
      <w:r w:rsidR="00BE2470" w:rsidRPr="00BE2470">
        <w:rPr>
          <w:lang w:val="en-AU"/>
        </w:rPr>
        <w:t xml:space="preserve">ranking has </w:t>
      </w:r>
      <w:r w:rsidR="00BE2470">
        <w:rPr>
          <w:lang w:val="en-AU"/>
        </w:rPr>
        <w:t xml:space="preserve">likely </w:t>
      </w:r>
      <w:r w:rsidR="00BE2470" w:rsidRPr="00BE2470">
        <w:rPr>
          <w:lang w:val="en-AU"/>
        </w:rPr>
        <w:t>slipped over the past couple years with the re</w:t>
      </w:r>
      <w:r w:rsidR="00BE2470">
        <w:rPr>
          <w:lang w:val="en-AU"/>
        </w:rPr>
        <w:t>duction to the aid budget and a</w:t>
      </w:r>
      <w:r w:rsidR="00BE2470" w:rsidRPr="00BE2470">
        <w:rPr>
          <w:lang w:val="en-AU"/>
        </w:rPr>
        <w:t xml:space="preserve"> scale-up of </w:t>
      </w:r>
      <w:r w:rsidR="00BE2470">
        <w:rPr>
          <w:lang w:val="en-AU"/>
        </w:rPr>
        <w:t>other donor</w:t>
      </w:r>
      <w:r w:rsidR="00B368C3">
        <w:rPr>
          <w:lang w:val="en-AU"/>
        </w:rPr>
        <w:t>s’</w:t>
      </w:r>
      <w:r w:rsidR="00BE2470">
        <w:rPr>
          <w:lang w:val="en-AU"/>
        </w:rPr>
        <w:t xml:space="preserve"> </w:t>
      </w:r>
      <w:r w:rsidR="00BE2470" w:rsidRPr="00BE2470">
        <w:rPr>
          <w:lang w:val="en-AU"/>
        </w:rPr>
        <w:t>aid to Laos</w:t>
      </w:r>
      <w:r w:rsidR="00544EA5">
        <w:rPr>
          <w:lang w:val="en-AU"/>
        </w:rPr>
        <w:t xml:space="preserve">.  </w:t>
      </w:r>
      <w:r w:rsidR="003A4C80">
        <w:rPr>
          <w:lang w:val="en-AU"/>
        </w:rPr>
        <w:t>Australian aid accounted for about 1</w:t>
      </w:r>
      <w:r w:rsidR="00A56331">
        <w:rPr>
          <w:lang w:val="en-AU"/>
        </w:rPr>
        <w:t>1</w:t>
      </w:r>
      <w:r w:rsidR="003A4C80">
        <w:rPr>
          <w:lang w:val="en-AU"/>
        </w:rPr>
        <w:t xml:space="preserve"> per cent of total aid to Laos, and around 0.4 per cent of GDP.</w:t>
      </w:r>
    </w:p>
    <w:p w:rsidR="00A21B56" w:rsidRPr="00982C79" w:rsidRDefault="00A21B56" w:rsidP="00015316">
      <w:pPr>
        <w:rPr>
          <w:lang w:val="en-AU"/>
        </w:rPr>
      </w:pPr>
      <w:r>
        <w:rPr>
          <w:lang w:val="en-AU"/>
        </w:rPr>
        <w:t>Despite the reduced budget, the program has made significant progress against its strategic objectives</w:t>
      </w:r>
      <w:r w:rsidR="0012547C">
        <w:rPr>
          <w:lang w:val="en-AU"/>
        </w:rPr>
        <w:t xml:space="preserve"> in 2015-16</w:t>
      </w:r>
      <w:r>
        <w:rPr>
          <w:lang w:val="en-AU"/>
        </w:rPr>
        <w:t xml:space="preserve">.  </w:t>
      </w:r>
      <w:r w:rsidR="0012547C">
        <w:rPr>
          <w:lang w:val="en-AU"/>
        </w:rPr>
        <w:t>O</w:t>
      </w:r>
      <w:r>
        <w:rPr>
          <w:lang w:val="en-AU"/>
        </w:rPr>
        <w:t xml:space="preserve">ur education sector policy advocacy has been </w:t>
      </w:r>
      <w:r w:rsidR="0012547C">
        <w:rPr>
          <w:lang w:val="en-AU"/>
        </w:rPr>
        <w:t xml:space="preserve">particularly </w:t>
      </w:r>
      <w:r>
        <w:rPr>
          <w:lang w:val="en-AU"/>
        </w:rPr>
        <w:t>effective, resulting in good progress being made with national primary curriculum revision and improvements in school-based management.</w:t>
      </w:r>
    </w:p>
    <w:p w:rsidR="005B5769" w:rsidRPr="00982C79" w:rsidRDefault="005B5769" w:rsidP="00B438D3">
      <w:pPr>
        <w:pStyle w:val="ListBullet"/>
        <w:tabs>
          <w:tab w:val="clear" w:pos="284"/>
        </w:tabs>
        <w:spacing w:before="360"/>
        <w:rPr>
          <w:rFonts w:asciiTheme="majorHAnsi" w:eastAsiaTheme="majorEastAsia" w:hAnsiTheme="majorHAnsi" w:cstheme="majorBidi"/>
          <w:caps/>
          <w:color w:val="495965" w:themeColor="text2"/>
          <w:sz w:val="36"/>
          <w:szCs w:val="26"/>
          <w:lang w:eastAsia="en-US"/>
        </w:rPr>
      </w:pPr>
      <w:r w:rsidRPr="00982C79">
        <w:rPr>
          <w:rFonts w:asciiTheme="majorHAnsi" w:eastAsiaTheme="majorEastAsia" w:hAnsiTheme="majorHAnsi" w:cstheme="majorBidi"/>
          <w:caps/>
          <w:color w:val="495965" w:themeColor="text2"/>
          <w:sz w:val="36"/>
          <w:szCs w:val="26"/>
          <w:lang w:eastAsia="en-US"/>
        </w:rPr>
        <w:t>Performance against Strategic Objectives</w:t>
      </w:r>
    </w:p>
    <w:tbl>
      <w:tblPr>
        <w:tblStyle w:val="APPR"/>
        <w:tblW w:w="5000" w:type="pct"/>
        <w:tblLook w:val="0000" w:firstRow="0" w:lastRow="0" w:firstColumn="0" w:lastColumn="0" w:noHBand="0" w:noVBand="0"/>
      </w:tblPr>
      <w:tblGrid>
        <w:gridCol w:w="7047"/>
        <w:gridCol w:w="1157"/>
        <w:gridCol w:w="478"/>
        <w:gridCol w:w="1228"/>
      </w:tblGrid>
      <w:tr w:rsidR="00045B94" w:rsidRPr="00982C79" w:rsidTr="00DE38B8">
        <w:trPr>
          <w:cnfStyle w:val="000000010000" w:firstRow="0" w:lastRow="0" w:firstColumn="0" w:lastColumn="0" w:oddVBand="0" w:evenVBand="0" w:oddHBand="0" w:evenHBand="1" w:firstRowFirstColumn="0" w:firstRowLastColumn="0" w:lastRowFirstColumn="0" w:lastRowLastColumn="0"/>
          <w:trHeight w:val="651"/>
        </w:trPr>
        <w:tc>
          <w:tcPr>
            <w:tcW w:w="6050" w:type="dxa"/>
          </w:tcPr>
          <w:p w:rsidR="00045B94" w:rsidRPr="00982C79" w:rsidRDefault="00045B94" w:rsidP="00DE38B8">
            <w:pPr>
              <w:pStyle w:val="TableTextColumnHeading"/>
            </w:pPr>
            <w:r w:rsidRPr="00982C79">
              <w:rPr>
                <w:noProof/>
              </w:rPr>
              <w:drawing>
                <wp:anchor distT="0" distB="0" distL="114300" distR="114300" simplePos="0" relativeHeight="251674624" behindDoc="0" locked="0" layoutInCell="1" allowOverlap="1" wp14:anchorId="6F05C020" wp14:editId="4AA872F3">
                  <wp:simplePos x="0" y="0"/>
                  <wp:positionH relativeFrom="column">
                    <wp:posOffset>0</wp:posOffset>
                  </wp:positionH>
                  <wp:positionV relativeFrom="paragraph">
                    <wp:posOffset>0</wp:posOffset>
                  </wp:positionV>
                  <wp:extent cx="1857375" cy="228600"/>
                  <wp:effectExtent l="0" t="0" r="9525" b="0"/>
                  <wp:wrapNone/>
                  <wp:docPr id="12" name="Picture 1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2C79">
              <w:t>Objective</w:t>
            </w:r>
          </w:p>
        </w:tc>
        <w:tc>
          <w:tcPr>
            <w:tcW w:w="975" w:type="dxa"/>
          </w:tcPr>
          <w:p w:rsidR="00045B94" w:rsidRPr="00982C79" w:rsidRDefault="00045B94" w:rsidP="00DE38B8">
            <w:pPr>
              <w:pStyle w:val="TableTextColumnHeading"/>
            </w:pPr>
            <w:r w:rsidRPr="00982C79">
              <w:t>Previous Rating</w:t>
            </w:r>
            <w:r w:rsidRPr="00982C79">
              <w:rPr>
                <w:rStyle w:val="FootnoteReference"/>
              </w:rPr>
              <w:footnoteReference w:id="2"/>
            </w:r>
          </w:p>
        </w:tc>
        <w:tc>
          <w:tcPr>
            <w:tcW w:w="389" w:type="dxa"/>
          </w:tcPr>
          <w:p w:rsidR="00045B94" w:rsidRPr="00982C79" w:rsidRDefault="00045B94" w:rsidP="00DE38B8">
            <w:pPr>
              <w:pStyle w:val="TableTextColumnHeading"/>
            </w:pPr>
          </w:p>
        </w:tc>
        <w:tc>
          <w:tcPr>
            <w:tcW w:w="1024" w:type="dxa"/>
          </w:tcPr>
          <w:p w:rsidR="00045B94" w:rsidRPr="00982C79" w:rsidRDefault="00045B94" w:rsidP="00DE38B8">
            <w:pPr>
              <w:pStyle w:val="TableTextColumnHeading"/>
            </w:pPr>
            <w:r w:rsidRPr="00982C79">
              <w:t>Current Rating</w:t>
            </w:r>
          </w:p>
        </w:tc>
      </w:tr>
      <w:tr w:rsidR="00045B94" w:rsidRPr="00982C79" w:rsidTr="0079113B">
        <w:trPr>
          <w:cnfStyle w:val="000000010000" w:firstRow="0" w:lastRow="0" w:firstColumn="0" w:lastColumn="0" w:oddVBand="0" w:evenVBand="0" w:oddHBand="0" w:evenHBand="1" w:firstRowFirstColumn="0" w:firstRowLastColumn="0" w:lastRowFirstColumn="0" w:lastRowLastColumn="0"/>
        </w:trPr>
        <w:tc>
          <w:tcPr>
            <w:tcW w:w="6050" w:type="dxa"/>
          </w:tcPr>
          <w:p w:rsidR="00045B94" w:rsidRPr="00982C79" w:rsidRDefault="00045B94" w:rsidP="00DE38B8">
            <w:pPr>
              <w:pStyle w:val="TableTextEntries"/>
            </w:pPr>
            <w:r w:rsidRPr="00982C79">
              <w:t>more disadvantaged girls and boys complete a quality basic education</w:t>
            </w:r>
          </w:p>
        </w:tc>
        <w:tc>
          <w:tcPr>
            <w:tcW w:w="975" w:type="dxa"/>
            <w:shd w:val="clear" w:color="auto" w:fill="auto"/>
            <w:noWrap/>
          </w:tcPr>
          <w:p w:rsidR="00045B94" w:rsidRPr="00982C79" w:rsidRDefault="00045B94" w:rsidP="00DE38B8">
            <w:pPr>
              <w:pStyle w:val="TableTextEntries"/>
              <w:jc w:val="center"/>
              <w:rPr>
                <w:color w:val="000000" w:themeColor="text1"/>
              </w:rPr>
            </w:pPr>
            <w:r w:rsidRPr="00982C79">
              <w:rPr>
                <w:color w:val="000000" w:themeColor="text1"/>
              </w:rPr>
              <w:t xml:space="preserve">n.a. </w:t>
            </w:r>
          </w:p>
        </w:tc>
        <w:tc>
          <w:tcPr>
            <w:tcW w:w="389" w:type="dxa"/>
          </w:tcPr>
          <w:p w:rsidR="00045B94" w:rsidRPr="00982C79" w:rsidRDefault="00045B94" w:rsidP="00DE38B8">
            <w:pPr>
              <w:pStyle w:val="TableTextEntries"/>
              <w:jc w:val="center"/>
              <w:rPr>
                <w:color w:val="FFFFFF" w:themeColor="background1"/>
              </w:rPr>
            </w:pPr>
          </w:p>
        </w:tc>
        <w:tc>
          <w:tcPr>
            <w:tcW w:w="1024" w:type="dxa"/>
            <w:shd w:val="clear" w:color="auto" w:fill="00CC00"/>
            <w:noWrap/>
          </w:tcPr>
          <w:p w:rsidR="00045B94" w:rsidRPr="00982C79" w:rsidRDefault="00045B94" w:rsidP="00DE38B8">
            <w:pPr>
              <w:pStyle w:val="TableTextEntries"/>
              <w:jc w:val="center"/>
              <w:rPr>
                <w:color w:val="FFFFFF" w:themeColor="background1"/>
              </w:rPr>
            </w:pPr>
            <w:r w:rsidRPr="00982C79">
              <w:rPr>
                <w:color w:val="FFFFFF" w:themeColor="background1"/>
              </w:rPr>
              <w:t>Green</w:t>
            </w:r>
          </w:p>
        </w:tc>
      </w:tr>
      <w:tr w:rsidR="00045B94" w:rsidRPr="00982C79" w:rsidTr="0079113B">
        <w:trPr>
          <w:cnfStyle w:val="000000010000" w:firstRow="0" w:lastRow="0" w:firstColumn="0" w:lastColumn="0" w:oddVBand="0" w:evenVBand="0" w:oddHBand="0" w:evenHBand="1" w:firstRowFirstColumn="0" w:firstRowLastColumn="0" w:lastRowFirstColumn="0" w:lastRowLastColumn="0"/>
        </w:trPr>
        <w:tc>
          <w:tcPr>
            <w:tcW w:w="6050" w:type="dxa"/>
          </w:tcPr>
          <w:p w:rsidR="00045B94" w:rsidRPr="00982C79" w:rsidRDefault="00045B94" w:rsidP="00DE38B8">
            <w:pPr>
              <w:pStyle w:val="TableTextEntries"/>
            </w:pPr>
            <w:r w:rsidRPr="00982C79">
              <w:t>improving Laos’ human resources through scholarships, training and organisational capacity building</w:t>
            </w:r>
          </w:p>
        </w:tc>
        <w:tc>
          <w:tcPr>
            <w:tcW w:w="975" w:type="dxa"/>
            <w:shd w:val="clear" w:color="auto" w:fill="auto"/>
            <w:noWrap/>
          </w:tcPr>
          <w:p w:rsidR="00045B94" w:rsidRPr="00982C79" w:rsidRDefault="00045B94" w:rsidP="00DE38B8">
            <w:pPr>
              <w:pStyle w:val="TableTextEntries"/>
              <w:jc w:val="center"/>
              <w:rPr>
                <w:color w:val="000000" w:themeColor="text1"/>
              </w:rPr>
            </w:pPr>
            <w:r w:rsidRPr="00982C79">
              <w:rPr>
                <w:color w:val="000000" w:themeColor="text1"/>
              </w:rPr>
              <w:t>n.a.</w:t>
            </w:r>
          </w:p>
        </w:tc>
        <w:tc>
          <w:tcPr>
            <w:tcW w:w="389" w:type="dxa"/>
          </w:tcPr>
          <w:p w:rsidR="00045B94" w:rsidRPr="00982C79" w:rsidRDefault="00045B94" w:rsidP="00DE38B8">
            <w:pPr>
              <w:pStyle w:val="TableTextEntries"/>
              <w:jc w:val="center"/>
              <w:rPr>
                <w:color w:val="FFFFFF" w:themeColor="background1"/>
              </w:rPr>
            </w:pPr>
          </w:p>
        </w:tc>
        <w:tc>
          <w:tcPr>
            <w:tcW w:w="1024" w:type="dxa"/>
            <w:shd w:val="clear" w:color="auto" w:fill="FF9900"/>
            <w:noWrap/>
          </w:tcPr>
          <w:p w:rsidR="00045B94" w:rsidRPr="00982C79" w:rsidRDefault="00045B94" w:rsidP="00DE38B8">
            <w:pPr>
              <w:pStyle w:val="TableTextEntries"/>
              <w:jc w:val="center"/>
              <w:rPr>
                <w:color w:val="FFFFFF" w:themeColor="background1"/>
              </w:rPr>
            </w:pPr>
            <w:r w:rsidRPr="00982C79">
              <w:rPr>
                <w:color w:val="FFFFFF" w:themeColor="background1"/>
              </w:rPr>
              <w:t>Amber</w:t>
            </w:r>
          </w:p>
        </w:tc>
      </w:tr>
      <w:tr w:rsidR="00045B94" w:rsidRPr="00982C79" w:rsidTr="0079113B">
        <w:trPr>
          <w:cnfStyle w:val="000000010000" w:firstRow="0" w:lastRow="0" w:firstColumn="0" w:lastColumn="0" w:oddVBand="0" w:evenVBand="0" w:oddHBand="0" w:evenHBand="1" w:firstRowFirstColumn="0" w:firstRowLastColumn="0" w:lastRowFirstColumn="0" w:lastRowLastColumn="0"/>
        </w:trPr>
        <w:tc>
          <w:tcPr>
            <w:tcW w:w="6050" w:type="dxa"/>
          </w:tcPr>
          <w:p w:rsidR="00045B94" w:rsidRPr="00982C79" w:rsidRDefault="00045B94" w:rsidP="00DE38B8">
            <w:pPr>
              <w:pStyle w:val="TableTextEntries"/>
            </w:pPr>
            <w:r w:rsidRPr="00982C79">
              <w:t>a stronger trade regime and more competitive private sector</w:t>
            </w:r>
          </w:p>
        </w:tc>
        <w:tc>
          <w:tcPr>
            <w:tcW w:w="975" w:type="dxa"/>
            <w:shd w:val="clear" w:color="auto" w:fill="auto"/>
            <w:noWrap/>
          </w:tcPr>
          <w:p w:rsidR="00045B94" w:rsidRPr="00982C79" w:rsidRDefault="00045B94" w:rsidP="00DE38B8">
            <w:pPr>
              <w:pStyle w:val="TableTextEntries"/>
              <w:jc w:val="center"/>
              <w:rPr>
                <w:color w:val="000000" w:themeColor="text1"/>
              </w:rPr>
            </w:pPr>
            <w:r w:rsidRPr="00982C79">
              <w:rPr>
                <w:color w:val="000000" w:themeColor="text1"/>
              </w:rPr>
              <w:t>n.a.</w:t>
            </w:r>
          </w:p>
        </w:tc>
        <w:tc>
          <w:tcPr>
            <w:tcW w:w="389" w:type="dxa"/>
          </w:tcPr>
          <w:p w:rsidR="00045B94" w:rsidRPr="00982C79" w:rsidRDefault="00045B94" w:rsidP="00DE38B8">
            <w:pPr>
              <w:pStyle w:val="TableTextEntries"/>
              <w:jc w:val="center"/>
              <w:rPr>
                <w:color w:val="FFFFFF" w:themeColor="background1"/>
              </w:rPr>
            </w:pPr>
          </w:p>
        </w:tc>
        <w:tc>
          <w:tcPr>
            <w:tcW w:w="1024" w:type="dxa"/>
            <w:shd w:val="clear" w:color="auto" w:fill="FF9900"/>
            <w:noWrap/>
          </w:tcPr>
          <w:p w:rsidR="00045B94" w:rsidRPr="00982C79" w:rsidRDefault="00045B94" w:rsidP="00DE38B8">
            <w:pPr>
              <w:pStyle w:val="TableTextEntries"/>
              <w:jc w:val="center"/>
              <w:rPr>
                <w:color w:val="FFFFFF" w:themeColor="background1"/>
              </w:rPr>
            </w:pPr>
            <w:r w:rsidRPr="00982C79">
              <w:rPr>
                <w:color w:val="FFFFFF" w:themeColor="background1"/>
              </w:rPr>
              <w:t>Amber</w:t>
            </w:r>
          </w:p>
        </w:tc>
      </w:tr>
    </w:tbl>
    <w:p w:rsidR="005B5769" w:rsidRPr="00982C79" w:rsidRDefault="005B5769" w:rsidP="005B5769">
      <w:pPr>
        <w:pStyle w:val="Note"/>
        <w:rPr>
          <w:rFonts w:asciiTheme="minorHAnsi" w:hAnsiTheme="minorHAnsi"/>
          <w:sz w:val="16"/>
        </w:rPr>
      </w:pPr>
      <w:r w:rsidRPr="00982C79">
        <w:rPr>
          <w:rFonts w:asciiTheme="minorHAnsi" w:hAnsiTheme="minorHAnsi"/>
          <w:sz w:val="16"/>
        </w:rPr>
        <w:t xml:space="preserve">Note: </w:t>
      </w:r>
    </w:p>
    <w:p w:rsidR="005B5769" w:rsidRPr="00982C79" w:rsidRDefault="005B5769" w:rsidP="005B5769">
      <w:pPr>
        <w:pStyle w:val="Note"/>
        <w:rPr>
          <w:rFonts w:asciiTheme="minorHAnsi" w:hAnsiTheme="minorHAnsi"/>
          <w:sz w:val="16"/>
        </w:rPr>
      </w:pPr>
      <w:r w:rsidRPr="00982C79">
        <w:rPr>
          <w:rFonts w:asciiTheme="minorHAnsi" w:hAnsiTheme="minorHAnsi"/>
          <w:color w:val="72AF2F"/>
          <w:sz w:val="16"/>
        </w:rPr>
        <w:sym w:font="Webdings" w:char="F067"/>
      </w:r>
      <w:r w:rsidRPr="00982C79">
        <w:rPr>
          <w:rFonts w:asciiTheme="minorHAnsi" w:hAnsiTheme="minorHAnsi"/>
          <w:sz w:val="16"/>
        </w:rPr>
        <w:t> </w:t>
      </w:r>
      <w:r w:rsidRPr="00982C79">
        <w:rPr>
          <w:rFonts w:asciiTheme="minorHAnsi" w:hAnsiTheme="minorHAnsi"/>
          <w:sz w:val="16"/>
        </w:rPr>
        <w:t xml:space="preserve"> Green</w:t>
      </w:r>
      <w:r w:rsidR="00CA74C5" w:rsidRPr="00982C79">
        <w:rPr>
          <w:rFonts w:asciiTheme="minorHAnsi" w:hAnsiTheme="minorHAnsi"/>
          <w:sz w:val="16"/>
        </w:rPr>
        <w:t xml:space="preserve">.  </w:t>
      </w:r>
      <w:r w:rsidRPr="00982C79">
        <w:rPr>
          <w:rFonts w:asciiTheme="minorHAnsi" w:hAnsiTheme="minorHAnsi"/>
          <w:sz w:val="16"/>
        </w:rPr>
        <w:t>Progress is as expected at this stage of implementation and it is likely that the objective will be achieved</w:t>
      </w:r>
      <w:r w:rsidR="00CA74C5" w:rsidRPr="00982C79">
        <w:rPr>
          <w:rFonts w:asciiTheme="minorHAnsi" w:hAnsiTheme="minorHAnsi"/>
          <w:sz w:val="16"/>
        </w:rPr>
        <w:t xml:space="preserve">.  </w:t>
      </w:r>
      <w:r w:rsidRPr="00982C79">
        <w:rPr>
          <w:rFonts w:asciiTheme="minorHAnsi" w:hAnsiTheme="minorHAnsi"/>
          <w:sz w:val="16"/>
        </w:rPr>
        <w:t>Standard program management practices are sufficient.</w:t>
      </w:r>
    </w:p>
    <w:p w:rsidR="005B5769" w:rsidRPr="00982C79" w:rsidRDefault="005B5769" w:rsidP="005B5769">
      <w:pPr>
        <w:pStyle w:val="Note"/>
        <w:rPr>
          <w:rFonts w:asciiTheme="minorHAnsi" w:hAnsiTheme="minorHAnsi"/>
          <w:sz w:val="16"/>
        </w:rPr>
      </w:pPr>
      <w:r w:rsidRPr="00982C79">
        <w:rPr>
          <w:rFonts w:asciiTheme="minorHAnsi" w:hAnsiTheme="minorHAnsi"/>
          <w:color w:val="E36C0A"/>
          <w:sz w:val="16"/>
        </w:rPr>
        <w:sym w:font="Webdings" w:char="F067"/>
      </w:r>
      <w:r w:rsidRPr="00982C79">
        <w:rPr>
          <w:rFonts w:asciiTheme="minorHAnsi" w:hAnsiTheme="minorHAnsi"/>
          <w:sz w:val="16"/>
        </w:rPr>
        <w:t> </w:t>
      </w:r>
      <w:r w:rsidRPr="00982C79">
        <w:rPr>
          <w:rFonts w:asciiTheme="minorHAnsi" w:hAnsiTheme="minorHAnsi"/>
          <w:sz w:val="16"/>
        </w:rPr>
        <w:t xml:space="preserve"> Amber</w:t>
      </w:r>
      <w:r w:rsidR="00CA74C5" w:rsidRPr="00982C79">
        <w:rPr>
          <w:rFonts w:asciiTheme="minorHAnsi" w:hAnsiTheme="minorHAnsi"/>
          <w:sz w:val="16"/>
        </w:rPr>
        <w:t xml:space="preserve">.  </w:t>
      </w:r>
      <w:r w:rsidRPr="00982C79">
        <w:rPr>
          <w:rFonts w:asciiTheme="minorHAnsi" w:hAnsiTheme="minorHAnsi"/>
          <w:sz w:val="16"/>
        </w:rPr>
        <w:t>Progress is somewhat less than expected at this stage of implementation and restorative action will be necessary if the objective is to be achieved</w:t>
      </w:r>
      <w:r w:rsidR="00CA74C5" w:rsidRPr="00982C79">
        <w:rPr>
          <w:rFonts w:asciiTheme="minorHAnsi" w:hAnsiTheme="minorHAnsi"/>
          <w:sz w:val="16"/>
        </w:rPr>
        <w:t xml:space="preserve">.  </w:t>
      </w:r>
      <w:r w:rsidRPr="00982C79">
        <w:rPr>
          <w:rFonts w:asciiTheme="minorHAnsi" w:hAnsiTheme="minorHAnsi"/>
          <w:sz w:val="16"/>
        </w:rPr>
        <w:t>Close performance monitoring is recommended.</w:t>
      </w:r>
    </w:p>
    <w:p w:rsidR="005B5769" w:rsidRPr="00982C79" w:rsidRDefault="005B5769" w:rsidP="005B5769">
      <w:pPr>
        <w:pStyle w:val="Note"/>
        <w:rPr>
          <w:rFonts w:asciiTheme="minorHAnsi" w:hAnsiTheme="minorHAnsi"/>
          <w:sz w:val="16"/>
        </w:rPr>
      </w:pPr>
      <w:r w:rsidRPr="00982C79">
        <w:rPr>
          <w:rFonts w:asciiTheme="minorHAnsi" w:hAnsiTheme="minorHAnsi"/>
          <w:color w:val="FF0000"/>
          <w:sz w:val="16"/>
        </w:rPr>
        <w:sym w:font="Webdings" w:char="F067"/>
      </w:r>
      <w:r w:rsidRPr="00982C79">
        <w:rPr>
          <w:rFonts w:asciiTheme="minorHAnsi" w:hAnsiTheme="minorHAnsi"/>
          <w:sz w:val="16"/>
        </w:rPr>
        <w:t> </w:t>
      </w:r>
      <w:r w:rsidRPr="00982C79">
        <w:rPr>
          <w:rFonts w:asciiTheme="minorHAnsi" w:hAnsiTheme="minorHAnsi"/>
          <w:sz w:val="16"/>
        </w:rPr>
        <w:t xml:space="preserve"> Red</w:t>
      </w:r>
      <w:r w:rsidR="00CA74C5" w:rsidRPr="00982C79">
        <w:rPr>
          <w:rFonts w:asciiTheme="minorHAnsi" w:hAnsiTheme="minorHAnsi"/>
          <w:sz w:val="16"/>
        </w:rPr>
        <w:t xml:space="preserve">.  </w:t>
      </w:r>
      <w:r w:rsidRPr="00982C79">
        <w:rPr>
          <w:rFonts w:asciiTheme="minorHAnsi" w:hAnsiTheme="minorHAnsi"/>
          <w:sz w:val="16"/>
        </w:rPr>
        <w:t>Progress is significantly less than expected at this stage of implementation and the objective is not likely to be met given available resources and priorities</w:t>
      </w:r>
      <w:r w:rsidR="00CA74C5" w:rsidRPr="00982C79">
        <w:rPr>
          <w:rFonts w:asciiTheme="minorHAnsi" w:hAnsiTheme="minorHAnsi"/>
          <w:sz w:val="16"/>
        </w:rPr>
        <w:t xml:space="preserve">.  </w:t>
      </w:r>
      <w:r w:rsidRPr="00982C79">
        <w:rPr>
          <w:rFonts w:asciiTheme="minorHAnsi" w:hAnsiTheme="minorHAnsi"/>
          <w:sz w:val="16"/>
        </w:rPr>
        <w:t>Recasting the objective may be required.</w:t>
      </w:r>
    </w:p>
    <w:p w:rsidR="005B5769" w:rsidRPr="00982C79" w:rsidRDefault="005B5769" w:rsidP="005B5769">
      <w:pPr>
        <w:pStyle w:val="Note"/>
      </w:pPr>
      <w:r w:rsidRPr="00982C79">
        <w:t xml:space="preserve">  </w:t>
      </w:r>
    </w:p>
    <w:p w:rsidR="00253BC9" w:rsidRPr="00F56FAF" w:rsidRDefault="00F56FAF" w:rsidP="00015316">
      <w:pPr>
        <w:rPr>
          <w:b/>
          <w:lang w:val="en-AU"/>
        </w:rPr>
      </w:pPr>
      <w:r w:rsidRPr="00F56FAF">
        <w:rPr>
          <w:b/>
          <w:lang w:val="en-AU"/>
        </w:rPr>
        <w:t>More disadvantaged girls and boys complete a quality basic education</w:t>
      </w:r>
    </w:p>
    <w:p w:rsidR="00B621F5" w:rsidRDefault="00B621F5" w:rsidP="00B621F5">
      <w:r>
        <w:t xml:space="preserve">While net primary school enrolment has improved in recent years, Laos continues to experience high rates of dropout and repetition and poor learning outcomes. </w:t>
      </w:r>
      <w:r w:rsidR="00544EA5">
        <w:t xml:space="preserve">Only 78 per cent of students complete a full five years of primary education, and only 42 per cent of students who reach Grade 5 are able to read fluently.   </w:t>
      </w:r>
      <w:r>
        <w:t>Poor access to clean water and sanitation</w:t>
      </w:r>
      <w:r w:rsidR="00C45741">
        <w:t>,</w:t>
      </w:r>
      <w:r>
        <w:t xml:space="preserve"> as well as food insecurity</w:t>
      </w:r>
      <w:r w:rsidR="00C45741">
        <w:t>,</w:t>
      </w:r>
      <w:r>
        <w:t xml:space="preserve"> are key factors affecting school attendance in rural areas in </w:t>
      </w:r>
      <w:r w:rsidR="009A5002">
        <w:t xml:space="preserve">Laos. </w:t>
      </w:r>
      <w:r w:rsidR="001F04E6">
        <w:t xml:space="preserve"> </w:t>
      </w:r>
      <w:r w:rsidR="00C45741">
        <w:t>O</w:t>
      </w:r>
      <w:r>
        <w:t>nly 55 per cent of primary schools in Laos hav</w:t>
      </w:r>
      <w:r w:rsidR="00C45741">
        <w:t>e</w:t>
      </w:r>
      <w:r>
        <w:t xml:space="preserve"> bot</w:t>
      </w:r>
      <w:r w:rsidR="001F04E6">
        <w:t>h a</w:t>
      </w:r>
      <w:r>
        <w:t xml:space="preserve"> functional water supply and sanitation facilities</w:t>
      </w:r>
      <w:r w:rsidR="00E76946">
        <w:t>.</w:t>
      </w:r>
      <w:r w:rsidR="0024045C">
        <w:t xml:space="preserve">  </w:t>
      </w:r>
      <w:r w:rsidR="00E76946">
        <w:t>O</w:t>
      </w:r>
      <w:r>
        <w:t xml:space="preserve">ne third of households in Laos </w:t>
      </w:r>
      <w:r w:rsidR="00E76946">
        <w:t xml:space="preserve">are </w:t>
      </w:r>
      <w:r>
        <w:t>food insecure (with an additional 40 per cent of the population at risk of becoming food insecure).</w:t>
      </w:r>
    </w:p>
    <w:p w:rsidR="00F91200" w:rsidRDefault="00B621F5" w:rsidP="00B621F5">
      <w:r>
        <w:lastRenderedPageBreak/>
        <w:t xml:space="preserve">Australia’s flagship Basic Education Quality and Access in Laos (BEQUAL) program is a four-year, $82 million program aiming to improve participation and learning outcomes of children in primary school.  </w:t>
      </w:r>
      <w:r w:rsidR="00F83C39">
        <w:t xml:space="preserve">BEQUAL commenced implementation in May 2015.  </w:t>
      </w:r>
      <w:r>
        <w:t>The program achieved all milestones identified in its Annual Plan and performance assessment framework.  Major achievements include supporting 217 new teacher trainees (140 women)</w:t>
      </w:r>
      <w:r w:rsidR="00E76946">
        <w:t xml:space="preserve"> from disadvantage</w:t>
      </w:r>
      <w:r w:rsidR="009810D3">
        <w:t>d</w:t>
      </w:r>
      <w:r w:rsidR="00E76946">
        <w:t xml:space="preserve"> remote areas </w:t>
      </w:r>
      <w:r>
        <w:t>to successfully complete of their first year of teacher training; providing 20 scho</w:t>
      </w:r>
      <w:r w:rsidR="0024045C">
        <w:t xml:space="preserve">larships to teacher educators; </w:t>
      </w:r>
      <w:r>
        <w:t>launching the BEQUAL Education Innovation Fund to encourage new solutions to key education constraints; providing 405 person-days of training for education managers and administrators</w:t>
      </w:r>
      <w:r w:rsidR="00E76946">
        <w:t xml:space="preserve"> in the Ministry of Education and Sports (MoES)</w:t>
      </w:r>
      <w:r w:rsidR="007C29EA">
        <w:t xml:space="preserve"> </w:t>
      </w:r>
      <w:r w:rsidR="007C29EA" w:rsidRPr="007C29EA">
        <w:t>in pedagogy, mentoring and support to schools</w:t>
      </w:r>
      <w:r>
        <w:t xml:space="preserve">; rehabilitating 636 </w:t>
      </w:r>
      <w:r w:rsidR="00B62024">
        <w:t xml:space="preserve">sub-standard </w:t>
      </w:r>
      <w:r>
        <w:t xml:space="preserve">classrooms; developing a new national primary curriculum framework; training 4,162 </w:t>
      </w:r>
      <w:r w:rsidRPr="009810D3">
        <w:t>people</w:t>
      </w:r>
      <w:r w:rsidR="009810D3">
        <w:t xml:space="preserve"> in remote districts</w:t>
      </w:r>
      <w:r>
        <w:t xml:space="preserve"> in community based contracting</w:t>
      </w:r>
      <w:r w:rsidR="007C29EA">
        <w:t xml:space="preserve"> for school infrastructure construction</w:t>
      </w:r>
      <w:r>
        <w:t>, basic water and sanitation and school maintenance supervision</w:t>
      </w:r>
      <w:r w:rsidR="00E76946">
        <w:t>;</w:t>
      </w:r>
      <w:r>
        <w:t xml:space="preserve"> and mobilising a consortium of four non-government organisations to deliver activities to address education barriers in remote villages.  </w:t>
      </w:r>
      <w:r w:rsidR="00F83C39">
        <w:t xml:space="preserve">School infrastructure provision </w:t>
      </w:r>
      <w:r w:rsidR="001B3ACD">
        <w:t>addressed</w:t>
      </w:r>
      <w:r w:rsidR="00F83C39">
        <w:t xml:space="preserve"> disabled student access </w:t>
      </w:r>
      <w:r w:rsidR="001B3ACD">
        <w:t>requirements</w:t>
      </w:r>
      <w:r w:rsidR="00F83C39">
        <w:t>.</w:t>
      </w:r>
    </w:p>
    <w:p w:rsidR="00F56FAF" w:rsidRDefault="00B621F5" w:rsidP="00B621F5">
      <w:r>
        <w:t>Australia continued to provide water and sanitation and school meals though our partnerships with UNICEF and WFP. In 2015</w:t>
      </w:r>
      <w:r w:rsidR="00014956">
        <w:t>,</w:t>
      </w:r>
      <w:r>
        <w:t xml:space="preserve"> UNICEF provided access to clean water and sanitation facilities to 250 schools, benefiting more than 26,000 school children and 9,000 community members in disadvantaged districts. </w:t>
      </w:r>
      <w:r w:rsidR="0024045C">
        <w:t xml:space="preserve"> </w:t>
      </w:r>
      <w:r>
        <w:t>More than 150,000 students living in poor districts were provided with mid-morning snacks</w:t>
      </w:r>
      <w:r w:rsidR="00014956">
        <w:t>,</w:t>
      </w:r>
      <w:r>
        <w:t xml:space="preserve"> and 259 schools in 5 provinces now have access to school lunches. </w:t>
      </w:r>
      <w:r w:rsidR="00CC4676">
        <w:t xml:space="preserve"> </w:t>
      </w:r>
      <w:r w:rsidR="00C82C2C">
        <w:t xml:space="preserve">These </w:t>
      </w:r>
      <w:r w:rsidR="00967893">
        <w:t xml:space="preserve">outputs </w:t>
      </w:r>
      <w:r w:rsidR="00C82C2C">
        <w:t xml:space="preserve">exceeded </w:t>
      </w:r>
      <w:r w:rsidR="00967893">
        <w:t xml:space="preserve">expectations.  </w:t>
      </w:r>
      <w:r>
        <w:t xml:space="preserve">In 2015-16, 28 per cent fewer Lao children dropped-out of school. </w:t>
      </w:r>
      <w:r w:rsidR="0024045C">
        <w:t xml:space="preserve"> </w:t>
      </w:r>
      <w:r>
        <w:t>UNICEF and WFP have commissioned an impact evaluation to determine the extent to which school meals and improved water and sanitation contributed to this reduction.</w:t>
      </w:r>
    </w:p>
    <w:p w:rsidR="00253BC9" w:rsidRPr="000144EE" w:rsidRDefault="000144EE" w:rsidP="00015316">
      <w:pPr>
        <w:rPr>
          <w:b/>
          <w:lang w:val="en-AU"/>
        </w:rPr>
      </w:pPr>
      <w:r w:rsidRPr="000144EE">
        <w:rPr>
          <w:b/>
          <w:lang w:val="en-AU"/>
        </w:rPr>
        <w:t>Improving Laos’ human resources through scholarships, training and organisational capacity building</w:t>
      </w:r>
    </w:p>
    <w:p w:rsidR="000144EE" w:rsidRPr="000144EE" w:rsidRDefault="00014956" w:rsidP="000144EE">
      <w:pPr>
        <w:rPr>
          <w:lang w:val="en-AU"/>
        </w:rPr>
      </w:pPr>
      <w:r w:rsidRPr="00521BEC">
        <w:rPr>
          <w:lang w:val="en-AU"/>
        </w:rPr>
        <w:t>Higher e</w:t>
      </w:r>
      <w:r w:rsidR="000144EE" w:rsidRPr="00521BEC">
        <w:rPr>
          <w:lang w:val="en-AU"/>
        </w:rPr>
        <w:t>ducation and training in Laos is struggling to meet the demands of the Lao economy</w:t>
      </w:r>
      <w:r w:rsidR="00CA74C5" w:rsidRPr="00521BEC">
        <w:rPr>
          <w:lang w:val="en-AU"/>
        </w:rPr>
        <w:t xml:space="preserve">.  </w:t>
      </w:r>
      <w:r w:rsidR="000144EE" w:rsidRPr="00521BEC">
        <w:rPr>
          <w:lang w:val="en-AU"/>
        </w:rPr>
        <w:t>Inadequate</w:t>
      </w:r>
      <w:r w:rsidR="000144EE" w:rsidRPr="000144EE">
        <w:rPr>
          <w:lang w:val="en-AU"/>
        </w:rPr>
        <w:t xml:space="preserve"> workforce skills are the top constraint to private sector expansion in Laos, and Laos lags well behind similar economies on just about every metric on skills</w:t>
      </w:r>
      <w:r w:rsidR="000144EE" w:rsidRPr="008E409C">
        <w:rPr>
          <w:rStyle w:val="FootnoteReference"/>
        </w:rPr>
        <w:footnoteReference w:id="3"/>
      </w:r>
      <w:r w:rsidR="000144EE" w:rsidRPr="000144EE">
        <w:rPr>
          <w:lang w:val="en-AU"/>
        </w:rPr>
        <w:t xml:space="preserve">.  </w:t>
      </w:r>
      <w:r w:rsidR="008C40BC">
        <w:rPr>
          <w:lang w:val="en-AU"/>
        </w:rPr>
        <w:t xml:space="preserve">Employers surveyed reported both shortages of applicants for job advertisements, and job applicants with insufficient skills.  </w:t>
      </w:r>
      <w:r w:rsidR="000144EE" w:rsidRPr="000144EE">
        <w:rPr>
          <w:lang w:val="en-AU"/>
        </w:rPr>
        <w:t>In 2015, ASEAN countries officially entered into a single labour market with the creation of the ASEAN Economic Community.  To become competitive in the ASEAN market, Laos must rapidly build the skills of its workers and improve its productivity.  The constrained fiscal environment is also creating pressure on the Lao Government to make productivity gains</w:t>
      </w:r>
      <w:r w:rsidR="0087006B">
        <w:rPr>
          <w:lang w:val="en-AU"/>
        </w:rPr>
        <w:t xml:space="preserve">.  </w:t>
      </w:r>
      <w:r>
        <w:rPr>
          <w:lang w:val="en-AU"/>
        </w:rPr>
        <w:t xml:space="preserve">This prompted a </w:t>
      </w:r>
      <w:r w:rsidR="000144EE" w:rsidRPr="000144EE">
        <w:rPr>
          <w:lang w:val="en-AU"/>
        </w:rPr>
        <w:t xml:space="preserve">difficult decision to freeze the allocation of </w:t>
      </w:r>
      <w:r w:rsidR="007F0EFD">
        <w:rPr>
          <w:lang w:val="en-AU"/>
        </w:rPr>
        <w:t xml:space="preserve">civil service </w:t>
      </w:r>
      <w:r w:rsidR="000144EE" w:rsidRPr="000144EE">
        <w:rPr>
          <w:lang w:val="en-AU"/>
        </w:rPr>
        <w:t>recruitment quotas in 2015</w:t>
      </w:r>
      <w:r w:rsidR="007F0EFD">
        <w:rPr>
          <w:lang w:val="en-AU"/>
        </w:rPr>
        <w:t>,</w:t>
      </w:r>
      <w:r w:rsidR="000144EE" w:rsidRPr="000144EE">
        <w:rPr>
          <w:lang w:val="en-AU"/>
        </w:rPr>
        <w:t xml:space="preserve"> and to undertake overdue improvements to the performance assessment system </w:t>
      </w:r>
      <w:r w:rsidR="007F0EFD">
        <w:rPr>
          <w:lang w:val="en-AU"/>
        </w:rPr>
        <w:t>for government employees</w:t>
      </w:r>
      <w:r w:rsidR="000144EE" w:rsidRPr="000144EE">
        <w:rPr>
          <w:lang w:val="en-AU"/>
        </w:rPr>
        <w:t>.</w:t>
      </w:r>
    </w:p>
    <w:p w:rsidR="00F91200" w:rsidRDefault="00F91200" w:rsidP="000144EE">
      <w:pPr>
        <w:rPr>
          <w:lang w:val="en-AU"/>
        </w:rPr>
      </w:pPr>
      <w:r w:rsidRPr="000144EE">
        <w:rPr>
          <w:lang w:val="en-AU"/>
        </w:rPr>
        <w:t xml:space="preserve">The </w:t>
      </w:r>
      <w:r w:rsidR="000144EE" w:rsidRPr="000144EE">
        <w:rPr>
          <w:lang w:val="en-AU"/>
        </w:rPr>
        <w:t>Laos Australia Institute (LAI)</w:t>
      </w:r>
      <w:r w:rsidR="00F83C39">
        <w:rPr>
          <w:lang w:val="en-AU"/>
        </w:rPr>
        <w:t xml:space="preserve">, which commenced implementation in </w:t>
      </w:r>
      <w:r w:rsidR="00F72483">
        <w:rPr>
          <w:lang w:val="en-AU"/>
        </w:rPr>
        <w:t>December 2013,</w:t>
      </w:r>
      <w:r w:rsidR="000144EE" w:rsidRPr="000144EE">
        <w:rPr>
          <w:lang w:val="en-AU"/>
        </w:rPr>
        <w:t xml:space="preserve"> </w:t>
      </w:r>
      <w:r>
        <w:rPr>
          <w:lang w:val="en-AU"/>
        </w:rPr>
        <w:t xml:space="preserve">manages a number of Australia's human resource development programs, including Australia Awards and Australia's local scholarship program.  </w:t>
      </w:r>
      <w:r w:rsidRPr="000144EE">
        <w:rPr>
          <w:lang w:val="en-AU"/>
        </w:rPr>
        <w:t xml:space="preserve">An independent evaluation of </w:t>
      </w:r>
      <w:r>
        <w:rPr>
          <w:lang w:val="en-AU"/>
        </w:rPr>
        <w:t xml:space="preserve">LAI </w:t>
      </w:r>
      <w:r w:rsidR="000144EE" w:rsidRPr="000144EE">
        <w:rPr>
          <w:lang w:val="en-AU"/>
        </w:rPr>
        <w:t>conducted in March 2016 found that the program was effective, but recommended revising the objectives to be more realistic and focused</w:t>
      </w:r>
      <w:r w:rsidR="007F0EFD">
        <w:rPr>
          <w:lang w:val="en-AU"/>
        </w:rPr>
        <w:t xml:space="preserve"> in line with a reduced aid budget for Laos</w:t>
      </w:r>
      <w:r w:rsidR="000144EE" w:rsidRPr="000144EE">
        <w:rPr>
          <w:lang w:val="en-AU"/>
        </w:rPr>
        <w:t>.</w:t>
      </w:r>
      <w:r w:rsidR="0024045C">
        <w:rPr>
          <w:lang w:val="en-AU"/>
        </w:rPr>
        <w:t xml:space="preserve"> </w:t>
      </w:r>
      <w:r w:rsidR="000144EE" w:rsidRPr="000144EE">
        <w:rPr>
          <w:lang w:val="en-AU"/>
        </w:rPr>
        <w:t xml:space="preserve"> </w:t>
      </w:r>
      <w:r w:rsidR="00FD6EE1">
        <w:rPr>
          <w:lang w:val="en-AU"/>
        </w:rPr>
        <w:t>A key result achieve</w:t>
      </w:r>
      <w:r w:rsidR="00B368C3">
        <w:rPr>
          <w:lang w:val="en-AU"/>
        </w:rPr>
        <w:t>d</w:t>
      </w:r>
      <w:r w:rsidR="00FD6EE1">
        <w:rPr>
          <w:lang w:val="en-AU"/>
        </w:rPr>
        <w:t xml:space="preserve"> with the support of LAI d</w:t>
      </w:r>
      <w:r w:rsidR="000144EE" w:rsidRPr="000144EE">
        <w:rPr>
          <w:lang w:val="en-AU"/>
        </w:rPr>
        <w:t xml:space="preserve">uring 2015 </w:t>
      </w:r>
      <w:r w:rsidR="00FD6EE1">
        <w:rPr>
          <w:lang w:val="en-AU"/>
        </w:rPr>
        <w:t xml:space="preserve">was the drafting and approval of </w:t>
      </w:r>
      <w:r w:rsidR="000144EE" w:rsidRPr="000144EE">
        <w:rPr>
          <w:lang w:val="en-AU"/>
        </w:rPr>
        <w:t xml:space="preserve">the National </w:t>
      </w:r>
      <w:r w:rsidR="00FD6EE1">
        <w:rPr>
          <w:lang w:val="en-AU"/>
        </w:rPr>
        <w:t xml:space="preserve">Human Resource Development </w:t>
      </w:r>
      <w:r w:rsidR="000144EE" w:rsidRPr="000144EE">
        <w:rPr>
          <w:lang w:val="en-AU"/>
        </w:rPr>
        <w:t>Strategy</w:t>
      </w:r>
      <w:r w:rsidR="00FD6EE1">
        <w:rPr>
          <w:lang w:val="en-AU"/>
        </w:rPr>
        <w:t xml:space="preserve">, which </w:t>
      </w:r>
      <w:r w:rsidR="00521BEC">
        <w:rPr>
          <w:lang w:val="en-AU"/>
        </w:rPr>
        <w:t>sets the strategic direction for all human resource development in Laos (including the private sector)</w:t>
      </w:r>
      <w:r w:rsidR="00544EA5">
        <w:rPr>
          <w:lang w:val="en-AU"/>
        </w:rPr>
        <w:t xml:space="preserve">.  </w:t>
      </w:r>
      <w:r w:rsidR="00FD6EE1">
        <w:rPr>
          <w:lang w:val="en-AU"/>
        </w:rPr>
        <w:t xml:space="preserve">LAI also supported MoES to undertake an organisational assessment </w:t>
      </w:r>
      <w:r w:rsidR="000144EE" w:rsidRPr="000144EE">
        <w:rPr>
          <w:lang w:val="en-AU"/>
        </w:rPr>
        <w:t xml:space="preserve">to inform a restructure of the Ministry.  </w:t>
      </w:r>
      <w:r w:rsidR="00FD6EE1">
        <w:rPr>
          <w:lang w:val="en-AU"/>
        </w:rPr>
        <w:t>T</w:t>
      </w:r>
      <w:r w:rsidR="000144EE" w:rsidRPr="000144EE">
        <w:rPr>
          <w:lang w:val="en-AU"/>
        </w:rPr>
        <w:t xml:space="preserve">he </w:t>
      </w:r>
      <w:r w:rsidR="00521BEC">
        <w:rPr>
          <w:lang w:val="en-AU"/>
        </w:rPr>
        <w:t xml:space="preserve">planned </w:t>
      </w:r>
      <w:r w:rsidR="000144EE" w:rsidRPr="000144EE">
        <w:rPr>
          <w:lang w:val="en-AU"/>
        </w:rPr>
        <w:t xml:space="preserve">restructure </w:t>
      </w:r>
      <w:r w:rsidR="00521BEC">
        <w:rPr>
          <w:lang w:val="en-AU"/>
        </w:rPr>
        <w:t>will improve</w:t>
      </w:r>
      <w:r w:rsidR="00FD6EE1">
        <w:rPr>
          <w:lang w:val="en-AU"/>
        </w:rPr>
        <w:t xml:space="preserve"> the efficiency of the </w:t>
      </w:r>
      <w:r w:rsidR="0024045C">
        <w:rPr>
          <w:lang w:val="en-AU"/>
        </w:rPr>
        <w:t xml:space="preserve">Ministry </w:t>
      </w:r>
      <w:r w:rsidR="00FD6EE1">
        <w:rPr>
          <w:lang w:val="en-AU"/>
        </w:rPr>
        <w:t xml:space="preserve">by </w:t>
      </w:r>
      <w:r w:rsidR="000144EE" w:rsidRPr="000144EE">
        <w:rPr>
          <w:lang w:val="en-AU"/>
        </w:rPr>
        <w:t>consolidat</w:t>
      </w:r>
      <w:r w:rsidR="00FD6EE1">
        <w:rPr>
          <w:lang w:val="en-AU"/>
        </w:rPr>
        <w:t>ing</w:t>
      </w:r>
      <w:r w:rsidR="000144EE" w:rsidRPr="000144EE">
        <w:rPr>
          <w:lang w:val="en-AU"/>
        </w:rPr>
        <w:t xml:space="preserve"> </w:t>
      </w:r>
      <w:r w:rsidR="00FD6EE1">
        <w:rPr>
          <w:lang w:val="en-AU"/>
        </w:rPr>
        <w:t xml:space="preserve">a number </w:t>
      </w:r>
      <w:r w:rsidR="000144EE" w:rsidRPr="000144EE">
        <w:rPr>
          <w:lang w:val="en-AU"/>
        </w:rPr>
        <w:t>of departments</w:t>
      </w:r>
      <w:r w:rsidR="00521BEC">
        <w:rPr>
          <w:lang w:val="en-AU"/>
        </w:rPr>
        <w:t xml:space="preserve"> and </w:t>
      </w:r>
      <w:r w:rsidR="004D71BC">
        <w:rPr>
          <w:lang w:val="en-AU"/>
        </w:rPr>
        <w:t>reducing overlap and duplication between positions</w:t>
      </w:r>
      <w:r w:rsidR="00544EA5">
        <w:rPr>
          <w:lang w:val="en-AU"/>
        </w:rPr>
        <w:t xml:space="preserve">.  </w:t>
      </w:r>
      <w:r w:rsidR="008D0293">
        <w:rPr>
          <w:lang w:val="en-AU"/>
        </w:rPr>
        <w:t xml:space="preserve">The </w:t>
      </w:r>
      <w:r w:rsidR="00B368C3">
        <w:rPr>
          <w:lang w:val="en-AU"/>
        </w:rPr>
        <w:t xml:space="preserve">reductions in the </w:t>
      </w:r>
      <w:r w:rsidR="000144EE" w:rsidRPr="000144EE">
        <w:rPr>
          <w:lang w:val="en-AU"/>
        </w:rPr>
        <w:t>budget</w:t>
      </w:r>
      <w:r w:rsidR="006D0075">
        <w:rPr>
          <w:lang w:val="en-AU"/>
        </w:rPr>
        <w:t xml:space="preserve"> and</w:t>
      </w:r>
      <w:r w:rsidR="000144EE" w:rsidRPr="000144EE">
        <w:rPr>
          <w:lang w:val="en-AU"/>
        </w:rPr>
        <w:t xml:space="preserve"> institutional </w:t>
      </w:r>
      <w:r w:rsidR="00B368C3">
        <w:rPr>
          <w:lang w:val="en-AU"/>
        </w:rPr>
        <w:t xml:space="preserve">capacity constraints </w:t>
      </w:r>
      <w:r w:rsidR="000144EE" w:rsidRPr="000144EE">
        <w:rPr>
          <w:lang w:val="en-AU"/>
        </w:rPr>
        <w:t xml:space="preserve">meant that progress against objectives for gender </w:t>
      </w:r>
      <w:r w:rsidR="000144EE" w:rsidRPr="006D0075">
        <w:rPr>
          <w:lang w:val="en-AU"/>
        </w:rPr>
        <w:t xml:space="preserve">and disability was less than expected.  </w:t>
      </w:r>
    </w:p>
    <w:p w:rsidR="00F83C39" w:rsidRDefault="00F91200" w:rsidP="000144EE">
      <w:pPr>
        <w:rPr>
          <w:lang w:val="en-AU"/>
        </w:rPr>
      </w:pPr>
      <w:r>
        <w:rPr>
          <w:lang w:val="en-AU"/>
        </w:rPr>
        <w:t>While o</w:t>
      </w:r>
      <w:r w:rsidR="000144EE" w:rsidRPr="006D0075">
        <w:rPr>
          <w:lang w:val="en-AU"/>
        </w:rPr>
        <w:t>ver 90 per cent of Australia Award</w:t>
      </w:r>
      <w:r w:rsidR="00B368C3" w:rsidRPr="009974F5">
        <w:rPr>
          <w:lang w:val="en-AU"/>
        </w:rPr>
        <w:t>s</w:t>
      </w:r>
      <w:r w:rsidR="000144EE" w:rsidRPr="00941682">
        <w:rPr>
          <w:lang w:val="en-AU"/>
        </w:rPr>
        <w:t xml:space="preserve"> </w:t>
      </w:r>
      <w:r w:rsidR="00B368C3" w:rsidRPr="00941682">
        <w:rPr>
          <w:lang w:val="en-AU"/>
        </w:rPr>
        <w:t xml:space="preserve">scholarship recipients </w:t>
      </w:r>
      <w:r w:rsidR="000144EE" w:rsidRPr="006D0075">
        <w:rPr>
          <w:lang w:val="en-AU"/>
        </w:rPr>
        <w:t>successfully completed their courses</w:t>
      </w:r>
      <w:r>
        <w:rPr>
          <w:lang w:val="en-AU"/>
        </w:rPr>
        <w:t xml:space="preserve">, </w:t>
      </w:r>
      <w:r w:rsidR="00B368C3" w:rsidRPr="006D0075">
        <w:rPr>
          <w:lang w:val="en-AU"/>
        </w:rPr>
        <w:t xml:space="preserve">the academic </w:t>
      </w:r>
      <w:r w:rsidR="000144EE" w:rsidRPr="006D0075">
        <w:rPr>
          <w:lang w:val="en-AU"/>
        </w:rPr>
        <w:t xml:space="preserve">performance </w:t>
      </w:r>
      <w:r w:rsidR="00B368C3" w:rsidRPr="006D0075">
        <w:rPr>
          <w:lang w:val="en-AU"/>
        </w:rPr>
        <w:t xml:space="preserve">of scholarship recipients </w:t>
      </w:r>
      <w:r w:rsidR="000144EE" w:rsidRPr="006D0075">
        <w:rPr>
          <w:lang w:val="en-AU"/>
        </w:rPr>
        <w:t>was not as strong as expected</w:t>
      </w:r>
      <w:r w:rsidR="0024045C">
        <w:rPr>
          <w:lang w:val="en-AU"/>
        </w:rPr>
        <w:t>.  T</w:t>
      </w:r>
      <w:r w:rsidR="006D0075" w:rsidRPr="009F24C8">
        <w:rPr>
          <w:lang w:val="en-AU"/>
        </w:rPr>
        <w:t xml:space="preserve">his was </w:t>
      </w:r>
      <w:r w:rsidR="000144EE" w:rsidRPr="006D0075">
        <w:rPr>
          <w:lang w:val="en-AU"/>
        </w:rPr>
        <w:t>linked to issues around awardee selection.  Thirty individuals were shortlisted for Australia Awards</w:t>
      </w:r>
      <w:r w:rsidR="000144EE" w:rsidRPr="000144EE">
        <w:rPr>
          <w:lang w:val="en-AU"/>
        </w:rPr>
        <w:t xml:space="preserve"> </w:t>
      </w:r>
      <w:r w:rsidR="006D0075">
        <w:rPr>
          <w:lang w:val="en-AU"/>
        </w:rPr>
        <w:t>s</w:t>
      </w:r>
      <w:r w:rsidR="000144EE" w:rsidRPr="000144EE">
        <w:rPr>
          <w:lang w:val="en-AU"/>
        </w:rPr>
        <w:t xml:space="preserve">cholarships, however only 21 were awarded (9 female) due to many applicants not meeting minimum English requirements and </w:t>
      </w:r>
      <w:r w:rsidR="000144EE" w:rsidRPr="000144EE">
        <w:rPr>
          <w:lang w:val="en-AU"/>
        </w:rPr>
        <w:lastRenderedPageBreak/>
        <w:t xml:space="preserve">late withdrawals.  </w:t>
      </w:r>
      <w:r w:rsidR="006D0075">
        <w:rPr>
          <w:lang w:val="en-AU"/>
        </w:rPr>
        <w:t xml:space="preserve">To address these issues, </w:t>
      </w:r>
      <w:r w:rsidR="000144EE" w:rsidRPr="000144EE">
        <w:rPr>
          <w:lang w:val="en-AU"/>
        </w:rPr>
        <w:t xml:space="preserve">LAI convened a workshop to </w:t>
      </w:r>
      <w:r w:rsidR="001B3ACD">
        <w:rPr>
          <w:lang w:val="en-AU"/>
        </w:rPr>
        <w:t>develop</w:t>
      </w:r>
      <w:r w:rsidR="00F83C39">
        <w:rPr>
          <w:lang w:val="en-AU"/>
        </w:rPr>
        <w:t xml:space="preserve"> strategies to </w:t>
      </w:r>
      <w:r w:rsidR="000144EE" w:rsidRPr="000144EE">
        <w:rPr>
          <w:lang w:val="en-AU"/>
        </w:rPr>
        <w:t xml:space="preserve">improve scholarships promotion and selection for 2016.  </w:t>
      </w:r>
    </w:p>
    <w:p w:rsidR="00253BC9" w:rsidRDefault="0039792F" w:rsidP="000144EE">
      <w:pPr>
        <w:rPr>
          <w:lang w:val="en-AU"/>
        </w:rPr>
      </w:pPr>
      <w:r>
        <w:rPr>
          <w:lang w:val="en-AU"/>
        </w:rPr>
        <w:t>I</w:t>
      </w:r>
      <w:r w:rsidR="000144EE" w:rsidRPr="000144EE">
        <w:rPr>
          <w:lang w:val="en-AU"/>
        </w:rPr>
        <w:t xml:space="preserve">n the 2015 intake for the Laos Australia National Scholarships (LANS) </w:t>
      </w:r>
      <w:r>
        <w:rPr>
          <w:lang w:val="en-AU"/>
        </w:rPr>
        <w:t xml:space="preserve">20 places (of a total of 70) </w:t>
      </w:r>
      <w:r w:rsidR="000144EE" w:rsidRPr="000144EE">
        <w:rPr>
          <w:lang w:val="en-AU"/>
        </w:rPr>
        <w:t>were reallocated to Souphanouvong University (SU)</w:t>
      </w:r>
      <w:r>
        <w:rPr>
          <w:lang w:val="en-AU"/>
        </w:rPr>
        <w:t xml:space="preserve"> in Luang Prabang</w:t>
      </w:r>
      <w:r w:rsidR="000144EE" w:rsidRPr="000144EE">
        <w:rPr>
          <w:lang w:val="en-AU"/>
        </w:rPr>
        <w:t>.  This reallocation improved the targeting</w:t>
      </w:r>
      <w:r w:rsidR="008D0293">
        <w:rPr>
          <w:lang w:val="en-AU"/>
        </w:rPr>
        <w:t xml:space="preserve"> of</w:t>
      </w:r>
      <w:r w:rsidR="000144EE" w:rsidRPr="000144EE">
        <w:rPr>
          <w:lang w:val="en-AU"/>
        </w:rPr>
        <w:t xml:space="preserve"> ethnic minority students by LANS, with 90 per cent of supported students studying at SU, and 80 per cent of supported students studying at the National University </w:t>
      </w:r>
      <w:r>
        <w:rPr>
          <w:lang w:val="en-AU"/>
        </w:rPr>
        <w:t xml:space="preserve">in Vientiane </w:t>
      </w:r>
      <w:r w:rsidR="000144EE" w:rsidRPr="000144EE">
        <w:rPr>
          <w:lang w:val="en-AU"/>
        </w:rPr>
        <w:t>coming from ethnic minorities</w:t>
      </w:r>
      <w:r>
        <w:rPr>
          <w:lang w:val="en-AU"/>
        </w:rPr>
        <w:t xml:space="preserve">. </w:t>
      </w:r>
      <w:r w:rsidR="0024045C">
        <w:rPr>
          <w:lang w:val="en-AU"/>
        </w:rPr>
        <w:t xml:space="preserve"> </w:t>
      </w:r>
      <w:r>
        <w:rPr>
          <w:lang w:val="en-AU"/>
        </w:rPr>
        <w:t xml:space="preserve">This is an increase from </w:t>
      </w:r>
      <w:r w:rsidR="000144EE" w:rsidRPr="000144EE">
        <w:rPr>
          <w:lang w:val="en-AU"/>
        </w:rPr>
        <w:t>45-50 per cent in previous years</w:t>
      </w:r>
      <w:r w:rsidR="000144EE">
        <w:rPr>
          <w:rStyle w:val="FootnoteReference"/>
        </w:rPr>
        <w:footnoteReference w:id="4"/>
      </w:r>
      <w:r w:rsidR="000144EE" w:rsidRPr="000144EE">
        <w:rPr>
          <w:lang w:val="en-AU"/>
        </w:rPr>
        <w:t xml:space="preserve">.   </w:t>
      </w:r>
    </w:p>
    <w:p w:rsidR="00D863BB" w:rsidRPr="00D863BB" w:rsidRDefault="00D863BB" w:rsidP="000144EE">
      <w:pPr>
        <w:rPr>
          <w:b/>
          <w:lang w:val="en-AU"/>
        </w:rPr>
      </w:pPr>
      <w:r>
        <w:rPr>
          <w:b/>
          <w:lang w:val="en-AU"/>
        </w:rPr>
        <w:t>A</w:t>
      </w:r>
      <w:r w:rsidRPr="00D863BB">
        <w:rPr>
          <w:b/>
          <w:lang w:val="en-AU"/>
        </w:rPr>
        <w:t xml:space="preserve"> stronger trade regime and more competitive private sector</w:t>
      </w:r>
    </w:p>
    <w:p w:rsidR="00D863BB" w:rsidRPr="00376683" w:rsidRDefault="00D863BB" w:rsidP="00D863BB">
      <w:pPr>
        <w:rPr>
          <w:rFonts w:cs="Arial"/>
        </w:rPr>
      </w:pPr>
      <w:r>
        <w:rPr>
          <w:rFonts w:cs="Arial"/>
        </w:rPr>
        <w:t xml:space="preserve">Improving the trading and business environment remains a challenge for the Lao PDR. </w:t>
      </w:r>
      <w:r w:rsidR="0024045C">
        <w:rPr>
          <w:rFonts w:cs="Arial"/>
        </w:rPr>
        <w:t xml:space="preserve"> </w:t>
      </w:r>
      <w:r>
        <w:rPr>
          <w:rFonts w:cs="Arial"/>
        </w:rPr>
        <w:t>Laos is currently rank</w:t>
      </w:r>
      <w:r w:rsidR="00967893">
        <w:rPr>
          <w:rFonts w:cs="Arial"/>
        </w:rPr>
        <w:t>ed</w:t>
      </w:r>
      <w:r>
        <w:rPr>
          <w:rFonts w:cs="Arial"/>
        </w:rPr>
        <w:t xml:space="preserve"> 134</w:t>
      </w:r>
      <w:r w:rsidR="00967893" w:rsidRPr="003C7CFC">
        <w:rPr>
          <w:rFonts w:cs="Arial"/>
          <w:vertAlign w:val="superscript"/>
        </w:rPr>
        <w:t>th</w:t>
      </w:r>
      <w:r w:rsidR="00967893">
        <w:rPr>
          <w:rFonts w:cs="Arial"/>
        </w:rPr>
        <w:t xml:space="preserve"> </w:t>
      </w:r>
      <w:r>
        <w:rPr>
          <w:rFonts w:cs="Arial"/>
        </w:rPr>
        <w:t xml:space="preserve">out of 189 </w:t>
      </w:r>
      <w:r w:rsidR="00CA74C5">
        <w:rPr>
          <w:rFonts w:cs="Arial"/>
        </w:rPr>
        <w:t>countries (</w:t>
      </w:r>
      <w:r>
        <w:rPr>
          <w:rFonts w:cs="Arial"/>
        </w:rPr>
        <w:t>9</w:t>
      </w:r>
      <w:r w:rsidRPr="009E6854">
        <w:rPr>
          <w:rFonts w:cs="Arial"/>
          <w:vertAlign w:val="superscript"/>
        </w:rPr>
        <w:t>th</w:t>
      </w:r>
      <w:r>
        <w:rPr>
          <w:rFonts w:cs="Arial"/>
        </w:rPr>
        <w:t xml:space="preserve"> in ASEAN</w:t>
      </w:r>
      <w:r w:rsidR="00CA74C5">
        <w:rPr>
          <w:rFonts w:cs="Arial"/>
        </w:rPr>
        <w:t>) on</w:t>
      </w:r>
      <w:r>
        <w:rPr>
          <w:rFonts w:cs="Arial"/>
        </w:rPr>
        <w:t xml:space="preserve"> the World Bank’s Ease of Doing Business survey</w:t>
      </w:r>
      <w:r w:rsidR="00B63120">
        <w:rPr>
          <w:rFonts w:cs="Arial"/>
        </w:rPr>
        <w:t>,</w:t>
      </w:r>
      <w:r>
        <w:rPr>
          <w:rFonts w:cs="Arial"/>
        </w:rPr>
        <w:t xml:space="preserve"> and 83</w:t>
      </w:r>
      <w:r w:rsidR="00967893" w:rsidRPr="003C7CFC">
        <w:rPr>
          <w:rFonts w:cs="Arial"/>
          <w:vertAlign w:val="superscript"/>
        </w:rPr>
        <w:t>rd</w:t>
      </w:r>
      <w:r>
        <w:rPr>
          <w:rFonts w:cs="Arial"/>
        </w:rPr>
        <w:t xml:space="preserve"> out </w:t>
      </w:r>
      <w:r w:rsidR="00B63120">
        <w:rPr>
          <w:rFonts w:cs="Arial"/>
        </w:rPr>
        <w:t xml:space="preserve">of </w:t>
      </w:r>
      <w:r>
        <w:rPr>
          <w:rFonts w:cs="Arial"/>
        </w:rPr>
        <w:t>140 countries (7</w:t>
      </w:r>
      <w:r w:rsidRPr="009E6854">
        <w:rPr>
          <w:rFonts w:cs="Arial"/>
          <w:vertAlign w:val="superscript"/>
        </w:rPr>
        <w:t>th</w:t>
      </w:r>
      <w:r>
        <w:rPr>
          <w:rFonts w:cs="Arial"/>
        </w:rPr>
        <w:t xml:space="preserve"> in ASEAN) on the Global Competitiveness Index</w:t>
      </w:r>
      <w:r w:rsidR="00B63120">
        <w:rPr>
          <w:rFonts w:cs="Arial"/>
        </w:rPr>
        <w:t>.</w:t>
      </w:r>
      <w:r>
        <w:rPr>
          <w:rFonts w:cs="Arial"/>
        </w:rPr>
        <w:t xml:space="preserve"> </w:t>
      </w:r>
      <w:r w:rsidR="0024045C">
        <w:rPr>
          <w:rFonts w:cs="Arial"/>
        </w:rPr>
        <w:t xml:space="preserve"> </w:t>
      </w:r>
      <w:r w:rsidR="00544EA5">
        <w:rPr>
          <w:rFonts w:cs="Arial"/>
        </w:rPr>
        <w:t xml:space="preserve">Opaque and inconsistently applied business regulations provide significant barriers for many companies to invest and trade.  </w:t>
      </w:r>
      <w:r>
        <w:rPr>
          <w:rFonts w:cs="Arial"/>
        </w:rPr>
        <w:t>This affects the scale of Australian business operations in Laos</w:t>
      </w:r>
      <w:r w:rsidR="00B63120">
        <w:rPr>
          <w:rFonts w:cs="Arial"/>
        </w:rPr>
        <w:t>,</w:t>
      </w:r>
      <w:r>
        <w:rPr>
          <w:rFonts w:cs="Arial"/>
        </w:rPr>
        <w:t xml:space="preserve"> as well as Laos’ ability to benefit from the ASEAN Economic Community.  </w:t>
      </w:r>
      <w:r w:rsidRPr="00376683">
        <w:rPr>
          <w:rFonts w:cs="Arial"/>
        </w:rPr>
        <w:t>Australia’s flagship trade program, the Trade Development Facility phase 2</w:t>
      </w:r>
      <w:r w:rsidR="00B63120">
        <w:rPr>
          <w:rFonts w:cs="Arial"/>
        </w:rPr>
        <w:t xml:space="preserve"> (TDF2)</w:t>
      </w:r>
      <w:r w:rsidRPr="00376683">
        <w:rPr>
          <w:rFonts w:cs="Arial"/>
        </w:rPr>
        <w:t xml:space="preserve">, supports Laos’ on-going trade reform priorities, aimed at helping the </w:t>
      </w:r>
      <w:r w:rsidR="0024045C">
        <w:rPr>
          <w:rFonts w:cs="Arial"/>
        </w:rPr>
        <w:t>Lao Government</w:t>
      </w:r>
      <w:r w:rsidRPr="00376683">
        <w:rPr>
          <w:rFonts w:cs="Arial"/>
        </w:rPr>
        <w:t xml:space="preserve"> address policy and institutional impediments to trade and investment in sectors that have high potential to contribute to inclusive growth.  This includes helping Laos rationalise and reduce non-tariff measures (NTMs), undertake policy reform, strengthen dissemination of trade rules and provide finance to Lao-based businesses to help them expand.  TDF2 is delivered through a multi-donor trust fund administered by the World Bank.  TDF2 is also supported by the European Union, Irish Aid, USAID and Germany. </w:t>
      </w:r>
      <w:r w:rsidR="0024045C">
        <w:rPr>
          <w:rFonts w:cs="Arial"/>
        </w:rPr>
        <w:t xml:space="preserve"> </w:t>
      </w:r>
      <w:r w:rsidRPr="00376683">
        <w:rPr>
          <w:rFonts w:cs="Arial"/>
        </w:rPr>
        <w:t xml:space="preserve">Australia </w:t>
      </w:r>
      <w:r>
        <w:rPr>
          <w:rFonts w:cs="Arial"/>
        </w:rPr>
        <w:t xml:space="preserve">has </w:t>
      </w:r>
      <w:r w:rsidRPr="00376683">
        <w:rPr>
          <w:rFonts w:cs="Arial"/>
        </w:rPr>
        <w:t xml:space="preserve">committed an additional $4.1 million of aid funding to TDF2 to tackle business climate reforms, a priority and major challenge for the Lao </w:t>
      </w:r>
      <w:r>
        <w:rPr>
          <w:rFonts w:cs="Arial"/>
        </w:rPr>
        <w:t xml:space="preserve">Government </w:t>
      </w:r>
      <w:r w:rsidRPr="00376683">
        <w:rPr>
          <w:rFonts w:cs="Arial"/>
        </w:rPr>
        <w:t xml:space="preserve">and Australian businesses seeking to invest and trade in Laos. </w:t>
      </w:r>
    </w:p>
    <w:p w:rsidR="00D863BB" w:rsidRDefault="00D863BB" w:rsidP="00D863BB">
      <w:pPr>
        <w:rPr>
          <w:rFonts w:cs="Arial"/>
        </w:rPr>
      </w:pPr>
      <w:r w:rsidRPr="00376683">
        <w:rPr>
          <w:rFonts w:cs="Arial"/>
        </w:rPr>
        <w:t xml:space="preserve">Overall, the TDF2 performed well against </w:t>
      </w:r>
      <w:r w:rsidR="00B63120">
        <w:rPr>
          <w:rFonts w:cs="Arial"/>
        </w:rPr>
        <w:t xml:space="preserve">expected </w:t>
      </w:r>
      <w:r w:rsidRPr="00376683">
        <w:rPr>
          <w:rFonts w:cs="Arial"/>
        </w:rPr>
        <w:t>outcomes</w:t>
      </w:r>
      <w:r>
        <w:rPr>
          <w:rFonts w:cs="Arial"/>
        </w:rPr>
        <w:t>,</w:t>
      </w:r>
      <w:r w:rsidRPr="00376683">
        <w:rPr>
          <w:rFonts w:cs="Arial"/>
        </w:rPr>
        <w:t xml:space="preserve"> with </w:t>
      </w:r>
      <w:r>
        <w:rPr>
          <w:rFonts w:cs="Arial"/>
        </w:rPr>
        <w:t xml:space="preserve">the exception of </w:t>
      </w:r>
      <w:r w:rsidRPr="00376683">
        <w:rPr>
          <w:rFonts w:cs="Arial"/>
        </w:rPr>
        <w:t>some disappointing delays in the establishment of the Non</w:t>
      </w:r>
      <w:r>
        <w:rPr>
          <w:rFonts w:cs="Arial"/>
        </w:rPr>
        <w:t>-</w:t>
      </w:r>
      <w:r w:rsidRPr="00376683">
        <w:rPr>
          <w:rFonts w:cs="Arial"/>
        </w:rPr>
        <w:t xml:space="preserve">Tariff Measures Working Group. </w:t>
      </w:r>
      <w:r>
        <w:rPr>
          <w:rFonts w:cs="Arial"/>
        </w:rPr>
        <w:t xml:space="preserve"> </w:t>
      </w:r>
      <w:r w:rsidRPr="00376683">
        <w:rPr>
          <w:rFonts w:cs="Arial"/>
        </w:rPr>
        <w:t xml:space="preserve">Over </w:t>
      </w:r>
      <w:r>
        <w:rPr>
          <w:rFonts w:cs="Arial"/>
        </w:rPr>
        <w:t>240</w:t>
      </w:r>
      <w:r w:rsidRPr="00376683">
        <w:rPr>
          <w:rFonts w:cs="Arial"/>
        </w:rPr>
        <w:t xml:space="preserve"> NTMs have now been classified and </w:t>
      </w:r>
      <w:r>
        <w:rPr>
          <w:rFonts w:cs="Arial"/>
        </w:rPr>
        <w:t xml:space="preserve">work </w:t>
      </w:r>
      <w:r w:rsidRPr="00376683">
        <w:rPr>
          <w:rFonts w:cs="Arial"/>
        </w:rPr>
        <w:t xml:space="preserve">has commenced to identify priority measures to </w:t>
      </w:r>
      <w:r>
        <w:rPr>
          <w:rFonts w:cs="Arial"/>
        </w:rPr>
        <w:t xml:space="preserve">be </w:t>
      </w:r>
      <w:r w:rsidRPr="00376683">
        <w:rPr>
          <w:rFonts w:cs="Arial"/>
        </w:rPr>
        <w:t>address</w:t>
      </w:r>
      <w:r>
        <w:rPr>
          <w:rFonts w:cs="Arial"/>
        </w:rPr>
        <w:t>ed</w:t>
      </w:r>
      <w:r w:rsidRPr="00376683">
        <w:rPr>
          <w:rFonts w:cs="Arial"/>
        </w:rPr>
        <w:t xml:space="preserve">.  The Business Assistance Facility (BAF), </w:t>
      </w:r>
      <w:r w:rsidR="00B63120">
        <w:rPr>
          <w:rFonts w:cs="Arial"/>
        </w:rPr>
        <w:t xml:space="preserve">a </w:t>
      </w:r>
      <w:r w:rsidRPr="00376683">
        <w:rPr>
          <w:rFonts w:cs="Arial"/>
        </w:rPr>
        <w:t xml:space="preserve">matching grants facility for Lao-based businesses, performed </w:t>
      </w:r>
      <w:r>
        <w:rPr>
          <w:rFonts w:cs="Arial"/>
        </w:rPr>
        <w:t xml:space="preserve">more strongly than </w:t>
      </w:r>
      <w:r w:rsidRPr="00376683">
        <w:rPr>
          <w:rFonts w:cs="Arial"/>
        </w:rPr>
        <w:t xml:space="preserve">expected, with </w:t>
      </w:r>
      <w:r>
        <w:rPr>
          <w:rFonts w:cs="Arial"/>
        </w:rPr>
        <w:t>83</w:t>
      </w:r>
      <w:r>
        <w:rPr>
          <w:rStyle w:val="FootnoteReference"/>
          <w:rFonts w:cs="Arial"/>
        </w:rPr>
        <w:footnoteReference w:id="5"/>
      </w:r>
      <w:r w:rsidRPr="00376683">
        <w:rPr>
          <w:rFonts w:cs="Arial"/>
        </w:rPr>
        <w:t xml:space="preserve"> grant approvals </w:t>
      </w:r>
      <w:r>
        <w:rPr>
          <w:rFonts w:cs="Arial"/>
        </w:rPr>
        <w:t xml:space="preserve">with a </w:t>
      </w:r>
      <w:r w:rsidRPr="00376683">
        <w:rPr>
          <w:rFonts w:cs="Arial"/>
        </w:rPr>
        <w:t>value of US$</w:t>
      </w:r>
      <w:r>
        <w:rPr>
          <w:rFonts w:cs="Arial"/>
        </w:rPr>
        <w:t>469,000</w:t>
      </w:r>
      <w:r w:rsidRPr="00376683">
        <w:rPr>
          <w:rFonts w:cs="Arial"/>
        </w:rPr>
        <w:t xml:space="preserve">. </w:t>
      </w:r>
      <w:r w:rsidR="0004758F">
        <w:rPr>
          <w:rFonts w:cs="Arial"/>
        </w:rPr>
        <w:t xml:space="preserve"> </w:t>
      </w:r>
      <w:r w:rsidRPr="00376683">
        <w:rPr>
          <w:rFonts w:cs="Arial"/>
        </w:rPr>
        <w:t>Of those</w:t>
      </w:r>
      <w:r>
        <w:rPr>
          <w:rFonts w:cs="Arial"/>
        </w:rPr>
        <w:t>,</w:t>
      </w:r>
      <w:r w:rsidRPr="00376683">
        <w:rPr>
          <w:rFonts w:cs="Arial"/>
        </w:rPr>
        <w:t xml:space="preserve"> </w:t>
      </w:r>
      <w:r>
        <w:rPr>
          <w:rFonts w:cs="Arial"/>
        </w:rPr>
        <w:t>45</w:t>
      </w:r>
      <w:r w:rsidRPr="00376683">
        <w:rPr>
          <w:rFonts w:cs="Arial"/>
        </w:rPr>
        <w:t xml:space="preserve">% of approvals have been for women-owned firms, exceeding the 30% target. </w:t>
      </w:r>
      <w:r>
        <w:rPr>
          <w:rFonts w:cs="Arial"/>
        </w:rPr>
        <w:t xml:space="preserve"> </w:t>
      </w:r>
      <w:r w:rsidRPr="00376683">
        <w:rPr>
          <w:rFonts w:cs="Arial"/>
        </w:rPr>
        <w:t xml:space="preserve">Three sub-sectors have dominated the grants, namely: </w:t>
      </w:r>
      <w:r w:rsidRPr="00941682">
        <w:rPr>
          <w:rFonts w:cs="Arial"/>
        </w:rPr>
        <w:t>manufacturing, tourism and handicraft</w:t>
      </w:r>
      <w:r w:rsidR="009974F5" w:rsidRPr="00941682">
        <w:rPr>
          <w:rFonts w:cs="Arial"/>
        </w:rPr>
        <w:t>s</w:t>
      </w:r>
      <w:r w:rsidRPr="00824FE4">
        <w:rPr>
          <w:rFonts w:cs="Arial"/>
        </w:rPr>
        <w:t xml:space="preserve">.  </w:t>
      </w:r>
      <w:r w:rsidRPr="00941682">
        <w:rPr>
          <w:rFonts w:cs="Arial"/>
        </w:rPr>
        <w:t>The BAF has enhanced its marketing activities through a new promotional video, a series of radio advertisements and switching the default language to Lao.  Labour standard</w:t>
      </w:r>
      <w:r w:rsidR="008D0293" w:rsidRPr="00941682">
        <w:rPr>
          <w:rFonts w:cs="Arial"/>
        </w:rPr>
        <w:t>s</w:t>
      </w:r>
      <w:r w:rsidRPr="00941682">
        <w:rPr>
          <w:rFonts w:cs="Arial"/>
        </w:rPr>
        <w:t xml:space="preserve"> work progressed according to plan.  </w:t>
      </w:r>
      <w:r w:rsidR="00941682" w:rsidRPr="009F24C8">
        <w:rPr>
          <w:rFonts w:cs="Arial"/>
        </w:rPr>
        <w:t>To support the enforcement of minimum wage standards, TDF2 t</w:t>
      </w:r>
      <w:r w:rsidR="00941682">
        <w:rPr>
          <w:rFonts w:cs="Arial"/>
        </w:rPr>
        <w:t>r</w:t>
      </w:r>
      <w:r w:rsidR="00941682" w:rsidRPr="009F24C8">
        <w:rPr>
          <w:rFonts w:cs="Arial"/>
        </w:rPr>
        <w:t xml:space="preserve">ained labour inspectors on requirements and developed guidance notes and training materials. </w:t>
      </w:r>
      <w:r w:rsidR="0004758F">
        <w:rPr>
          <w:rFonts w:cs="Arial"/>
        </w:rPr>
        <w:t xml:space="preserve"> </w:t>
      </w:r>
      <w:r w:rsidRPr="00941682">
        <w:rPr>
          <w:rFonts w:cs="Arial"/>
        </w:rPr>
        <w:t xml:space="preserve">A pilot scheme to help factories improve working conditions has started with participation of 11 companies.  On strengthening coordination, the Trade and Private Sector Working Group and Program Executive Committee </w:t>
      </w:r>
      <w:r w:rsidR="008738A9" w:rsidRPr="00941682">
        <w:rPr>
          <w:rFonts w:cs="Arial"/>
        </w:rPr>
        <w:t>are</w:t>
      </w:r>
      <w:r w:rsidRPr="00941682">
        <w:rPr>
          <w:rFonts w:cs="Arial"/>
        </w:rPr>
        <w:t xml:space="preserve"> now meeting regularly, resulting in improved intra-</w:t>
      </w:r>
      <w:r w:rsidRPr="00376683">
        <w:rPr>
          <w:rFonts w:cs="Arial"/>
        </w:rPr>
        <w:t>government coordination and government-donor coordination.</w:t>
      </w:r>
    </w:p>
    <w:p w:rsidR="009D104C" w:rsidRDefault="0097426B" w:rsidP="00D863BB">
      <w:pPr>
        <w:rPr>
          <w:b/>
          <w:lang w:val="en-AU"/>
        </w:rPr>
      </w:pPr>
      <w:r>
        <w:rPr>
          <w:b/>
          <w:lang w:val="en-AU"/>
        </w:rPr>
        <w:t>Legacy rural development investments</w:t>
      </w:r>
    </w:p>
    <w:p w:rsidR="0097426B" w:rsidRDefault="0097426B" w:rsidP="00D863BB">
      <w:pPr>
        <w:rPr>
          <w:rFonts w:cs="Arial"/>
        </w:rPr>
      </w:pPr>
      <w:r w:rsidRPr="0097426B">
        <w:rPr>
          <w:rFonts w:cs="Arial"/>
        </w:rPr>
        <w:t xml:space="preserve">We </w:t>
      </w:r>
      <w:r>
        <w:rPr>
          <w:rFonts w:cs="Arial"/>
        </w:rPr>
        <w:t xml:space="preserve">are continuing </w:t>
      </w:r>
      <w:r w:rsidRPr="0097426B">
        <w:rPr>
          <w:rFonts w:cs="Arial"/>
        </w:rPr>
        <w:t xml:space="preserve">to support a number of existing rural development investments under our new Aid Investment Plan until those investments conclude. These investments </w:t>
      </w:r>
      <w:r>
        <w:rPr>
          <w:rFonts w:cs="Arial"/>
        </w:rPr>
        <w:t xml:space="preserve">are </w:t>
      </w:r>
      <w:r w:rsidR="00E03B12">
        <w:rPr>
          <w:rFonts w:cs="Arial"/>
        </w:rPr>
        <w:t xml:space="preserve">generally </w:t>
      </w:r>
      <w:r w:rsidR="001C1B79">
        <w:rPr>
          <w:rFonts w:cs="Arial"/>
        </w:rPr>
        <w:t xml:space="preserve">progressing as expected and </w:t>
      </w:r>
      <w:r w:rsidR="001012F6">
        <w:rPr>
          <w:rFonts w:cs="Arial"/>
        </w:rPr>
        <w:t xml:space="preserve">are </w:t>
      </w:r>
      <w:r>
        <w:rPr>
          <w:rFonts w:cs="Arial"/>
        </w:rPr>
        <w:t>providing</w:t>
      </w:r>
      <w:r w:rsidRPr="0097426B">
        <w:rPr>
          <w:rFonts w:cs="Arial"/>
        </w:rPr>
        <w:t xml:space="preserve"> better access</w:t>
      </w:r>
      <w:r>
        <w:rPr>
          <w:rFonts w:cs="Arial"/>
        </w:rPr>
        <w:t xml:space="preserve"> to financial services, increasing</w:t>
      </w:r>
      <w:r w:rsidRPr="0097426B">
        <w:rPr>
          <w:rFonts w:cs="Arial"/>
        </w:rPr>
        <w:t xml:space="preserve"> household pro</w:t>
      </w:r>
      <w:r>
        <w:rPr>
          <w:rFonts w:cs="Arial"/>
        </w:rPr>
        <w:t>ductivity and incomes and reducing</w:t>
      </w:r>
      <w:r w:rsidRPr="0097426B">
        <w:rPr>
          <w:rFonts w:cs="Arial"/>
        </w:rPr>
        <w:t xml:space="preserve"> unexploded ordnance contamination.</w:t>
      </w:r>
      <w:r>
        <w:rPr>
          <w:rFonts w:cs="Arial"/>
        </w:rPr>
        <w:t xml:space="preserve">  </w:t>
      </w:r>
      <w:r w:rsidR="00E03B12">
        <w:rPr>
          <w:rFonts w:cs="Arial"/>
        </w:rPr>
        <w:t xml:space="preserve">Over a 12 month period </w:t>
      </w:r>
      <w:r w:rsidR="001C1B79">
        <w:rPr>
          <w:rFonts w:cs="Arial"/>
        </w:rPr>
        <w:t xml:space="preserve">we </w:t>
      </w:r>
      <w:r w:rsidR="00E03B12">
        <w:rPr>
          <w:rFonts w:cs="Arial"/>
        </w:rPr>
        <w:t xml:space="preserve">have </w:t>
      </w:r>
      <w:r w:rsidR="001C1B79">
        <w:rPr>
          <w:rFonts w:cs="Arial"/>
        </w:rPr>
        <w:t xml:space="preserve">cleared 146 hectares of unexploded ordnance, benefiting over 8,500 people through our UXO program.  We </w:t>
      </w:r>
      <w:r w:rsidR="00E03B12">
        <w:rPr>
          <w:rFonts w:cs="Arial"/>
        </w:rPr>
        <w:t xml:space="preserve">have </w:t>
      </w:r>
      <w:r w:rsidR="001C1B79">
        <w:rPr>
          <w:rFonts w:cs="Arial"/>
        </w:rPr>
        <w:t xml:space="preserve">provided over 46,000 people with access to small-scale community-based infrastructure through the Poverty Reduction Program Phase II.  We </w:t>
      </w:r>
      <w:r w:rsidR="00E03B12">
        <w:rPr>
          <w:rFonts w:cs="Arial"/>
        </w:rPr>
        <w:t xml:space="preserve">have </w:t>
      </w:r>
      <w:r w:rsidR="001C1B79">
        <w:rPr>
          <w:rFonts w:cs="Arial"/>
        </w:rPr>
        <w:t>also improved access to financial services for over 132,000 people.</w:t>
      </w:r>
    </w:p>
    <w:p w:rsidR="009C5571" w:rsidRPr="0097426B" w:rsidRDefault="009C5571" w:rsidP="00D863BB">
      <w:pPr>
        <w:rPr>
          <w:rFonts w:cs="Arial"/>
        </w:rPr>
      </w:pPr>
    </w:p>
    <w:p w:rsidR="008337F6" w:rsidRPr="008337F6" w:rsidRDefault="008337F6" w:rsidP="00D863BB">
      <w:pPr>
        <w:rPr>
          <w:b/>
          <w:lang w:val="en-AU"/>
        </w:rPr>
      </w:pPr>
      <w:r w:rsidRPr="008337F6">
        <w:rPr>
          <w:b/>
          <w:lang w:val="en-AU"/>
        </w:rPr>
        <w:lastRenderedPageBreak/>
        <w:t>Australian Centre for International Agricultural Research (ACIAR)</w:t>
      </w:r>
    </w:p>
    <w:p w:rsidR="008337F6" w:rsidRDefault="008337F6" w:rsidP="00D863BB">
      <w:pPr>
        <w:rPr>
          <w:rFonts w:cs="Arial"/>
        </w:rPr>
      </w:pPr>
      <w:r w:rsidRPr="008337F6">
        <w:rPr>
          <w:rFonts w:cs="Arial"/>
        </w:rPr>
        <w:t xml:space="preserve">Australia’s assistance in Laos is also partly delivered by </w:t>
      </w:r>
      <w:r w:rsidR="00984074">
        <w:rPr>
          <w:rFonts w:cs="Arial"/>
        </w:rPr>
        <w:t>ACIAR</w:t>
      </w:r>
      <w:r w:rsidRPr="008337F6">
        <w:rPr>
          <w:rFonts w:cs="Arial"/>
        </w:rPr>
        <w:t xml:space="preserve">.  In 2015-16, ACIAR delivered a research program ($5.4 million) focused on improving agricultural production systems and market linkages and thereby increasing smallholder income.  The research investments resulted in: the development of a map of plantation teak areas using high resolution remote sensing imagery enabling evidence-based planning and policy development; introduction of soil property maps that can be used to answer the question “what can this soil do?”; the installation of a modern veneer processing facility enabling new timber products for domestic and export markets; and farmers using groundwater for dry season cropping and earning additional incomes as high as 4 million </w:t>
      </w:r>
      <w:r w:rsidR="0015116F">
        <w:rPr>
          <w:rFonts w:cs="Arial"/>
        </w:rPr>
        <w:t xml:space="preserve">Lao kip </w:t>
      </w:r>
      <w:r w:rsidRPr="008337F6">
        <w:rPr>
          <w:rFonts w:cs="Arial"/>
        </w:rPr>
        <w:t>per season.</w:t>
      </w:r>
    </w:p>
    <w:p w:rsidR="00264E6F" w:rsidRPr="001B0C75" w:rsidRDefault="001B0C75" w:rsidP="00D863BB">
      <w:pPr>
        <w:rPr>
          <w:b/>
          <w:lang w:val="en-AU"/>
        </w:rPr>
      </w:pPr>
      <w:r w:rsidRPr="001B0C75">
        <w:rPr>
          <w:b/>
          <w:lang w:val="en-AU"/>
        </w:rPr>
        <w:t>Gender</w:t>
      </w:r>
    </w:p>
    <w:p w:rsidR="00264E6F" w:rsidRDefault="001B0C75" w:rsidP="00D863BB">
      <w:pPr>
        <w:rPr>
          <w:rFonts w:cs="Arial"/>
        </w:rPr>
      </w:pPr>
      <w:r>
        <w:rPr>
          <w:rFonts w:cs="Arial"/>
        </w:rPr>
        <w:t xml:space="preserve">Australian assistance to Laos addresses gender equality and women’s economic empowerment through a number of channels.  </w:t>
      </w:r>
      <w:r w:rsidR="008F235C">
        <w:rPr>
          <w:rFonts w:cs="Arial"/>
        </w:rPr>
        <w:t xml:space="preserve">Australia's basic education engagement employs </w:t>
      </w:r>
      <w:r w:rsidR="00806283">
        <w:rPr>
          <w:rFonts w:cs="Arial"/>
        </w:rPr>
        <w:t xml:space="preserve">several </w:t>
      </w:r>
      <w:r w:rsidR="008F235C">
        <w:rPr>
          <w:rFonts w:cs="Arial"/>
        </w:rPr>
        <w:t>strategies to lift girls</w:t>
      </w:r>
      <w:r w:rsidR="00D37EF8">
        <w:rPr>
          <w:rFonts w:cs="Arial"/>
        </w:rPr>
        <w:t>’</w:t>
      </w:r>
      <w:r w:rsidR="008F235C">
        <w:rPr>
          <w:rFonts w:cs="Arial"/>
        </w:rPr>
        <w:t xml:space="preserve"> enrolment and retention in school, including </w:t>
      </w:r>
      <w:r w:rsidR="008A62D6">
        <w:rPr>
          <w:rFonts w:cs="Arial"/>
        </w:rPr>
        <w:t xml:space="preserve">training </w:t>
      </w:r>
      <w:r w:rsidR="008F235C">
        <w:rPr>
          <w:rFonts w:cs="Arial"/>
        </w:rPr>
        <w:t>female ethnic minority teachers</w:t>
      </w:r>
      <w:r w:rsidR="008A62D6">
        <w:rPr>
          <w:rFonts w:cs="Arial"/>
        </w:rPr>
        <w:t xml:space="preserve"> to be placed in remote rural, educationally-disadvantaged communities</w:t>
      </w:r>
      <w:r w:rsidR="00CD34E7">
        <w:rPr>
          <w:rFonts w:cs="Arial"/>
        </w:rPr>
        <w:t xml:space="preserve"> with significant ethnic minority populations</w:t>
      </w:r>
      <w:r w:rsidR="008F235C">
        <w:rPr>
          <w:rFonts w:cs="Arial"/>
        </w:rPr>
        <w:t xml:space="preserve">.  Australia's human resources development program seeks to achieve gender equality in all </w:t>
      </w:r>
      <w:r w:rsidR="00CD34E7">
        <w:rPr>
          <w:rFonts w:cs="Arial"/>
        </w:rPr>
        <w:t xml:space="preserve">of its </w:t>
      </w:r>
      <w:r w:rsidR="008F235C">
        <w:rPr>
          <w:rFonts w:cs="Arial"/>
        </w:rPr>
        <w:t xml:space="preserve">scholarship programs and is addressing gender issues in human resources development through institutional capacity building </w:t>
      </w:r>
      <w:r w:rsidR="00806283">
        <w:rPr>
          <w:rFonts w:cs="Arial"/>
        </w:rPr>
        <w:t xml:space="preserve">work.  </w:t>
      </w:r>
      <w:r w:rsidR="006C2978">
        <w:rPr>
          <w:rFonts w:cs="Arial"/>
        </w:rPr>
        <w:t>Australia’s</w:t>
      </w:r>
      <w:r w:rsidR="00806283">
        <w:rPr>
          <w:rFonts w:cs="Arial"/>
        </w:rPr>
        <w:t xml:space="preserve"> trade sector engagement is supporting women entrepreneurs grow their businesses and </w:t>
      </w:r>
      <w:r w:rsidR="006C2978">
        <w:rPr>
          <w:rFonts w:cs="Arial"/>
        </w:rPr>
        <w:t xml:space="preserve">Australia </w:t>
      </w:r>
      <w:r w:rsidR="00806283">
        <w:rPr>
          <w:rFonts w:cs="Arial"/>
        </w:rPr>
        <w:t xml:space="preserve">has recently allocated additional resources to </w:t>
      </w:r>
      <w:r w:rsidR="006C2978">
        <w:rPr>
          <w:rFonts w:cs="Arial"/>
        </w:rPr>
        <w:t xml:space="preserve">TDF2 </w:t>
      </w:r>
      <w:r w:rsidR="00806283">
        <w:rPr>
          <w:rFonts w:cs="Arial"/>
        </w:rPr>
        <w:t>lift the gender focus of Australia's work in the sector.</w:t>
      </w:r>
    </w:p>
    <w:p w:rsidR="00264E6F" w:rsidRDefault="00264E6F" w:rsidP="00D863BB">
      <w:pPr>
        <w:rPr>
          <w:rFonts w:cs="Arial"/>
        </w:rPr>
      </w:pPr>
    </w:p>
    <w:p w:rsidR="00264E6F" w:rsidRDefault="00264E6F" w:rsidP="00D863BB">
      <w:pPr>
        <w:rPr>
          <w:rFonts w:cs="Arial"/>
        </w:rPr>
      </w:pPr>
    </w:p>
    <w:p w:rsidR="005B5769" w:rsidRPr="00982C79" w:rsidRDefault="005B5769" w:rsidP="00B438D3">
      <w:pPr>
        <w:pStyle w:val="ListBullet"/>
        <w:tabs>
          <w:tab w:val="clear" w:pos="284"/>
        </w:tabs>
        <w:spacing w:before="400"/>
        <w:rPr>
          <w:rFonts w:asciiTheme="majorHAnsi" w:eastAsiaTheme="majorEastAsia" w:hAnsiTheme="majorHAnsi" w:cstheme="majorBidi"/>
          <w:caps/>
          <w:color w:val="495965" w:themeColor="text2"/>
          <w:sz w:val="36"/>
          <w:szCs w:val="26"/>
          <w:lang w:eastAsia="en-US"/>
        </w:rPr>
      </w:pPr>
      <w:r w:rsidRPr="00982C79">
        <w:rPr>
          <w:rFonts w:asciiTheme="majorHAnsi" w:eastAsiaTheme="majorEastAsia" w:hAnsiTheme="majorHAnsi" w:cstheme="majorBidi"/>
          <w:caps/>
          <w:color w:val="495965" w:themeColor="text2"/>
          <w:sz w:val="36"/>
          <w:szCs w:val="26"/>
          <w:lang w:eastAsia="en-US"/>
        </w:rPr>
        <w:t>Progress towards Performance Benchmarks in 2015</w:t>
      </w:r>
      <w:r w:rsidR="00B438D3" w:rsidRPr="00982C79">
        <w:rPr>
          <w:rFonts w:asciiTheme="majorHAnsi" w:eastAsiaTheme="majorEastAsia" w:hAnsiTheme="majorHAnsi" w:cstheme="majorBidi"/>
          <w:caps/>
          <w:color w:val="495965" w:themeColor="text2"/>
          <w:sz w:val="36"/>
          <w:szCs w:val="26"/>
          <w:lang w:eastAsia="en-US"/>
        </w:rPr>
        <w:noBreakHyphen/>
      </w:r>
      <w:r w:rsidRPr="00982C79">
        <w:rPr>
          <w:rFonts w:asciiTheme="majorHAnsi" w:eastAsiaTheme="majorEastAsia" w:hAnsiTheme="majorHAnsi" w:cstheme="majorBidi"/>
          <w:caps/>
          <w:color w:val="495965" w:themeColor="text2"/>
          <w:sz w:val="36"/>
          <w:szCs w:val="26"/>
          <w:lang w:eastAsia="en-US"/>
        </w:rPr>
        <w:t>16</w:t>
      </w:r>
    </w:p>
    <w:tbl>
      <w:tblPr>
        <w:tblStyle w:val="DFATTable"/>
        <w:tblW w:w="4874" w:type="pct"/>
        <w:tblLook w:val="04A0" w:firstRow="1" w:lastRow="0" w:firstColumn="1" w:lastColumn="0" w:noHBand="0" w:noVBand="1"/>
      </w:tblPr>
      <w:tblGrid>
        <w:gridCol w:w="1508"/>
        <w:gridCol w:w="2715"/>
        <w:gridCol w:w="999"/>
        <w:gridCol w:w="4384"/>
      </w:tblGrid>
      <w:tr w:rsidR="00253BC9" w:rsidRPr="00982C79" w:rsidTr="003A390D">
        <w:trPr>
          <w:tblHeader/>
        </w:trPr>
        <w:tc>
          <w:tcPr>
            <w:tcW w:w="785" w:type="pct"/>
            <w:tcMar>
              <w:top w:w="57" w:type="dxa"/>
              <w:bottom w:w="57" w:type="dxa"/>
            </w:tcMar>
          </w:tcPr>
          <w:p w:rsidR="00253BC9" w:rsidRPr="00982C79" w:rsidRDefault="00253BC9" w:rsidP="00DE38B8">
            <w:pPr>
              <w:pStyle w:val="TableHeading1"/>
              <w:keepNext/>
            </w:pPr>
            <w:r w:rsidRPr="00982C79">
              <w:t>Aid objective</w:t>
            </w:r>
          </w:p>
        </w:tc>
        <w:tc>
          <w:tcPr>
            <w:tcW w:w="1413" w:type="pct"/>
          </w:tcPr>
          <w:p w:rsidR="00253BC9" w:rsidRPr="00982C79" w:rsidRDefault="00253BC9" w:rsidP="00DE38B8">
            <w:pPr>
              <w:pStyle w:val="TableHeading1"/>
              <w:keepNext/>
            </w:pPr>
            <w:r w:rsidRPr="00982C79">
              <w:t xml:space="preserve">2015-16 benchmark </w:t>
            </w:r>
          </w:p>
        </w:tc>
        <w:tc>
          <w:tcPr>
            <w:tcW w:w="520" w:type="pct"/>
          </w:tcPr>
          <w:p w:rsidR="00253BC9" w:rsidRPr="00982C79" w:rsidRDefault="00253BC9" w:rsidP="00216131">
            <w:pPr>
              <w:pStyle w:val="TableHeading1"/>
              <w:keepNext/>
            </w:pPr>
            <w:r w:rsidRPr="00982C79">
              <w:t>Rating</w:t>
            </w:r>
          </w:p>
        </w:tc>
        <w:tc>
          <w:tcPr>
            <w:tcW w:w="2282" w:type="pct"/>
          </w:tcPr>
          <w:p w:rsidR="00253BC9" w:rsidRPr="00982C79" w:rsidRDefault="00253BC9" w:rsidP="00DE38B8">
            <w:pPr>
              <w:pStyle w:val="TableHeading1"/>
              <w:keepNext/>
            </w:pPr>
            <w:r w:rsidRPr="00982C79">
              <w:t>Progress in 2015-16</w:t>
            </w:r>
          </w:p>
        </w:tc>
      </w:tr>
      <w:tr w:rsidR="00253BC9" w:rsidRPr="00982C79" w:rsidTr="004E300B">
        <w:tc>
          <w:tcPr>
            <w:tcW w:w="785" w:type="pct"/>
            <w:vMerge w:val="restart"/>
            <w:tcMar>
              <w:top w:w="57" w:type="dxa"/>
              <w:bottom w:w="57" w:type="dxa"/>
            </w:tcMar>
          </w:tcPr>
          <w:p w:rsidR="00253BC9" w:rsidRPr="00FD4040" w:rsidRDefault="00253BC9" w:rsidP="00DE38B8">
            <w:pPr>
              <w:pStyle w:val="TableTextEntries"/>
              <w:keepNext/>
            </w:pPr>
            <w:r w:rsidRPr="00683454">
              <w:t>1. More disadvantaged girls and boys complete a quality basic educat</w:t>
            </w:r>
            <w:r w:rsidRPr="00FD4040">
              <w:t>ion</w:t>
            </w:r>
          </w:p>
        </w:tc>
        <w:tc>
          <w:tcPr>
            <w:tcW w:w="1413" w:type="pct"/>
          </w:tcPr>
          <w:p w:rsidR="00253BC9" w:rsidRPr="00FD4040" w:rsidRDefault="00253BC9" w:rsidP="00DE38B8">
            <w:pPr>
              <w:pStyle w:val="TableTextEntries"/>
              <w:keepNext/>
            </w:pPr>
            <w:r w:rsidRPr="00FD4040">
              <w:t>Four per cent fewer children drop-out of school from grade one.</w:t>
            </w:r>
          </w:p>
        </w:tc>
        <w:tc>
          <w:tcPr>
            <w:tcW w:w="520" w:type="pct"/>
            <w:shd w:val="clear" w:color="auto" w:fill="33CC33"/>
          </w:tcPr>
          <w:p w:rsidR="00253BC9" w:rsidRPr="00FD4040" w:rsidRDefault="00253BC9" w:rsidP="00216131">
            <w:pPr>
              <w:pStyle w:val="TableTextEntries"/>
              <w:keepNext/>
              <w:rPr>
                <w:color w:val="FFFFFF" w:themeColor="background1"/>
              </w:rPr>
            </w:pPr>
            <w:r w:rsidRPr="00FD4040">
              <w:rPr>
                <w:color w:val="FFFFFF" w:themeColor="background1"/>
              </w:rPr>
              <w:t>Achieved</w:t>
            </w:r>
          </w:p>
        </w:tc>
        <w:tc>
          <w:tcPr>
            <w:tcW w:w="2282" w:type="pct"/>
          </w:tcPr>
          <w:p w:rsidR="00253BC9" w:rsidRPr="00FD4040" w:rsidRDefault="00253BC9" w:rsidP="00DE38B8">
            <w:pPr>
              <w:pStyle w:val="TableTextEntries"/>
              <w:keepNext/>
            </w:pPr>
            <w:r w:rsidRPr="00FD4040">
              <w:t>28 per cent fewer children are dropping-out of school.</w:t>
            </w:r>
          </w:p>
        </w:tc>
      </w:tr>
      <w:tr w:rsidR="00253BC9" w:rsidRPr="00982C79" w:rsidTr="004E300B">
        <w:tc>
          <w:tcPr>
            <w:tcW w:w="785" w:type="pct"/>
            <w:vMerge/>
            <w:tcMar>
              <w:top w:w="57" w:type="dxa"/>
              <w:bottom w:w="57" w:type="dxa"/>
            </w:tcMar>
          </w:tcPr>
          <w:p w:rsidR="00253BC9" w:rsidRPr="00982C79" w:rsidRDefault="00253BC9" w:rsidP="00DE38B8">
            <w:pPr>
              <w:pStyle w:val="TableTextEntries"/>
              <w:keepNext/>
            </w:pPr>
          </w:p>
        </w:tc>
        <w:tc>
          <w:tcPr>
            <w:tcW w:w="1413" w:type="pct"/>
          </w:tcPr>
          <w:p w:rsidR="00253BC9" w:rsidRPr="00982C79" w:rsidRDefault="00253BC9" w:rsidP="00DE38B8">
            <w:pPr>
              <w:pStyle w:val="TableTextEntries"/>
              <w:keepNext/>
            </w:pPr>
            <w:r w:rsidRPr="00982C79">
              <w:t>220 teacher trainees (at least 60% female) from disadvantaged areas commenced training at teacher training colleges.</w:t>
            </w:r>
          </w:p>
          <w:p w:rsidR="00253BC9" w:rsidRPr="00982C79" w:rsidRDefault="00253BC9" w:rsidP="00DE38B8">
            <w:pPr>
              <w:pStyle w:val="TableTextEntries"/>
              <w:keepNext/>
            </w:pPr>
          </w:p>
        </w:tc>
        <w:tc>
          <w:tcPr>
            <w:tcW w:w="520" w:type="pct"/>
            <w:shd w:val="clear" w:color="auto" w:fill="33CC33"/>
          </w:tcPr>
          <w:p w:rsidR="00253BC9" w:rsidRPr="00982C79" w:rsidRDefault="00253BC9" w:rsidP="00216131">
            <w:pPr>
              <w:pStyle w:val="TableTextEntries"/>
              <w:keepNext/>
              <w:rPr>
                <w:color w:val="FFFFFF" w:themeColor="background1"/>
              </w:rPr>
            </w:pPr>
            <w:r w:rsidRPr="00982C79">
              <w:rPr>
                <w:color w:val="FFFFFF" w:themeColor="background1"/>
              </w:rPr>
              <w:t>Achieved</w:t>
            </w:r>
          </w:p>
        </w:tc>
        <w:tc>
          <w:tcPr>
            <w:tcW w:w="2282" w:type="pct"/>
          </w:tcPr>
          <w:p w:rsidR="00253BC9" w:rsidRPr="00982C79" w:rsidRDefault="00253BC9" w:rsidP="00DE38B8">
            <w:pPr>
              <w:pStyle w:val="TableTextEntries"/>
              <w:keepNext/>
            </w:pPr>
            <w:r w:rsidRPr="00982C79">
              <w:t>220 teachers commenced training – 140 women (64%) and 80 men.</w:t>
            </w:r>
          </w:p>
        </w:tc>
      </w:tr>
      <w:tr w:rsidR="00253BC9" w:rsidRPr="00982C79" w:rsidTr="004E300B">
        <w:tc>
          <w:tcPr>
            <w:tcW w:w="785" w:type="pct"/>
            <w:vMerge w:val="restart"/>
            <w:tcMar>
              <w:top w:w="57" w:type="dxa"/>
              <w:bottom w:w="57" w:type="dxa"/>
            </w:tcMar>
          </w:tcPr>
          <w:p w:rsidR="00253BC9" w:rsidRPr="00982C79" w:rsidRDefault="00253BC9" w:rsidP="00DE38B8">
            <w:pPr>
              <w:pStyle w:val="TableTextEntries"/>
              <w:keepNext/>
            </w:pPr>
            <w:r w:rsidRPr="00982C79">
              <w:t>2. Improving Laos’ human resources through scholarships, training and organisational capacity building</w:t>
            </w:r>
          </w:p>
        </w:tc>
        <w:tc>
          <w:tcPr>
            <w:tcW w:w="1413" w:type="pct"/>
          </w:tcPr>
          <w:p w:rsidR="00253BC9" w:rsidRPr="00982C79" w:rsidRDefault="00253BC9" w:rsidP="00DE38B8">
            <w:pPr>
              <w:pStyle w:val="TableTextEntries"/>
              <w:keepNext/>
            </w:pPr>
            <w:r w:rsidRPr="00982C79">
              <w:t>30 qualified people (including at least 15 women) are awarded a tertiary scholarship to study in Australia.</w:t>
            </w:r>
          </w:p>
        </w:tc>
        <w:tc>
          <w:tcPr>
            <w:tcW w:w="520" w:type="pct"/>
            <w:shd w:val="clear" w:color="auto" w:fill="FF9900"/>
          </w:tcPr>
          <w:p w:rsidR="00253BC9" w:rsidRPr="00982C79" w:rsidRDefault="00253BC9" w:rsidP="00216131">
            <w:pPr>
              <w:pStyle w:val="TableTextEntries"/>
              <w:keepNext/>
            </w:pPr>
            <w:r w:rsidRPr="00982C79">
              <w:rPr>
                <w:color w:val="FFFFFF" w:themeColor="background1"/>
              </w:rPr>
              <w:t>Partially achieved</w:t>
            </w:r>
          </w:p>
        </w:tc>
        <w:tc>
          <w:tcPr>
            <w:tcW w:w="2282" w:type="pct"/>
          </w:tcPr>
          <w:p w:rsidR="00253BC9" w:rsidRPr="00982C79" w:rsidRDefault="00253BC9" w:rsidP="00DE38B8">
            <w:pPr>
              <w:pStyle w:val="TableTextEntries"/>
              <w:keepNext/>
            </w:pPr>
            <w:r w:rsidRPr="00982C79">
              <w:t>21 long-term Australia Awards were awarded in 2015-16, 9 of which were to women.  While the program seeks to achieve at least gender parity, English language competency requirements resulted in a larger number of male final awardees.</w:t>
            </w:r>
          </w:p>
        </w:tc>
      </w:tr>
      <w:tr w:rsidR="00253BC9" w:rsidRPr="00982C79" w:rsidTr="004E300B">
        <w:tc>
          <w:tcPr>
            <w:tcW w:w="785" w:type="pct"/>
            <w:vMerge/>
            <w:tcMar>
              <w:top w:w="57" w:type="dxa"/>
              <w:bottom w:w="57" w:type="dxa"/>
            </w:tcMar>
          </w:tcPr>
          <w:p w:rsidR="00253BC9" w:rsidRPr="00982C79" w:rsidRDefault="00253BC9" w:rsidP="00DE38B8">
            <w:pPr>
              <w:pStyle w:val="TableTextEntries"/>
              <w:keepNext/>
            </w:pPr>
          </w:p>
        </w:tc>
        <w:tc>
          <w:tcPr>
            <w:tcW w:w="1413" w:type="pct"/>
          </w:tcPr>
          <w:p w:rsidR="00253BC9" w:rsidRPr="00982C79" w:rsidRDefault="00253BC9" w:rsidP="00DE38B8">
            <w:pPr>
              <w:pStyle w:val="TableTextEntries"/>
              <w:keepNext/>
            </w:pPr>
            <w:r w:rsidRPr="00982C79">
              <w:t>The Lao Ministry of Education and Sport approves a national Human Resource Development Plan based on a comprehensive organisational assessment process.</w:t>
            </w:r>
          </w:p>
          <w:p w:rsidR="00253BC9" w:rsidRPr="00982C79" w:rsidRDefault="00253BC9" w:rsidP="00DE38B8">
            <w:pPr>
              <w:pStyle w:val="TableTextEntries"/>
              <w:keepNext/>
            </w:pPr>
          </w:p>
        </w:tc>
        <w:tc>
          <w:tcPr>
            <w:tcW w:w="520" w:type="pct"/>
            <w:shd w:val="clear" w:color="auto" w:fill="33CC33"/>
          </w:tcPr>
          <w:p w:rsidR="00253BC9" w:rsidRPr="00982C79" w:rsidRDefault="00253BC9" w:rsidP="00216131">
            <w:pPr>
              <w:pStyle w:val="TableTextEntries"/>
              <w:keepNext/>
              <w:rPr>
                <w:color w:val="FFFFFF" w:themeColor="background1"/>
              </w:rPr>
            </w:pPr>
            <w:r w:rsidRPr="00982C79">
              <w:rPr>
                <w:color w:val="FFFFFF" w:themeColor="background1"/>
              </w:rPr>
              <w:t>Achieved</w:t>
            </w:r>
          </w:p>
        </w:tc>
        <w:tc>
          <w:tcPr>
            <w:tcW w:w="2282" w:type="pct"/>
          </w:tcPr>
          <w:p w:rsidR="00253BC9" w:rsidRPr="00982C79" w:rsidRDefault="00253BC9" w:rsidP="00DE38B8">
            <w:pPr>
              <w:pStyle w:val="TableTextEntries"/>
              <w:keepNext/>
            </w:pPr>
            <w:r w:rsidRPr="00982C79">
              <w:t>National Human Resource Development Plan approved by Lao Government in April 2016.</w:t>
            </w:r>
          </w:p>
        </w:tc>
      </w:tr>
      <w:tr w:rsidR="00253BC9" w:rsidRPr="00982C79" w:rsidTr="004E300B">
        <w:tc>
          <w:tcPr>
            <w:tcW w:w="785" w:type="pct"/>
            <w:tcMar>
              <w:top w:w="57" w:type="dxa"/>
              <w:bottom w:w="57" w:type="dxa"/>
            </w:tcMar>
          </w:tcPr>
          <w:p w:rsidR="00253BC9" w:rsidRPr="00982C79" w:rsidRDefault="00253BC9" w:rsidP="00DE38B8">
            <w:pPr>
              <w:pStyle w:val="TableTextEntries"/>
              <w:keepNext/>
            </w:pPr>
            <w:r w:rsidRPr="00982C79">
              <w:t>3. A stronger trade regime and more competitive private sector</w:t>
            </w:r>
          </w:p>
        </w:tc>
        <w:tc>
          <w:tcPr>
            <w:tcW w:w="1413" w:type="pct"/>
          </w:tcPr>
          <w:p w:rsidR="00253BC9" w:rsidRPr="00982C79" w:rsidRDefault="00253BC9" w:rsidP="00DE38B8">
            <w:pPr>
              <w:pStyle w:val="TableTextEntries"/>
              <w:keepNext/>
            </w:pPr>
            <w:r w:rsidRPr="00982C79">
              <w:t>Over 30 grants issued to Lao-based businesses to help increase their sales growth.</w:t>
            </w:r>
          </w:p>
        </w:tc>
        <w:tc>
          <w:tcPr>
            <w:tcW w:w="520" w:type="pct"/>
            <w:shd w:val="clear" w:color="auto" w:fill="33CC33"/>
          </w:tcPr>
          <w:p w:rsidR="00253BC9" w:rsidRPr="00982C79" w:rsidRDefault="00253BC9" w:rsidP="00216131">
            <w:pPr>
              <w:pStyle w:val="TableTextEntries"/>
              <w:keepNext/>
              <w:rPr>
                <w:color w:val="FFFFFF" w:themeColor="background1"/>
              </w:rPr>
            </w:pPr>
            <w:r w:rsidRPr="00982C79">
              <w:rPr>
                <w:color w:val="FFFFFF" w:themeColor="background1"/>
              </w:rPr>
              <w:t>Achieved</w:t>
            </w:r>
          </w:p>
        </w:tc>
        <w:tc>
          <w:tcPr>
            <w:tcW w:w="2282" w:type="pct"/>
          </w:tcPr>
          <w:p w:rsidR="00253BC9" w:rsidRPr="00982C79" w:rsidRDefault="00253BC9" w:rsidP="00DE38B8">
            <w:pPr>
              <w:pStyle w:val="TableTextEntries"/>
              <w:keepNext/>
            </w:pPr>
            <w:r w:rsidRPr="00982C79">
              <w:t xml:space="preserve">83 businesses received grants in calendar year 2015, 37 </w:t>
            </w:r>
            <w:r w:rsidR="0020063D">
              <w:t xml:space="preserve">(45 per cent) </w:t>
            </w:r>
            <w:r w:rsidRPr="00982C79">
              <w:t>of those were female-owned.</w:t>
            </w:r>
          </w:p>
          <w:p w:rsidR="00253BC9" w:rsidRPr="00982C79" w:rsidRDefault="00253BC9" w:rsidP="00DE38B8">
            <w:pPr>
              <w:pStyle w:val="TableTextEntries"/>
              <w:keepNext/>
            </w:pPr>
          </w:p>
        </w:tc>
      </w:tr>
    </w:tbl>
    <w:p w:rsidR="0020063D" w:rsidRDefault="0020063D" w:rsidP="005B5769">
      <w:pPr>
        <w:spacing w:after="120" w:line="280" w:lineRule="exact"/>
        <w:rPr>
          <w:rFonts w:ascii="Franklin Gothic Book" w:eastAsia="Times New Roman" w:hAnsi="Franklin Gothic Book"/>
          <w:lang w:val="en-AU"/>
        </w:rPr>
      </w:pPr>
    </w:p>
    <w:p w:rsidR="009C5571" w:rsidRPr="00982C79" w:rsidRDefault="009C5571" w:rsidP="005B5769">
      <w:pPr>
        <w:spacing w:after="120" w:line="280" w:lineRule="exact"/>
        <w:rPr>
          <w:rFonts w:ascii="Franklin Gothic Book" w:eastAsia="Times New Roman" w:hAnsi="Franklin Gothic Book"/>
          <w:lang w:val="en-AU"/>
        </w:rPr>
      </w:pPr>
    </w:p>
    <w:p w:rsidR="005B5769" w:rsidRPr="00ED1D9F" w:rsidRDefault="005B5769" w:rsidP="005B5769">
      <w:pPr>
        <w:pStyle w:val="Caption"/>
        <w:rPr>
          <w:sz w:val="24"/>
          <w:lang w:val="en-AU"/>
        </w:rPr>
      </w:pPr>
      <w:r w:rsidRPr="00ED1D9F">
        <w:rPr>
          <w:sz w:val="24"/>
          <w:lang w:val="en-AU"/>
        </w:rPr>
        <w:lastRenderedPageBreak/>
        <w:t>Perfor</w:t>
      </w:r>
      <w:r w:rsidR="003A4C80" w:rsidRPr="00ED1D9F">
        <w:rPr>
          <w:sz w:val="24"/>
          <w:lang w:val="en-AU"/>
        </w:rPr>
        <w:t>mance Benchmarks 2016-17 to 2019-20</w:t>
      </w:r>
    </w:p>
    <w:tbl>
      <w:tblPr>
        <w:tblStyle w:val="DFATTable"/>
        <w:tblW w:w="5018" w:type="pct"/>
        <w:tblLayout w:type="fixed"/>
        <w:tblLook w:val="04A0" w:firstRow="1" w:lastRow="0" w:firstColumn="1" w:lastColumn="0" w:noHBand="0" w:noVBand="1"/>
      </w:tblPr>
      <w:tblGrid>
        <w:gridCol w:w="1448"/>
        <w:gridCol w:w="1964"/>
        <w:gridCol w:w="1576"/>
        <w:gridCol w:w="1653"/>
        <w:gridCol w:w="1600"/>
        <w:gridCol w:w="1648"/>
      </w:tblGrid>
      <w:tr w:rsidR="000E6270" w:rsidRPr="00ED1D9F" w:rsidTr="00702B71">
        <w:trPr>
          <w:cantSplit/>
          <w:trHeight w:val="331"/>
          <w:tblHeader/>
        </w:trPr>
        <w:tc>
          <w:tcPr>
            <w:tcW w:w="732" w:type="pct"/>
            <w:tcBorders>
              <w:top w:val="single" w:sz="12" w:space="0" w:color="auto"/>
              <w:left w:val="nil"/>
              <w:bottom w:val="nil"/>
              <w:right w:val="nil"/>
            </w:tcBorders>
          </w:tcPr>
          <w:p w:rsidR="000E6270" w:rsidRPr="005A74B2" w:rsidRDefault="000E6270" w:rsidP="00DE38B8">
            <w:pPr>
              <w:pStyle w:val="TableHeading1"/>
              <w:rPr>
                <w:rFonts w:asciiTheme="minorHAnsi" w:hAnsiTheme="minorHAnsi"/>
                <w:color w:val="000000" w:themeColor="text1"/>
              </w:rPr>
            </w:pPr>
          </w:p>
        </w:tc>
        <w:tc>
          <w:tcPr>
            <w:tcW w:w="993" w:type="pct"/>
            <w:tcBorders>
              <w:top w:val="single" w:sz="12" w:space="0" w:color="auto"/>
              <w:left w:val="nil"/>
              <w:bottom w:val="nil"/>
              <w:right w:val="nil"/>
            </w:tcBorders>
          </w:tcPr>
          <w:p w:rsidR="000E6270" w:rsidRPr="00ED1D9F" w:rsidRDefault="000E6270" w:rsidP="00DE38B8">
            <w:pPr>
              <w:pStyle w:val="TableHeading1"/>
              <w:rPr>
                <w:rFonts w:asciiTheme="minorHAnsi" w:hAnsiTheme="minorHAnsi"/>
              </w:rPr>
            </w:pPr>
          </w:p>
        </w:tc>
        <w:tc>
          <w:tcPr>
            <w:tcW w:w="797" w:type="pct"/>
            <w:tcBorders>
              <w:top w:val="single" w:sz="12" w:space="0" w:color="auto"/>
              <w:left w:val="nil"/>
              <w:bottom w:val="nil"/>
              <w:right w:val="nil"/>
            </w:tcBorders>
            <w:hideMark/>
          </w:tcPr>
          <w:p w:rsidR="000E6270" w:rsidRPr="00ED1D9F" w:rsidRDefault="000E6270" w:rsidP="00702B71">
            <w:pPr>
              <w:pStyle w:val="TableHeading1"/>
              <w:jc w:val="center"/>
              <w:rPr>
                <w:rFonts w:asciiTheme="minorHAnsi" w:hAnsiTheme="minorHAnsi"/>
              </w:rPr>
            </w:pPr>
            <w:r w:rsidRPr="00ED1D9F">
              <w:rPr>
                <w:rFonts w:asciiTheme="minorHAnsi" w:hAnsiTheme="minorHAnsi"/>
              </w:rPr>
              <w:t>2016-17</w:t>
            </w:r>
          </w:p>
        </w:tc>
        <w:tc>
          <w:tcPr>
            <w:tcW w:w="836" w:type="pct"/>
            <w:tcBorders>
              <w:top w:val="single" w:sz="12" w:space="0" w:color="auto"/>
              <w:left w:val="nil"/>
              <w:bottom w:val="nil"/>
              <w:right w:val="nil"/>
            </w:tcBorders>
            <w:hideMark/>
          </w:tcPr>
          <w:p w:rsidR="000E6270" w:rsidRPr="00ED1D9F" w:rsidRDefault="000E6270" w:rsidP="00702B71">
            <w:pPr>
              <w:pStyle w:val="TableHeading1"/>
              <w:jc w:val="center"/>
              <w:rPr>
                <w:rFonts w:asciiTheme="minorHAnsi" w:hAnsiTheme="minorHAnsi"/>
              </w:rPr>
            </w:pPr>
            <w:r w:rsidRPr="00ED1D9F">
              <w:rPr>
                <w:rFonts w:asciiTheme="minorHAnsi" w:hAnsiTheme="minorHAnsi"/>
              </w:rPr>
              <w:t>2017-18</w:t>
            </w:r>
          </w:p>
        </w:tc>
        <w:tc>
          <w:tcPr>
            <w:tcW w:w="809" w:type="pct"/>
            <w:tcBorders>
              <w:top w:val="single" w:sz="12" w:space="0" w:color="auto"/>
              <w:left w:val="nil"/>
              <w:bottom w:val="nil"/>
              <w:right w:val="nil"/>
            </w:tcBorders>
            <w:hideMark/>
          </w:tcPr>
          <w:p w:rsidR="000E6270" w:rsidRPr="00ED1D9F" w:rsidRDefault="000E6270" w:rsidP="00702B71">
            <w:pPr>
              <w:pStyle w:val="TableHeading1"/>
              <w:jc w:val="center"/>
              <w:rPr>
                <w:rFonts w:asciiTheme="minorHAnsi" w:hAnsiTheme="minorHAnsi"/>
              </w:rPr>
            </w:pPr>
            <w:r w:rsidRPr="00ED1D9F">
              <w:rPr>
                <w:rFonts w:asciiTheme="minorHAnsi" w:hAnsiTheme="minorHAnsi"/>
              </w:rPr>
              <w:t>2018-19</w:t>
            </w:r>
          </w:p>
        </w:tc>
        <w:tc>
          <w:tcPr>
            <w:tcW w:w="833" w:type="pct"/>
            <w:tcBorders>
              <w:top w:val="single" w:sz="12" w:space="0" w:color="auto"/>
              <w:left w:val="nil"/>
              <w:bottom w:val="nil"/>
              <w:right w:val="nil"/>
            </w:tcBorders>
          </w:tcPr>
          <w:p w:rsidR="000E6270" w:rsidRPr="00ED1D9F" w:rsidRDefault="000E6270" w:rsidP="00702B71">
            <w:pPr>
              <w:pStyle w:val="TableHeading1"/>
              <w:jc w:val="center"/>
              <w:rPr>
                <w:rFonts w:asciiTheme="minorHAnsi" w:hAnsiTheme="minorHAnsi"/>
              </w:rPr>
            </w:pPr>
            <w:r w:rsidRPr="00ED1D9F">
              <w:rPr>
                <w:rFonts w:asciiTheme="minorHAnsi" w:hAnsiTheme="minorHAnsi"/>
              </w:rPr>
              <w:t>2019-20</w:t>
            </w:r>
          </w:p>
        </w:tc>
      </w:tr>
      <w:tr w:rsidR="000E6270" w:rsidRPr="00ED1D9F" w:rsidTr="00BE46B0">
        <w:trPr>
          <w:trHeight w:val="425"/>
        </w:trPr>
        <w:tc>
          <w:tcPr>
            <w:tcW w:w="5000" w:type="pct"/>
            <w:gridSpan w:val="6"/>
            <w:tcBorders>
              <w:top w:val="nil"/>
              <w:left w:val="nil"/>
              <w:bottom w:val="nil"/>
            </w:tcBorders>
            <w:hideMark/>
          </w:tcPr>
          <w:p w:rsidR="000E6270" w:rsidRPr="005A74B2" w:rsidRDefault="000E6270" w:rsidP="00DE38B8">
            <w:pPr>
              <w:rPr>
                <w:rFonts w:ascii="Calibri Light" w:hAnsi="Calibri Light"/>
                <w:b/>
                <w:color w:val="000000" w:themeColor="text1"/>
                <w:szCs w:val="17"/>
              </w:rPr>
            </w:pPr>
            <w:r w:rsidRPr="005A74B2">
              <w:rPr>
                <w:rFonts w:ascii="Calibri Light" w:hAnsi="Calibri Light"/>
                <w:b/>
                <w:color w:val="000000" w:themeColor="text1"/>
                <w:szCs w:val="17"/>
              </w:rPr>
              <w:t>1. More disadvantaged girls and boys complete a quality basic education</w:t>
            </w:r>
          </w:p>
        </w:tc>
      </w:tr>
      <w:tr w:rsidR="00A11624" w:rsidRPr="00ED1D9F" w:rsidTr="00BE46B0">
        <w:trPr>
          <w:trHeight w:val="702"/>
        </w:trPr>
        <w:tc>
          <w:tcPr>
            <w:tcW w:w="1725" w:type="pct"/>
            <w:gridSpan w:val="2"/>
            <w:tcBorders>
              <w:top w:val="nil"/>
              <w:left w:val="nil"/>
              <w:bottom w:val="nil"/>
              <w:right w:val="nil"/>
            </w:tcBorders>
            <w:hideMark/>
          </w:tcPr>
          <w:p w:rsidR="00A11624" w:rsidRPr="00457824" w:rsidRDefault="00A11624" w:rsidP="008D0293">
            <w:pPr>
              <w:spacing w:after="120"/>
              <w:rPr>
                <w:rFonts w:ascii="Calibri Light" w:hAnsi="Calibri Light"/>
                <w:color w:val="000000" w:themeColor="text1"/>
                <w:szCs w:val="17"/>
              </w:rPr>
            </w:pPr>
            <w:r w:rsidRPr="00457824">
              <w:rPr>
                <w:rFonts w:ascii="Calibri Light" w:hAnsi="Calibri Light"/>
                <w:color w:val="000000" w:themeColor="text1"/>
                <w:szCs w:val="17"/>
              </w:rPr>
              <w:t>Number of ethnic teacher (including per cent female) trainee scholarship holders returning to teach in their communities</w:t>
            </w:r>
          </w:p>
        </w:tc>
        <w:tc>
          <w:tcPr>
            <w:tcW w:w="797" w:type="pct"/>
            <w:tcBorders>
              <w:top w:val="nil"/>
              <w:left w:val="nil"/>
              <w:bottom w:val="nil"/>
              <w:right w:val="nil"/>
            </w:tcBorders>
            <w:hideMark/>
          </w:tcPr>
          <w:p w:rsidR="00A11624" w:rsidRPr="00457824" w:rsidRDefault="00A11624" w:rsidP="004D3006">
            <w:pPr>
              <w:spacing w:after="120"/>
              <w:rPr>
                <w:rFonts w:ascii="Calibri Light" w:hAnsi="Calibri Light"/>
                <w:szCs w:val="17"/>
              </w:rPr>
            </w:pPr>
            <w:r w:rsidRPr="00457824">
              <w:rPr>
                <w:rFonts w:ascii="Calibri Light" w:hAnsi="Calibri Light"/>
                <w:szCs w:val="17"/>
              </w:rPr>
              <w:t>1</w:t>
            </w:r>
            <w:r w:rsidR="00457824">
              <w:rPr>
                <w:rFonts w:ascii="Calibri Light" w:hAnsi="Calibri Light"/>
                <w:szCs w:val="17"/>
              </w:rPr>
              <w:t>52</w:t>
            </w:r>
            <w:r w:rsidRPr="00457824">
              <w:rPr>
                <w:rFonts w:ascii="Calibri Light" w:hAnsi="Calibri Light"/>
                <w:szCs w:val="17"/>
              </w:rPr>
              <w:t xml:space="preserve"> new ethnic students commence training at teacher training college</w:t>
            </w:r>
          </w:p>
        </w:tc>
        <w:tc>
          <w:tcPr>
            <w:tcW w:w="836" w:type="pct"/>
            <w:tcBorders>
              <w:top w:val="nil"/>
              <w:left w:val="nil"/>
              <w:bottom w:val="nil"/>
              <w:right w:val="nil"/>
            </w:tcBorders>
            <w:hideMark/>
          </w:tcPr>
          <w:p w:rsidR="00A11624" w:rsidRPr="00457824" w:rsidRDefault="00A11624" w:rsidP="004D3006">
            <w:pPr>
              <w:spacing w:after="120"/>
              <w:rPr>
                <w:rFonts w:ascii="Calibri Light" w:hAnsi="Calibri Light"/>
                <w:szCs w:val="17"/>
              </w:rPr>
            </w:pPr>
            <w:r w:rsidRPr="00457824">
              <w:rPr>
                <w:rFonts w:ascii="Calibri Light" w:hAnsi="Calibri Light"/>
                <w:szCs w:val="17"/>
              </w:rPr>
              <w:t>381 ethnic students supported to undertake teacher training</w:t>
            </w:r>
          </w:p>
        </w:tc>
        <w:tc>
          <w:tcPr>
            <w:tcW w:w="809" w:type="pct"/>
            <w:tcBorders>
              <w:top w:val="nil"/>
              <w:left w:val="nil"/>
              <w:bottom w:val="nil"/>
              <w:right w:val="nil"/>
            </w:tcBorders>
            <w:hideMark/>
          </w:tcPr>
          <w:p w:rsidR="00A11624" w:rsidRPr="00457824" w:rsidRDefault="00A11624" w:rsidP="004D3006">
            <w:pPr>
              <w:spacing w:after="120"/>
              <w:rPr>
                <w:rFonts w:ascii="Calibri Light" w:hAnsi="Calibri Light"/>
                <w:szCs w:val="17"/>
              </w:rPr>
            </w:pPr>
            <w:r w:rsidRPr="00457824">
              <w:rPr>
                <w:rFonts w:ascii="Calibri Light" w:hAnsi="Calibri Light"/>
                <w:szCs w:val="17"/>
              </w:rPr>
              <w:t>217 ethnic student trainees graduate and return to teach in their communities</w:t>
            </w:r>
          </w:p>
        </w:tc>
        <w:tc>
          <w:tcPr>
            <w:tcW w:w="833" w:type="pct"/>
            <w:tcBorders>
              <w:top w:val="nil"/>
              <w:left w:val="nil"/>
              <w:bottom w:val="nil"/>
              <w:right w:val="nil"/>
            </w:tcBorders>
          </w:tcPr>
          <w:p w:rsidR="00A11624" w:rsidRPr="006038BA" w:rsidRDefault="00A11624" w:rsidP="004D3006">
            <w:pPr>
              <w:spacing w:after="120"/>
              <w:rPr>
                <w:rFonts w:ascii="Calibri Light" w:hAnsi="Calibri Light"/>
                <w:szCs w:val="17"/>
              </w:rPr>
            </w:pPr>
            <w:r w:rsidRPr="00457824">
              <w:rPr>
                <w:rFonts w:ascii="Calibri Light" w:hAnsi="Calibri Light"/>
                <w:szCs w:val="17"/>
              </w:rPr>
              <w:t>1</w:t>
            </w:r>
            <w:r w:rsidR="00457824">
              <w:rPr>
                <w:rFonts w:ascii="Calibri Light" w:hAnsi="Calibri Light"/>
                <w:szCs w:val="17"/>
              </w:rPr>
              <w:t>52</w:t>
            </w:r>
            <w:r w:rsidRPr="00457824">
              <w:rPr>
                <w:rFonts w:ascii="Calibri Light" w:hAnsi="Calibri Light"/>
                <w:szCs w:val="17"/>
              </w:rPr>
              <w:t xml:space="preserve"> ethnic student trainees graduate and return to teach in their communities</w:t>
            </w:r>
          </w:p>
        </w:tc>
      </w:tr>
      <w:tr w:rsidR="00A11624" w:rsidRPr="00ED1D9F" w:rsidTr="00BE46B0">
        <w:trPr>
          <w:trHeight w:val="614"/>
        </w:trPr>
        <w:tc>
          <w:tcPr>
            <w:tcW w:w="1725" w:type="pct"/>
            <w:gridSpan w:val="2"/>
            <w:vMerge w:val="restart"/>
            <w:tcBorders>
              <w:top w:val="nil"/>
              <w:left w:val="nil"/>
              <w:bottom w:val="nil"/>
              <w:right w:val="nil"/>
            </w:tcBorders>
          </w:tcPr>
          <w:p w:rsidR="00A11624" w:rsidRPr="00BE46B0" w:rsidRDefault="00A11624" w:rsidP="00A11624">
            <w:pPr>
              <w:spacing w:after="120"/>
              <w:rPr>
                <w:rFonts w:ascii="Calibri Light" w:hAnsi="Calibri Light"/>
                <w:color w:val="000000" w:themeColor="text1"/>
                <w:szCs w:val="17"/>
              </w:rPr>
            </w:pPr>
            <w:r w:rsidRPr="00BE46B0">
              <w:rPr>
                <w:rFonts w:ascii="Calibri Light" w:hAnsi="Calibri Light"/>
                <w:color w:val="000000" w:themeColor="text1"/>
                <w:szCs w:val="17"/>
              </w:rPr>
              <w:t>New curriculum piloted and associated textbooks distributed to students</w:t>
            </w:r>
          </w:p>
        </w:tc>
        <w:tc>
          <w:tcPr>
            <w:tcW w:w="797" w:type="pct"/>
            <w:vMerge w:val="restart"/>
            <w:tcBorders>
              <w:top w:val="nil"/>
              <w:left w:val="nil"/>
              <w:bottom w:val="nil"/>
              <w:right w:val="nil"/>
            </w:tcBorders>
          </w:tcPr>
          <w:p w:rsidR="00A11624" w:rsidRPr="00A11624" w:rsidRDefault="00A11624" w:rsidP="004D3006">
            <w:pPr>
              <w:spacing w:after="120"/>
              <w:rPr>
                <w:rFonts w:ascii="Calibri Light" w:hAnsi="Calibri Light"/>
                <w:szCs w:val="17"/>
              </w:rPr>
            </w:pPr>
            <w:r w:rsidRPr="00A11624">
              <w:rPr>
                <w:rFonts w:ascii="Calibri Light" w:hAnsi="Calibri Light"/>
                <w:szCs w:val="17"/>
              </w:rPr>
              <w:t>New Grade 1 primary curriculum piloted</w:t>
            </w:r>
          </w:p>
        </w:tc>
        <w:tc>
          <w:tcPr>
            <w:tcW w:w="836" w:type="pct"/>
            <w:tcBorders>
              <w:top w:val="nil"/>
              <w:left w:val="nil"/>
              <w:bottom w:val="nil"/>
              <w:right w:val="nil"/>
            </w:tcBorders>
          </w:tcPr>
          <w:p w:rsidR="00A11624" w:rsidRPr="00A11624" w:rsidRDefault="00A11624" w:rsidP="004D3006">
            <w:pPr>
              <w:spacing w:after="120"/>
              <w:rPr>
                <w:rFonts w:ascii="Calibri Light" w:hAnsi="Calibri Light"/>
                <w:szCs w:val="17"/>
              </w:rPr>
            </w:pPr>
            <w:r w:rsidRPr="00A11624">
              <w:rPr>
                <w:rFonts w:ascii="Calibri Light" w:hAnsi="Calibri Light"/>
                <w:szCs w:val="17"/>
              </w:rPr>
              <w:t>New Grade 1 textbooks are provided to every school in Laos</w:t>
            </w:r>
          </w:p>
        </w:tc>
        <w:tc>
          <w:tcPr>
            <w:tcW w:w="809" w:type="pct"/>
            <w:tcBorders>
              <w:top w:val="nil"/>
              <w:left w:val="nil"/>
              <w:bottom w:val="nil"/>
              <w:right w:val="nil"/>
            </w:tcBorders>
          </w:tcPr>
          <w:p w:rsidR="00A11624" w:rsidRPr="00A11624" w:rsidRDefault="00A11624" w:rsidP="004D3006">
            <w:pPr>
              <w:spacing w:after="120"/>
              <w:rPr>
                <w:rFonts w:ascii="Calibri Light" w:hAnsi="Calibri Light"/>
                <w:szCs w:val="17"/>
              </w:rPr>
            </w:pPr>
            <w:r w:rsidRPr="00A11624">
              <w:rPr>
                <w:rFonts w:ascii="Calibri Light" w:hAnsi="Calibri Light"/>
                <w:szCs w:val="17"/>
              </w:rPr>
              <w:t>New Grade 2 textbooks are provided to every school in Laos</w:t>
            </w:r>
          </w:p>
        </w:tc>
        <w:tc>
          <w:tcPr>
            <w:tcW w:w="833" w:type="pct"/>
            <w:tcBorders>
              <w:top w:val="nil"/>
              <w:left w:val="nil"/>
              <w:bottom w:val="nil"/>
              <w:right w:val="nil"/>
            </w:tcBorders>
          </w:tcPr>
          <w:p w:rsidR="00A11624" w:rsidRPr="00A11624" w:rsidRDefault="00A11624" w:rsidP="004D3006">
            <w:pPr>
              <w:spacing w:after="120"/>
              <w:rPr>
                <w:rFonts w:ascii="Calibri Light" w:hAnsi="Calibri Light"/>
                <w:szCs w:val="17"/>
              </w:rPr>
            </w:pPr>
            <w:r w:rsidRPr="00A11624">
              <w:rPr>
                <w:rFonts w:ascii="Calibri Light" w:hAnsi="Calibri Light"/>
                <w:szCs w:val="17"/>
              </w:rPr>
              <w:t>New Grade 3 textbooks are provided to every school in Laos.</w:t>
            </w:r>
          </w:p>
        </w:tc>
      </w:tr>
      <w:tr w:rsidR="00A11624" w:rsidRPr="00ED1D9F" w:rsidTr="00BE46B0">
        <w:trPr>
          <w:trHeight w:val="614"/>
        </w:trPr>
        <w:tc>
          <w:tcPr>
            <w:tcW w:w="1725" w:type="pct"/>
            <w:gridSpan w:val="2"/>
            <w:vMerge/>
            <w:tcBorders>
              <w:top w:val="nil"/>
              <w:left w:val="nil"/>
              <w:bottom w:val="nil"/>
              <w:right w:val="nil"/>
            </w:tcBorders>
          </w:tcPr>
          <w:p w:rsidR="00A11624" w:rsidRPr="005A74B2" w:rsidRDefault="00A11624" w:rsidP="00DE38B8">
            <w:pPr>
              <w:spacing w:after="120"/>
              <w:rPr>
                <w:rFonts w:ascii="Calibri Light" w:hAnsi="Calibri Light"/>
                <w:color w:val="000000" w:themeColor="text1"/>
                <w:szCs w:val="17"/>
              </w:rPr>
            </w:pPr>
          </w:p>
        </w:tc>
        <w:tc>
          <w:tcPr>
            <w:tcW w:w="797" w:type="pct"/>
            <w:vMerge/>
            <w:tcBorders>
              <w:top w:val="nil"/>
              <w:left w:val="nil"/>
              <w:bottom w:val="nil"/>
              <w:right w:val="nil"/>
            </w:tcBorders>
          </w:tcPr>
          <w:p w:rsidR="00A11624" w:rsidRPr="00ED1D9F" w:rsidRDefault="00A11624" w:rsidP="004D3006">
            <w:pPr>
              <w:spacing w:after="120"/>
              <w:rPr>
                <w:rFonts w:ascii="Calibri Light" w:hAnsi="Calibri Light"/>
                <w:szCs w:val="17"/>
              </w:rPr>
            </w:pPr>
          </w:p>
        </w:tc>
        <w:tc>
          <w:tcPr>
            <w:tcW w:w="836" w:type="pct"/>
            <w:tcBorders>
              <w:top w:val="nil"/>
              <w:left w:val="nil"/>
              <w:bottom w:val="nil"/>
              <w:right w:val="nil"/>
            </w:tcBorders>
          </w:tcPr>
          <w:p w:rsidR="00A11624" w:rsidRPr="00A11624" w:rsidRDefault="00A11624" w:rsidP="004D3006">
            <w:pPr>
              <w:spacing w:after="120"/>
              <w:rPr>
                <w:rFonts w:ascii="Calibri Light" w:hAnsi="Calibri Light"/>
                <w:szCs w:val="17"/>
              </w:rPr>
            </w:pPr>
            <w:r w:rsidRPr="00A11624">
              <w:rPr>
                <w:rFonts w:ascii="Calibri Light" w:hAnsi="Calibri Light"/>
                <w:szCs w:val="17"/>
              </w:rPr>
              <w:t>New Grade 2 primary curriculum piloted</w:t>
            </w:r>
          </w:p>
        </w:tc>
        <w:tc>
          <w:tcPr>
            <w:tcW w:w="809" w:type="pct"/>
            <w:tcBorders>
              <w:top w:val="nil"/>
              <w:left w:val="nil"/>
              <w:bottom w:val="nil"/>
              <w:right w:val="nil"/>
            </w:tcBorders>
          </w:tcPr>
          <w:p w:rsidR="00A11624" w:rsidRPr="00A11624" w:rsidRDefault="00A11624" w:rsidP="004D3006">
            <w:pPr>
              <w:spacing w:after="120"/>
              <w:rPr>
                <w:rFonts w:ascii="Calibri Light" w:hAnsi="Calibri Light"/>
                <w:szCs w:val="17"/>
              </w:rPr>
            </w:pPr>
            <w:r w:rsidRPr="00A11624">
              <w:rPr>
                <w:rFonts w:ascii="Calibri Light" w:hAnsi="Calibri Light"/>
                <w:szCs w:val="17"/>
              </w:rPr>
              <w:t>New Grade 3 primary curriculum piloted</w:t>
            </w:r>
          </w:p>
        </w:tc>
        <w:tc>
          <w:tcPr>
            <w:tcW w:w="833" w:type="pct"/>
            <w:tcBorders>
              <w:top w:val="nil"/>
              <w:left w:val="nil"/>
              <w:bottom w:val="nil"/>
              <w:right w:val="nil"/>
            </w:tcBorders>
          </w:tcPr>
          <w:p w:rsidR="00264E6F" w:rsidRDefault="00A11624" w:rsidP="00635E63">
            <w:pPr>
              <w:spacing w:after="120"/>
              <w:rPr>
                <w:rFonts w:ascii="Calibri Light" w:hAnsi="Calibri Light"/>
                <w:szCs w:val="17"/>
              </w:rPr>
            </w:pPr>
            <w:r w:rsidRPr="00A11624">
              <w:rPr>
                <w:rFonts w:ascii="Calibri Light" w:hAnsi="Calibri Light"/>
                <w:szCs w:val="17"/>
              </w:rPr>
              <w:t>New Grade 4 primary curriculum piloted</w:t>
            </w:r>
          </w:p>
          <w:p w:rsidR="00635E63" w:rsidRPr="00A11624" w:rsidRDefault="00635E63" w:rsidP="00635E63">
            <w:pPr>
              <w:spacing w:after="120"/>
              <w:rPr>
                <w:rFonts w:ascii="Calibri Light" w:hAnsi="Calibri Light"/>
                <w:szCs w:val="17"/>
              </w:rPr>
            </w:pPr>
          </w:p>
        </w:tc>
      </w:tr>
      <w:tr w:rsidR="000E6270" w:rsidRPr="00ED1D9F" w:rsidTr="00BE46B0">
        <w:trPr>
          <w:trHeight w:val="614"/>
        </w:trPr>
        <w:tc>
          <w:tcPr>
            <w:tcW w:w="5000" w:type="pct"/>
            <w:gridSpan w:val="6"/>
            <w:tcBorders>
              <w:top w:val="nil"/>
              <w:left w:val="nil"/>
              <w:bottom w:val="nil"/>
              <w:right w:val="nil"/>
            </w:tcBorders>
          </w:tcPr>
          <w:p w:rsidR="000E6270" w:rsidRPr="005A74B2" w:rsidRDefault="000E6270" w:rsidP="00DE38B8">
            <w:pPr>
              <w:spacing w:after="120"/>
              <w:rPr>
                <w:rFonts w:ascii="Calibri Light" w:hAnsi="Calibri Light"/>
                <w:b/>
                <w:color w:val="000000" w:themeColor="text1"/>
                <w:szCs w:val="17"/>
              </w:rPr>
            </w:pPr>
            <w:r w:rsidRPr="005A74B2">
              <w:rPr>
                <w:rFonts w:ascii="Calibri Light" w:hAnsi="Calibri Light"/>
                <w:b/>
                <w:color w:val="000000" w:themeColor="text1"/>
                <w:szCs w:val="17"/>
              </w:rPr>
              <w:t>2. Improving Laos’ human resources through scholarships, training and organisational capacity building</w:t>
            </w:r>
          </w:p>
        </w:tc>
      </w:tr>
      <w:tr w:rsidR="005C7892" w:rsidRPr="00ED1D9F" w:rsidTr="00A11624">
        <w:trPr>
          <w:trHeight w:val="614"/>
        </w:trPr>
        <w:tc>
          <w:tcPr>
            <w:tcW w:w="1725" w:type="pct"/>
            <w:gridSpan w:val="2"/>
            <w:vMerge w:val="restart"/>
            <w:tcBorders>
              <w:top w:val="nil"/>
              <w:left w:val="nil"/>
              <w:right w:val="nil"/>
            </w:tcBorders>
          </w:tcPr>
          <w:p w:rsidR="005C7892" w:rsidRPr="005A74B2" w:rsidRDefault="005C7892" w:rsidP="00DE38B8">
            <w:pPr>
              <w:spacing w:after="120"/>
              <w:rPr>
                <w:rFonts w:ascii="Calibri Light" w:hAnsi="Calibri Light"/>
                <w:i/>
                <w:color w:val="000000" w:themeColor="text1"/>
                <w:szCs w:val="17"/>
              </w:rPr>
            </w:pPr>
            <w:r w:rsidRPr="005A74B2">
              <w:rPr>
                <w:rFonts w:ascii="Calibri Light" w:hAnsi="Calibri Light"/>
                <w:color w:val="000000" w:themeColor="text1"/>
                <w:szCs w:val="17"/>
              </w:rPr>
              <w:t>Number and percentage of women and men assisted to gain recognised post-secondary qualifications who successfully graduate.</w:t>
            </w:r>
          </w:p>
        </w:tc>
        <w:tc>
          <w:tcPr>
            <w:tcW w:w="797" w:type="pct"/>
            <w:tcBorders>
              <w:top w:val="nil"/>
              <w:left w:val="nil"/>
              <w:bottom w:val="nil"/>
              <w:right w:val="nil"/>
            </w:tcBorders>
          </w:tcPr>
          <w:p w:rsidR="005C7892" w:rsidRPr="00FF2F50" w:rsidRDefault="005C7892" w:rsidP="00274FB4">
            <w:pPr>
              <w:spacing w:after="120"/>
              <w:rPr>
                <w:rFonts w:ascii="Calibri Light" w:hAnsi="Calibri Light"/>
                <w:szCs w:val="17"/>
              </w:rPr>
            </w:pPr>
            <w:r w:rsidRPr="00FF2F50">
              <w:rPr>
                <w:rFonts w:ascii="Calibri Light" w:hAnsi="Calibri Light"/>
                <w:szCs w:val="17"/>
              </w:rPr>
              <w:t>85 percent of Australia Awardees due to finish, successfully graduate.</w:t>
            </w:r>
          </w:p>
        </w:tc>
        <w:tc>
          <w:tcPr>
            <w:tcW w:w="836" w:type="pct"/>
            <w:tcBorders>
              <w:top w:val="nil"/>
              <w:left w:val="nil"/>
              <w:bottom w:val="nil"/>
              <w:right w:val="nil"/>
            </w:tcBorders>
          </w:tcPr>
          <w:p w:rsidR="005C7892" w:rsidRPr="00FF2F50" w:rsidRDefault="005C7892" w:rsidP="00274FB4">
            <w:pPr>
              <w:spacing w:after="120"/>
              <w:rPr>
                <w:rFonts w:ascii="Calibri Light" w:hAnsi="Calibri Light"/>
                <w:szCs w:val="17"/>
              </w:rPr>
            </w:pPr>
            <w:r w:rsidRPr="00FF2F50">
              <w:rPr>
                <w:rFonts w:ascii="Calibri Light" w:hAnsi="Calibri Light"/>
                <w:szCs w:val="17"/>
              </w:rPr>
              <w:t>85 percent of Australia Awardees due to finish, successfully graduate.</w:t>
            </w:r>
          </w:p>
        </w:tc>
        <w:tc>
          <w:tcPr>
            <w:tcW w:w="809" w:type="pct"/>
            <w:tcBorders>
              <w:top w:val="nil"/>
              <w:left w:val="nil"/>
              <w:bottom w:val="nil"/>
              <w:right w:val="nil"/>
            </w:tcBorders>
          </w:tcPr>
          <w:p w:rsidR="005C7892" w:rsidRPr="00FF2F50" w:rsidRDefault="005C7892" w:rsidP="00274FB4">
            <w:pPr>
              <w:spacing w:after="120"/>
              <w:rPr>
                <w:rFonts w:ascii="Calibri Light" w:hAnsi="Calibri Light"/>
                <w:szCs w:val="17"/>
              </w:rPr>
            </w:pPr>
            <w:r w:rsidRPr="00FF2F50">
              <w:rPr>
                <w:rFonts w:ascii="Calibri Light" w:hAnsi="Calibri Light"/>
                <w:szCs w:val="17"/>
              </w:rPr>
              <w:t>85 percent of Australia Awardees due to finish, successfully graduate.</w:t>
            </w:r>
          </w:p>
        </w:tc>
        <w:tc>
          <w:tcPr>
            <w:tcW w:w="833" w:type="pct"/>
            <w:tcBorders>
              <w:top w:val="nil"/>
              <w:left w:val="nil"/>
              <w:bottom w:val="nil"/>
              <w:right w:val="nil"/>
            </w:tcBorders>
          </w:tcPr>
          <w:p w:rsidR="004E300B" w:rsidRPr="00FF2F50" w:rsidRDefault="005C7892" w:rsidP="00264E6F">
            <w:pPr>
              <w:spacing w:after="120"/>
              <w:rPr>
                <w:rFonts w:ascii="Calibri Light" w:hAnsi="Calibri Light"/>
                <w:szCs w:val="17"/>
              </w:rPr>
            </w:pPr>
            <w:r w:rsidRPr="00FF2F50">
              <w:rPr>
                <w:rFonts w:ascii="Calibri Light" w:hAnsi="Calibri Light"/>
                <w:szCs w:val="17"/>
              </w:rPr>
              <w:t>85 percent of Australia Awardees due to finish, successfully graduate.</w:t>
            </w:r>
          </w:p>
        </w:tc>
      </w:tr>
      <w:tr w:rsidR="005C7892" w:rsidRPr="00ED1D9F" w:rsidTr="00A11624">
        <w:trPr>
          <w:trHeight w:val="614"/>
        </w:trPr>
        <w:tc>
          <w:tcPr>
            <w:tcW w:w="1725" w:type="pct"/>
            <w:gridSpan w:val="2"/>
            <w:vMerge/>
            <w:tcBorders>
              <w:left w:val="nil"/>
              <w:bottom w:val="nil"/>
              <w:right w:val="nil"/>
            </w:tcBorders>
          </w:tcPr>
          <w:p w:rsidR="005C7892" w:rsidRPr="005A74B2" w:rsidRDefault="005C7892" w:rsidP="00DE38B8">
            <w:pPr>
              <w:spacing w:after="120"/>
              <w:rPr>
                <w:rFonts w:ascii="Calibri Light" w:hAnsi="Calibri Light"/>
                <w:i/>
                <w:color w:val="000000" w:themeColor="text1"/>
                <w:szCs w:val="17"/>
              </w:rPr>
            </w:pPr>
          </w:p>
        </w:tc>
        <w:tc>
          <w:tcPr>
            <w:tcW w:w="797" w:type="pct"/>
            <w:tcBorders>
              <w:top w:val="nil"/>
              <w:left w:val="nil"/>
              <w:bottom w:val="nil"/>
              <w:right w:val="nil"/>
            </w:tcBorders>
          </w:tcPr>
          <w:p w:rsidR="005C7892" w:rsidRDefault="00471C7A" w:rsidP="00274FB4">
            <w:pPr>
              <w:spacing w:after="120"/>
              <w:rPr>
                <w:rFonts w:ascii="Calibri Light" w:hAnsi="Calibri Light"/>
                <w:szCs w:val="17"/>
              </w:rPr>
            </w:pPr>
            <w:r w:rsidRPr="00FF2F50">
              <w:rPr>
                <w:rFonts w:ascii="Calibri Light" w:hAnsi="Calibri Light"/>
                <w:szCs w:val="17"/>
              </w:rPr>
              <w:t>61 out of 72 students (</w:t>
            </w:r>
            <w:r w:rsidR="005C7892" w:rsidRPr="00FF2F50">
              <w:rPr>
                <w:rFonts w:ascii="Calibri Light" w:hAnsi="Calibri Light"/>
                <w:szCs w:val="17"/>
              </w:rPr>
              <w:t xml:space="preserve">85 percent </w:t>
            </w:r>
            <w:r w:rsidRPr="00FF2F50">
              <w:rPr>
                <w:rFonts w:ascii="Calibri Light" w:hAnsi="Calibri Light"/>
                <w:szCs w:val="17"/>
              </w:rPr>
              <w:t xml:space="preserve">of the cohort) due </w:t>
            </w:r>
            <w:r w:rsidR="005C7892" w:rsidRPr="00FF2F50">
              <w:rPr>
                <w:rFonts w:ascii="Calibri Light" w:hAnsi="Calibri Light"/>
                <w:szCs w:val="17"/>
              </w:rPr>
              <w:t>to complete their Laos Australia National Scholarships successfully graduate.</w:t>
            </w:r>
          </w:p>
          <w:p w:rsidR="00751672" w:rsidRPr="00FF2F50" w:rsidRDefault="00751672" w:rsidP="00274FB4">
            <w:pPr>
              <w:spacing w:after="120"/>
              <w:rPr>
                <w:rFonts w:ascii="Calibri Light" w:hAnsi="Calibri Light"/>
                <w:szCs w:val="17"/>
              </w:rPr>
            </w:pPr>
          </w:p>
        </w:tc>
        <w:tc>
          <w:tcPr>
            <w:tcW w:w="836" w:type="pct"/>
            <w:tcBorders>
              <w:top w:val="nil"/>
              <w:left w:val="nil"/>
              <w:bottom w:val="nil"/>
              <w:right w:val="nil"/>
            </w:tcBorders>
          </w:tcPr>
          <w:p w:rsidR="005C7892" w:rsidRPr="00FF2F50" w:rsidRDefault="00471C7A" w:rsidP="00274FB4">
            <w:pPr>
              <w:spacing w:after="120"/>
              <w:rPr>
                <w:rFonts w:ascii="Calibri Light" w:hAnsi="Calibri Light"/>
                <w:szCs w:val="17"/>
              </w:rPr>
            </w:pPr>
            <w:r w:rsidRPr="00FF2F50">
              <w:rPr>
                <w:rFonts w:ascii="Calibri Light" w:hAnsi="Calibri Light"/>
                <w:szCs w:val="17"/>
              </w:rPr>
              <w:t>61 out of 72 students (85 percent of the cohort) due to complete their Laos Australia National Scholarships successfully graduate.</w:t>
            </w:r>
          </w:p>
        </w:tc>
        <w:tc>
          <w:tcPr>
            <w:tcW w:w="809" w:type="pct"/>
            <w:tcBorders>
              <w:top w:val="nil"/>
              <w:left w:val="nil"/>
              <w:bottom w:val="nil"/>
              <w:right w:val="nil"/>
            </w:tcBorders>
          </w:tcPr>
          <w:p w:rsidR="005C7892" w:rsidRPr="00FF2F50" w:rsidRDefault="00471C7A" w:rsidP="00274FB4">
            <w:pPr>
              <w:spacing w:after="120"/>
              <w:rPr>
                <w:rFonts w:ascii="Calibri Light" w:hAnsi="Calibri Light"/>
                <w:szCs w:val="17"/>
              </w:rPr>
            </w:pPr>
            <w:r w:rsidRPr="00FF2F50">
              <w:rPr>
                <w:rFonts w:ascii="Calibri Light" w:hAnsi="Calibri Light"/>
                <w:szCs w:val="17"/>
              </w:rPr>
              <w:t>60 out of 70 students (85 percent of the cohort) due to complete their Laos Australia National Scholarships successfully graduate.</w:t>
            </w:r>
          </w:p>
        </w:tc>
        <w:tc>
          <w:tcPr>
            <w:tcW w:w="833" w:type="pct"/>
            <w:tcBorders>
              <w:top w:val="nil"/>
              <w:left w:val="nil"/>
              <w:bottom w:val="nil"/>
              <w:right w:val="nil"/>
            </w:tcBorders>
          </w:tcPr>
          <w:p w:rsidR="005C7892" w:rsidRPr="00FF2F50" w:rsidRDefault="00471C7A" w:rsidP="00274FB4">
            <w:pPr>
              <w:spacing w:after="120"/>
              <w:rPr>
                <w:rFonts w:ascii="Calibri Light" w:hAnsi="Calibri Light"/>
                <w:szCs w:val="17"/>
              </w:rPr>
            </w:pPr>
            <w:r w:rsidRPr="00FF2F50">
              <w:rPr>
                <w:rFonts w:ascii="Calibri Light" w:hAnsi="Calibri Light"/>
                <w:szCs w:val="17"/>
              </w:rPr>
              <w:t>X</w:t>
            </w:r>
            <w:r w:rsidR="005519A8" w:rsidRPr="00FF2F50">
              <w:rPr>
                <w:rFonts w:ascii="Calibri Light" w:hAnsi="Calibri Light"/>
                <w:szCs w:val="17"/>
                <w:vertAlign w:val="superscript"/>
              </w:rPr>
              <w:footnoteReference w:id="6"/>
            </w:r>
            <w:r w:rsidRPr="00FF2F50">
              <w:rPr>
                <w:rFonts w:ascii="Calibri Light" w:hAnsi="Calibri Light"/>
                <w:szCs w:val="17"/>
              </w:rPr>
              <w:t xml:space="preserve"> students (85 percent of the cohort) due to complete their Laos Australia National Scholarships successfully graduate.</w:t>
            </w:r>
          </w:p>
        </w:tc>
      </w:tr>
      <w:tr w:rsidR="000E6270" w:rsidRPr="00ED1D9F" w:rsidTr="00702B71">
        <w:trPr>
          <w:trHeight w:val="614"/>
        </w:trPr>
        <w:tc>
          <w:tcPr>
            <w:tcW w:w="5000" w:type="pct"/>
            <w:gridSpan w:val="6"/>
            <w:tcBorders>
              <w:top w:val="nil"/>
              <w:left w:val="nil"/>
              <w:bottom w:val="nil"/>
              <w:right w:val="nil"/>
            </w:tcBorders>
          </w:tcPr>
          <w:p w:rsidR="000E6270" w:rsidRPr="005A74B2" w:rsidRDefault="000E6270" w:rsidP="00DE38B8">
            <w:pPr>
              <w:spacing w:after="120"/>
              <w:rPr>
                <w:rFonts w:ascii="Calibri Light" w:hAnsi="Calibri Light"/>
                <w:b/>
                <w:color w:val="000000" w:themeColor="text1"/>
                <w:szCs w:val="17"/>
              </w:rPr>
            </w:pPr>
            <w:r w:rsidRPr="005A74B2">
              <w:rPr>
                <w:rFonts w:ascii="Calibri Light" w:hAnsi="Calibri Light"/>
                <w:b/>
                <w:color w:val="000000" w:themeColor="text1"/>
                <w:szCs w:val="17"/>
              </w:rPr>
              <w:t>3. A stronger trade regime and more competitive private sector</w:t>
            </w:r>
          </w:p>
        </w:tc>
      </w:tr>
      <w:tr w:rsidR="00FF2F50" w:rsidRPr="00C17D59" w:rsidTr="00A11624">
        <w:trPr>
          <w:trHeight w:val="614"/>
        </w:trPr>
        <w:tc>
          <w:tcPr>
            <w:tcW w:w="1725" w:type="pct"/>
            <w:gridSpan w:val="2"/>
            <w:tcBorders>
              <w:top w:val="nil"/>
              <w:left w:val="nil"/>
              <w:bottom w:val="single" w:sz="12" w:space="0" w:color="auto"/>
              <w:right w:val="nil"/>
            </w:tcBorders>
            <w:hideMark/>
          </w:tcPr>
          <w:p w:rsidR="00FF2F50" w:rsidRPr="005A74B2" w:rsidRDefault="00FF2F50" w:rsidP="00DE38B8">
            <w:pPr>
              <w:spacing w:after="120"/>
              <w:rPr>
                <w:rFonts w:ascii="Calibri Light" w:hAnsi="Calibri Light"/>
                <w:i/>
                <w:color w:val="000000" w:themeColor="text1"/>
                <w:szCs w:val="17"/>
              </w:rPr>
            </w:pPr>
            <w:r w:rsidRPr="005A74B2">
              <w:rPr>
                <w:rFonts w:ascii="Calibri Light" w:hAnsi="Calibri Light"/>
                <w:color w:val="000000" w:themeColor="text1"/>
                <w:szCs w:val="17"/>
              </w:rPr>
              <w:t>Trade diversification and trade competitiveness programs in place supporting businesses, including women-owned business</w:t>
            </w:r>
            <w:r w:rsidR="00B71D44">
              <w:rPr>
                <w:rFonts w:ascii="Calibri Light" w:hAnsi="Calibri Light"/>
                <w:color w:val="000000" w:themeColor="text1"/>
                <w:szCs w:val="17"/>
              </w:rPr>
              <w:t>.</w:t>
            </w:r>
          </w:p>
        </w:tc>
        <w:tc>
          <w:tcPr>
            <w:tcW w:w="797" w:type="pct"/>
            <w:tcBorders>
              <w:top w:val="nil"/>
              <w:left w:val="nil"/>
              <w:bottom w:val="single" w:sz="12" w:space="0" w:color="auto"/>
              <w:right w:val="nil"/>
            </w:tcBorders>
          </w:tcPr>
          <w:p w:rsidR="00FF2F50" w:rsidRPr="00ED1D9F" w:rsidRDefault="00274FB4" w:rsidP="00274FB4">
            <w:pPr>
              <w:spacing w:after="120"/>
              <w:rPr>
                <w:rFonts w:ascii="Calibri Light" w:hAnsi="Calibri Light"/>
                <w:szCs w:val="17"/>
              </w:rPr>
            </w:pPr>
            <w:r w:rsidRPr="00ED1D9F">
              <w:rPr>
                <w:rFonts w:ascii="Calibri Light" w:hAnsi="Calibri Light"/>
                <w:szCs w:val="17"/>
              </w:rPr>
              <w:t xml:space="preserve">An </w:t>
            </w:r>
            <w:r w:rsidR="00FF2F50" w:rsidRPr="00ED1D9F">
              <w:rPr>
                <w:rFonts w:ascii="Calibri Light" w:hAnsi="Calibri Light"/>
                <w:szCs w:val="17"/>
              </w:rPr>
              <w:t>additional 50 business activities approved by the Business Assistance Facility (including at least 30 per c</w:t>
            </w:r>
            <w:r>
              <w:rPr>
                <w:rFonts w:ascii="Calibri Light" w:hAnsi="Calibri Light"/>
                <w:szCs w:val="17"/>
              </w:rPr>
              <w:t>ent from women-owned businesses</w:t>
            </w:r>
            <w:r w:rsidR="00AA1940">
              <w:rPr>
                <w:rFonts w:ascii="Calibri Light" w:hAnsi="Calibri Light"/>
                <w:szCs w:val="17"/>
              </w:rPr>
              <w:t>)</w:t>
            </w:r>
            <w:r>
              <w:rPr>
                <w:rFonts w:ascii="Calibri Light" w:hAnsi="Calibri Light"/>
                <w:szCs w:val="17"/>
              </w:rPr>
              <w:t>.</w:t>
            </w:r>
          </w:p>
        </w:tc>
        <w:tc>
          <w:tcPr>
            <w:tcW w:w="836" w:type="pct"/>
            <w:tcBorders>
              <w:top w:val="nil"/>
              <w:left w:val="nil"/>
              <w:bottom w:val="single" w:sz="12" w:space="0" w:color="auto"/>
              <w:right w:val="nil"/>
            </w:tcBorders>
          </w:tcPr>
          <w:p w:rsidR="00FF2F50" w:rsidRPr="00E92927" w:rsidRDefault="00FF2F50" w:rsidP="00274FB4">
            <w:pPr>
              <w:spacing w:after="120"/>
              <w:rPr>
                <w:rFonts w:ascii="Calibri Light" w:hAnsi="Calibri Light"/>
                <w:szCs w:val="17"/>
              </w:rPr>
            </w:pPr>
            <w:r w:rsidRPr="00E92927">
              <w:rPr>
                <w:rFonts w:ascii="Calibri Light" w:hAnsi="Calibri Light"/>
                <w:szCs w:val="17"/>
              </w:rPr>
              <w:t>Lao PDR conducts a high quality Lao Business Forum that includes</w:t>
            </w:r>
            <w:r w:rsidR="00274FB4">
              <w:rPr>
                <w:rFonts w:ascii="Calibri Light" w:hAnsi="Calibri Light"/>
                <w:szCs w:val="17"/>
              </w:rPr>
              <w:t xml:space="preserve"> effective</w:t>
            </w:r>
            <w:r w:rsidRPr="00E92927">
              <w:rPr>
                <w:rFonts w:ascii="Calibri Light" w:hAnsi="Calibri Light"/>
                <w:szCs w:val="17"/>
              </w:rPr>
              <w:t xml:space="preserve"> consultation with women-owned business and youth</w:t>
            </w:r>
            <w:r w:rsidR="00274FB4">
              <w:rPr>
                <w:rFonts w:ascii="Calibri Light" w:hAnsi="Calibri Light"/>
                <w:szCs w:val="17"/>
              </w:rPr>
              <w:t>.</w:t>
            </w:r>
          </w:p>
        </w:tc>
        <w:tc>
          <w:tcPr>
            <w:tcW w:w="809" w:type="pct"/>
            <w:tcBorders>
              <w:top w:val="nil"/>
              <w:left w:val="nil"/>
              <w:bottom w:val="single" w:sz="12" w:space="0" w:color="auto"/>
              <w:right w:val="nil"/>
            </w:tcBorders>
          </w:tcPr>
          <w:p w:rsidR="00FF2F50" w:rsidRPr="00E92927" w:rsidRDefault="00FF2F50" w:rsidP="00B71D44">
            <w:pPr>
              <w:spacing w:after="120"/>
              <w:rPr>
                <w:rFonts w:ascii="Calibri Light" w:hAnsi="Calibri Light"/>
                <w:szCs w:val="17"/>
              </w:rPr>
            </w:pPr>
            <w:r w:rsidRPr="00E92927">
              <w:rPr>
                <w:rFonts w:ascii="Calibri Light" w:hAnsi="Calibri Light"/>
                <w:szCs w:val="17"/>
              </w:rPr>
              <w:t>Cumulative number of issues and concerns raised by small and women-led enterprises captured and action</w:t>
            </w:r>
            <w:r w:rsidR="00B71D44">
              <w:rPr>
                <w:rFonts w:ascii="Calibri Light" w:hAnsi="Calibri Light"/>
                <w:szCs w:val="17"/>
              </w:rPr>
              <w:t>ed</w:t>
            </w:r>
            <w:r w:rsidRPr="00E92927">
              <w:rPr>
                <w:rFonts w:ascii="Calibri Light" w:hAnsi="Calibri Light"/>
                <w:szCs w:val="17"/>
              </w:rPr>
              <w:t xml:space="preserve"> through the Lao Business Forum</w:t>
            </w:r>
            <w:r w:rsidR="00B71D44">
              <w:rPr>
                <w:rFonts w:ascii="Calibri Light" w:hAnsi="Calibri Light"/>
                <w:szCs w:val="17"/>
              </w:rPr>
              <w:t>.</w:t>
            </w:r>
          </w:p>
        </w:tc>
        <w:tc>
          <w:tcPr>
            <w:tcW w:w="833" w:type="pct"/>
            <w:tcBorders>
              <w:top w:val="nil"/>
              <w:left w:val="nil"/>
              <w:bottom w:val="single" w:sz="12" w:space="0" w:color="auto"/>
              <w:right w:val="nil"/>
            </w:tcBorders>
          </w:tcPr>
          <w:p w:rsidR="00FF2F50" w:rsidRPr="00E92927" w:rsidRDefault="00FF2F50" w:rsidP="005E5779">
            <w:pPr>
              <w:spacing w:after="120"/>
              <w:rPr>
                <w:rFonts w:ascii="Calibri Light" w:hAnsi="Calibri Light"/>
                <w:szCs w:val="17"/>
              </w:rPr>
            </w:pPr>
            <w:r w:rsidRPr="00E92927">
              <w:rPr>
                <w:rFonts w:ascii="Calibri Light" w:hAnsi="Calibri Light"/>
                <w:szCs w:val="17"/>
              </w:rPr>
              <w:t>Increase</w:t>
            </w:r>
            <w:r w:rsidR="00274FB4">
              <w:rPr>
                <w:rFonts w:ascii="Calibri Light" w:hAnsi="Calibri Light"/>
                <w:szCs w:val="17"/>
              </w:rPr>
              <w:t>d</w:t>
            </w:r>
            <w:r w:rsidRPr="00E92927">
              <w:rPr>
                <w:rFonts w:ascii="Calibri Light" w:hAnsi="Calibri Light"/>
                <w:szCs w:val="17"/>
              </w:rPr>
              <w:t xml:space="preserve"> share of firms with female</w:t>
            </w:r>
            <w:r w:rsidR="005E5779">
              <w:rPr>
                <w:rFonts w:ascii="Calibri Light" w:hAnsi="Calibri Light"/>
                <w:szCs w:val="17"/>
              </w:rPr>
              <w:t xml:space="preserve"> participation </w:t>
            </w:r>
            <w:r w:rsidR="00CA74C5">
              <w:rPr>
                <w:rFonts w:ascii="Calibri Light" w:hAnsi="Calibri Light"/>
                <w:szCs w:val="17"/>
              </w:rPr>
              <w:t xml:space="preserve">in </w:t>
            </w:r>
            <w:r w:rsidR="00CA74C5" w:rsidRPr="00E92927">
              <w:rPr>
                <w:rFonts w:ascii="Calibri Light" w:hAnsi="Calibri Light"/>
                <w:szCs w:val="17"/>
              </w:rPr>
              <w:t>management</w:t>
            </w:r>
            <w:r w:rsidR="005E5779">
              <w:rPr>
                <w:rFonts w:ascii="Calibri Light" w:hAnsi="Calibri Light"/>
                <w:szCs w:val="17"/>
              </w:rPr>
              <w:t xml:space="preserve"> or </w:t>
            </w:r>
            <w:r w:rsidRPr="00E92927">
              <w:rPr>
                <w:rFonts w:ascii="Calibri Light" w:hAnsi="Calibri Light"/>
                <w:szCs w:val="17"/>
              </w:rPr>
              <w:t>ownership</w:t>
            </w:r>
            <w:r w:rsidR="00B71D44">
              <w:rPr>
                <w:rFonts w:ascii="Calibri Light" w:hAnsi="Calibri Light"/>
                <w:szCs w:val="17"/>
              </w:rPr>
              <w:t>.</w:t>
            </w:r>
          </w:p>
        </w:tc>
      </w:tr>
    </w:tbl>
    <w:p w:rsidR="005B5769" w:rsidRPr="00982C79" w:rsidRDefault="005B5769" w:rsidP="005B5769">
      <w:pPr>
        <w:pStyle w:val="BodyText"/>
      </w:pPr>
    </w:p>
    <w:p w:rsidR="005B5769" w:rsidRPr="00982C79" w:rsidRDefault="005B5769" w:rsidP="00015316">
      <w:pPr>
        <w:pStyle w:val="ListBullet"/>
        <w:tabs>
          <w:tab w:val="clear" w:pos="284"/>
        </w:tabs>
        <w:spacing w:before="400"/>
        <w:rPr>
          <w:rFonts w:asciiTheme="majorHAnsi" w:eastAsiaTheme="majorEastAsia" w:hAnsiTheme="majorHAnsi" w:cstheme="majorBidi"/>
          <w:caps/>
          <w:color w:val="495965" w:themeColor="text2"/>
          <w:sz w:val="38"/>
          <w:szCs w:val="26"/>
          <w:lang w:eastAsia="en-US"/>
        </w:rPr>
      </w:pPr>
      <w:r w:rsidRPr="00982C79">
        <w:rPr>
          <w:rFonts w:asciiTheme="majorHAnsi" w:eastAsiaTheme="majorEastAsia" w:hAnsiTheme="majorHAnsi" w:cstheme="majorBidi"/>
          <w:caps/>
          <w:color w:val="495965" w:themeColor="text2"/>
          <w:sz w:val="38"/>
          <w:szCs w:val="26"/>
          <w:lang w:eastAsia="en-US"/>
        </w:rPr>
        <w:lastRenderedPageBreak/>
        <w:t>Mutual Obligations</w:t>
      </w:r>
    </w:p>
    <w:p w:rsidR="00E767B2" w:rsidRPr="00982C79" w:rsidRDefault="009309A8" w:rsidP="00A8197B">
      <w:pPr>
        <w:rPr>
          <w:lang w:val="en-AU"/>
        </w:rPr>
      </w:pPr>
      <w:r>
        <w:rPr>
          <w:lang w:val="en-AU"/>
        </w:rPr>
        <w:t xml:space="preserve">The </w:t>
      </w:r>
      <w:r w:rsidRPr="009309A8">
        <w:rPr>
          <w:lang w:val="en-AU"/>
        </w:rPr>
        <w:t xml:space="preserve">Laos Program Aid Investment Plan </w:t>
      </w:r>
      <w:r>
        <w:rPr>
          <w:lang w:val="en-AU"/>
        </w:rPr>
        <w:t>represents the jointly agreed priorities of the Australian and Lao Governments for Australian aid.  These priorities were confirmed at high-level aid consultations in 2015</w:t>
      </w:r>
      <w:r w:rsidR="0087006B">
        <w:rPr>
          <w:lang w:val="en-AU"/>
        </w:rPr>
        <w:t xml:space="preserve">.  </w:t>
      </w:r>
      <w:r>
        <w:rPr>
          <w:lang w:val="en-AU"/>
        </w:rPr>
        <w:t xml:space="preserve">The Australian and Lao Governments work closely to progress these </w:t>
      </w:r>
      <w:r w:rsidR="00A21B56">
        <w:rPr>
          <w:lang w:val="en-AU"/>
        </w:rPr>
        <w:t>priorities.  In this context t</w:t>
      </w:r>
      <w:r w:rsidR="00713534" w:rsidRPr="00982C79">
        <w:rPr>
          <w:lang w:val="en-AU"/>
        </w:rPr>
        <w:t xml:space="preserve">he </w:t>
      </w:r>
      <w:r w:rsidR="002425BE" w:rsidRPr="00982C79">
        <w:rPr>
          <w:lang w:val="en-AU"/>
        </w:rPr>
        <w:t xml:space="preserve">Lao </w:t>
      </w:r>
      <w:r w:rsidR="00713534" w:rsidRPr="00982C79">
        <w:rPr>
          <w:lang w:val="en-AU"/>
        </w:rPr>
        <w:t>Government has made a series of p</w:t>
      </w:r>
      <w:r w:rsidR="002425BE" w:rsidRPr="00982C79">
        <w:rPr>
          <w:lang w:val="en-AU"/>
        </w:rPr>
        <w:t>o</w:t>
      </w:r>
      <w:r w:rsidR="00713534" w:rsidRPr="00982C79">
        <w:rPr>
          <w:lang w:val="en-AU"/>
        </w:rPr>
        <w:t>licy commitments in national planning documents that will support the effectiveness of Australian aid</w:t>
      </w:r>
      <w:r w:rsidR="00A21B56">
        <w:rPr>
          <w:lang w:val="en-AU"/>
        </w:rPr>
        <w:t xml:space="preserve"> in priority areas</w:t>
      </w:r>
      <w:r w:rsidR="00713534" w:rsidRPr="00982C79">
        <w:rPr>
          <w:lang w:val="en-AU"/>
        </w:rPr>
        <w:t>.</w:t>
      </w:r>
      <w:r w:rsidR="002425BE" w:rsidRPr="00982C79">
        <w:rPr>
          <w:lang w:val="en-AU"/>
        </w:rPr>
        <w:t xml:space="preserve"> </w:t>
      </w:r>
    </w:p>
    <w:p w:rsidR="00E03E02" w:rsidRDefault="002425BE" w:rsidP="00A8197B">
      <w:pPr>
        <w:rPr>
          <w:lang w:val="en-AU"/>
        </w:rPr>
      </w:pPr>
      <w:r w:rsidRPr="00982C79">
        <w:rPr>
          <w:lang w:val="en-AU"/>
        </w:rPr>
        <w:t>In the education sector</w:t>
      </w:r>
      <w:r w:rsidR="00944F97">
        <w:rPr>
          <w:lang w:val="en-AU"/>
        </w:rPr>
        <w:t>,</w:t>
      </w:r>
      <w:r w:rsidRPr="00982C79">
        <w:rPr>
          <w:lang w:val="en-AU"/>
        </w:rPr>
        <w:t xml:space="preserve"> the Lao </w:t>
      </w:r>
      <w:r w:rsidR="0027495C" w:rsidRPr="00982C79">
        <w:rPr>
          <w:lang w:val="en-AU"/>
        </w:rPr>
        <w:t xml:space="preserve">Government </w:t>
      </w:r>
      <w:r w:rsidRPr="00982C79">
        <w:rPr>
          <w:lang w:val="en-AU"/>
        </w:rPr>
        <w:t>has made a commitment, subject to budget constraints, to increasing the proportion of the budget devoted to education.  It has also</w:t>
      </w:r>
      <w:r w:rsidR="0027495C">
        <w:rPr>
          <w:lang w:val="en-AU"/>
        </w:rPr>
        <w:t xml:space="preserve"> made a commitment to increase</w:t>
      </w:r>
      <w:r w:rsidRPr="00982C79">
        <w:rPr>
          <w:lang w:val="en-AU"/>
        </w:rPr>
        <w:t xml:space="preserve"> the proportion of the education budget devoted to non-wage recurrent expenditure </w:t>
      </w:r>
      <w:r w:rsidR="00E767B2" w:rsidRPr="00982C79">
        <w:rPr>
          <w:lang w:val="en-AU"/>
        </w:rPr>
        <w:t>–</w:t>
      </w:r>
      <w:r w:rsidRPr="00982C79">
        <w:rPr>
          <w:lang w:val="en-AU"/>
        </w:rPr>
        <w:t xml:space="preserve"> </w:t>
      </w:r>
      <w:r w:rsidR="00E767B2" w:rsidRPr="00982C79">
        <w:rPr>
          <w:lang w:val="en-AU"/>
        </w:rPr>
        <w:t>such as expenditure on text books</w:t>
      </w:r>
      <w:r w:rsidR="00FD75CF">
        <w:rPr>
          <w:lang w:val="en-AU"/>
        </w:rPr>
        <w:t xml:space="preserve"> and teacher resources</w:t>
      </w:r>
      <w:r w:rsidR="00E767B2" w:rsidRPr="00982C79">
        <w:rPr>
          <w:lang w:val="en-AU"/>
        </w:rPr>
        <w:t xml:space="preserve">.  </w:t>
      </w:r>
      <w:r w:rsidR="00F67C1C" w:rsidRPr="00982C79">
        <w:rPr>
          <w:lang w:val="en-AU"/>
        </w:rPr>
        <w:t xml:space="preserve">These are two important </w:t>
      </w:r>
      <w:r w:rsidR="00FD75CF">
        <w:rPr>
          <w:lang w:val="en-AU"/>
        </w:rPr>
        <w:t xml:space="preserve">budget </w:t>
      </w:r>
      <w:r w:rsidR="00F67C1C" w:rsidRPr="00982C79">
        <w:rPr>
          <w:lang w:val="en-AU"/>
        </w:rPr>
        <w:t xml:space="preserve">strategies for improving education access and quality in Laos.  </w:t>
      </w:r>
    </w:p>
    <w:p w:rsidR="00E767B2" w:rsidRDefault="00E767B2" w:rsidP="00A8197B">
      <w:pPr>
        <w:rPr>
          <w:lang w:val="en-AU"/>
        </w:rPr>
      </w:pPr>
      <w:r w:rsidRPr="00982C79">
        <w:rPr>
          <w:lang w:val="en-AU"/>
        </w:rPr>
        <w:t xml:space="preserve">The Lao </w:t>
      </w:r>
      <w:r w:rsidR="00FD75CF" w:rsidRPr="00982C79">
        <w:rPr>
          <w:lang w:val="en-AU"/>
        </w:rPr>
        <w:t>Government</w:t>
      </w:r>
      <w:r w:rsidR="00FD75CF">
        <w:rPr>
          <w:lang w:val="en-AU"/>
        </w:rPr>
        <w:t>’s</w:t>
      </w:r>
      <w:r w:rsidRPr="00982C79">
        <w:rPr>
          <w:lang w:val="en-AU"/>
        </w:rPr>
        <w:t xml:space="preserve"> current </w:t>
      </w:r>
      <w:r w:rsidR="004D049F">
        <w:rPr>
          <w:lang w:val="en-AU"/>
        </w:rPr>
        <w:t>fiscal constraints</w:t>
      </w:r>
      <w:r w:rsidRPr="00982C79">
        <w:rPr>
          <w:lang w:val="en-AU"/>
        </w:rPr>
        <w:t xml:space="preserve"> has meant that the amount of the budget allocated to education has fallen in absolute terms from 2013-14 to </w:t>
      </w:r>
      <w:r w:rsidR="0027495C">
        <w:rPr>
          <w:lang w:val="en-AU"/>
        </w:rPr>
        <w:t>2014-</w:t>
      </w:r>
      <w:r w:rsidRPr="00982C79">
        <w:rPr>
          <w:lang w:val="en-AU"/>
        </w:rPr>
        <w:t>2015, as has the percentage of the budget devoted to education.  On the basis of budget figures</w:t>
      </w:r>
      <w:r w:rsidR="00FD75CF">
        <w:rPr>
          <w:lang w:val="en-AU"/>
        </w:rPr>
        <w:t>,</w:t>
      </w:r>
      <w:r w:rsidRPr="00982C79">
        <w:rPr>
          <w:lang w:val="en-AU"/>
        </w:rPr>
        <w:t xml:space="preserve"> the proportion of the education budget allocated to non-wage recurrent expenditure will increase slightly from 9 to 10.5 per </w:t>
      </w:r>
      <w:r w:rsidR="00544EA5" w:rsidRPr="00982C79">
        <w:rPr>
          <w:lang w:val="en-AU"/>
        </w:rPr>
        <w:t>cent</w:t>
      </w:r>
      <w:r w:rsidR="00544EA5">
        <w:rPr>
          <w:lang w:val="en-AU"/>
        </w:rPr>
        <w:t>.  It</w:t>
      </w:r>
      <w:r w:rsidRPr="00982C79">
        <w:rPr>
          <w:lang w:val="en-AU"/>
        </w:rPr>
        <w:t xml:space="preserve"> remains low</w:t>
      </w:r>
      <w:r w:rsidR="004D049F">
        <w:rPr>
          <w:lang w:val="en-AU"/>
        </w:rPr>
        <w:t>, however,</w:t>
      </w:r>
      <w:r w:rsidRPr="00982C79">
        <w:rPr>
          <w:lang w:val="en-AU"/>
        </w:rPr>
        <w:t xml:space="preserve"> by international standards.</w:t>
      </w:r>
    </w:p>
    <w:p w:rsidR="00E767B2" w:rsidRPr="00982C79" w:rsidRDefault="00F67C1C" w:rsidP="00A8197B">
      <w:pPr>
        <w:rPr>
          <w:lang w:val="en-AU"/>
        </w:rPr>
      </w:pPr>
      <w:r w:rsidRPr="00982C79">
        <w:rPr>
          <w:lang w:val="en-AU"/>
        </w:rPr>
        <w:t xml:space="preserve">We are also expecting the Lao </w:t>
      </w:r>
      <w:r w:rsidR="00FD75CF" w:rsidRPr="00982C79">
        <w:rPr>
          <w:lang w:val="en-AU"/>
        </w:rPr>
        <w:t xml:space="preserve">Government </w:t>
      </w:r>
      <w:r w:rsidRPr="00982C79">
        <w:rPr>
          <w:lang w:val="en-AU"/>
        </w:rPr>
        <w:t>to undertake a number of policy and institutional actions in the trade sector to help make it easier for businesses to operate.  A key action is to establish a Non-Tariff Measures (NTMs) Working Group to support a pro</w:t>
      </w:r>
      <w:r w:rsidR="002142F7" w:rsidRPr="00982C79">
        <w:rPr>
          <w:lang w:val="en-AU"/>
        </w:rPr>
        <w:t xml:space="preserve">cess of government-led rationalisation of the </w:t>
      </w:r>
      <w:r w:rsidR="00362AA8">
        <w:rPr>
          <w:lang w:val="en-AU"/>
        </w:rPr>
        <w:t>over 240</w:t>
      </w:r>
      <w:r w:rsidRPr="00982C79">
        <w:rPr>
          <w:lang w:val="en-AU"/>
        </w:rPr>
        <w:t xml:space="preserve"> NTMs </w:t>
      </w:r>
      <w:r w:rsidR="00FD75CF">
        <w:rPr>
          <w:lang w:val="en-AU"/>
        </w:rPr>
        <w:t xml:space="preserve">currently </w:t>
      </w:r>
      <w:r w:rsidRPr="00982C79">
        <w:rPr>
          <w:lang w:val="en-AU"/>
        </w:rPr>
        <w:t>facing businesses.</w:t>
      </w:r>
      <w:r w:rsidR="002142F7" w:rsidRPr="00982C79">
        <w:rPr>
          <w:lang w:val="en-AU"/>
        </w:rPr>
        <w:t xml:space="preserve">  </w:t>
      </w:r>
      <w:r w:rsidR="000564A8" w:rsidRPr="00982C79">
        <w:rPr>
          <w:lang w:val="en-AU"/>
        </w:rPr>
        <w:t xml:space="preserve">Encouraging progress has been made with elements of the NTM streamlining process, such as the conclusion of a stocktake and analysis process. </w:t>
      </w:r>
      <w:r w:rsidR="009E5FA2">
        <w:rPr>
          <w:lang w:val="en-AU"/>
        </w:rPr>
        <w:t xml:space="preserve"> </w:t>
      </w:r>
      <w:r w:rsidR="00941682" w:rsidRPr="00941682">
        <w:rPr>
          <w:lang w:val="en-AU"/>
        </w:rPr>
        <w:t xml:space="preserve">After some delay, the NTM working group was formally established in October 2016 by ministerial decree. </w:t>
      </w:r>
    </w:p>
    <w:p w:rsidR="005B5769" w:rsidRPr="00982C79" w:rsidRDefault="005B5769" w:rsidP="00015316">
      <w:pPr>
        <w:pStyle w:val="ListBullet"/>
        <w:tabs>
          <w:tab w:val="clear" w:pos="284"/>
        </w:tabs>
        <w:spacing w:before="400"/>
        <w:rPr>
          <w:rFonts w:asciiTheme="majorHAnsi" w:eastAsiaTheme="majorEastAsia" w:hAnsiTheme="majorHAnsi" w:cstheme="majorBidi"/>
          <w:caps/>
          <w:color w:val="495965" w:themeColor="text2"/>
          <w:sz w:val="38"/>
          <w:szCs w:val="26"/>
          <w:lang w:eastAsia="en-US"/>
        </w:rPr>
      </w:pPr>
      <w:r w:rsidRPr="00982C79">
        <w:rPr>
          <w:rFonts w:asciiTheme="majorHAnsi" w:eastAsiaTheme="majorEastAsia" w:hAnsiTheme="majorHAnsi" w:cstheme="majorBidi"/>
          <w:caps/>
          <w:color w:val="495965" w:themeColor="text2"/>
          <w:sz w:val="38"/>
          <w:szCs w:val="26"/>
          <w:lang w:eastAsia="en-US"/>
        </w:rPr>
        <w:t>Program Quality</w:t>
      </w:r>
    </w:p>
    <w:p w:rsidR="00526C54" w:rsidRPr="00982C79" w:rsidRDefault="00526C54" w:rsidP="00526C54">
      <w:pPr>
        <w:spacing w:after="200" w:line="276" w:lineRule="auto"/>
        <w:rPr>
          <w:lang w:val="en-AU"/>
        </w:rPr>
      </w:pPr>
      <w:r w:rsidRPr="00982C79">
        <w:rPr>
          <w:lang w:val="en-AU"/>
        </w:rPr>
        <w:t xml:space="preserve">Overall program quality in 2015-16 improved slightly compared to that for 2014-15.  Across eight on-going investments, two were assessed as unsatisfactory for effectiveness, compared to 2014-15, where three investments out of six on-going investments were regarded as unsatisfactory on effectiveness.  </w:t>
      </w:r>
      <w:r w:rsidR="004D049F">
        <w:rPr>
          <w:lang w:val="en-AU"/>
        </w:rPr>
        <w:t xml:space="preserve">On </w:t>
      </w:r>
      <w:r w:rsidRPr="00982C79">
        <w:rPr>
          <w:lang w:val="en-AU"/>
        </w:rPr>
        <w:t>efficiency</w:t>
      </w:r>
      <w:r w:rsidR="004D049F">
        <w:rPr>
          <w:lang w:val="en-AU"/>
        </w:rPr>
        <w:t>,</w:t>
      </w:r>
      <w:r w:rsidRPr="00982C79">
        <w:rPr>
          <w:lang w:val="en-AU"/>
        </w:rPr>
        <w:t xml:space="preserve"> two investments were assessed as unsatisfactory in 2015-16</w:t>
      </w:r>
      <w:r w:rsidR="00544EA5">
        <w:rPr>
          <w:lang w:val="en-AU"/>
        </w:rPr>
        <w:t xml:space="preserve">.  </w:t>
      </w:r>
      <w:r w:rsidR="004D049F">
        <w:rPr>
          <w:lang w:val="en-AU"/>
        </w:rPr>
        <w:t xml:space="preserve">In </w:t>
      </w:r>
      <w:r w:rsidRPr="00982C79">
        <w:rPr>
          <w:lang w:val="en-AU"/>
        </w:rPr>
        <w:t>2014-15</w:t>
      </w:r>
      <w:r w:rsidR="004D049F">
        <w:rPr>
          <w:lang w:val="en-AU"/>
        </w:rPr>
        <w:t>,</w:t>
      </w:r>
      <w:r w:rsidRPr="00982C79">
        <w:rPr>
          <w:lang w:val="en-AU"/>
        </w:rPr>
        <w:t xml:space="preserve"> two investments were also assessed as unsatisfactory (but these accounted for a greater share of the portfolio).  </w:t>
      </w:r>
      <w:r w:rsidR="008D0293">
        <w:rPr>
          <w:lang w:val="en-AU"/>
        </w:rPr>
        <w:t>There are n</w:t>
      </w:r>
      <w:r w:rsidRPr="00982C79">
        <w:rPr>
          <w:lang w:val="en-AU"/>
        </w:rPr>
        <w:t xml:space="preserve">o </w:t>
      </w:r>
      <w:r w:rsidR="004D049F">
        <w:rPr>
          <w:lang w:val="en-AU"/>
        </w:rPr>
        <w:t>‘</w:t>
      </w:r>
      <w:r w:rsidRPr="00982C79">
        <w:rPr>
          <w:lang w:val="en-AU"/>
        </w:rPr>
        <w:t>investments requiring improvement</w:t>
      </w:r>
      <w:r w:rsidR="006B723D">
        <w:rPr>
          <w:lang w:val="en-AU"/>
        </w:rPr>
        <w:t>’</w:t>
      </w:r>
      <w:r w:rsidRPr="00982C79">
        <w:rPr>
          <w:lang w:val="en-AU"/>
        </w:rPr>
        <w:t xml:space="preserve"> in 2015-16.</w:t>
      </w:r>
      <w:r w:rsidR="007C29EA">
        <w:rPr>
          <w:lang w:val="en-AU"/>
        </w:rPr>
        <w:t xml:space="preserve">  The Laos Australia Rural Livelihoods Program (LARLP) and </w:t>
      </w:r>
      <w:r w:rsidR="007C29EA" w:rsidRPr="007C29EA">
        <w:rPr>
          <w:lang w:val="en-AU"/>
        </w:rPr>
        <w:t>Support for UXO action in Laos</w:t>
      </w:r>
      <w:r w:rsidR="007C29EA">
        <w:rPr>
          <w:lang w:val="en-AU"/>
        </w:rPr>
        <w:t>, were i</w:t>
      </w:r>
      <w:r w:rsidR="009D104C">
        <w:rPr>
          <w:lang w:val="en-AU"/>
        </w:rPr>
        <w:t xml:space="preserve">nvestments </w:t>
      </w:r>
      <w:r w:rsidR="007C29EA">
        <w:rPr>
          <w:lang w:val="en-AU"/>
        </w:rPr>
        <w:t xml:space="preserve">identified as requiring improvement in the 2014-15 </w:t>
      </w:r>
      <w:r w:rsidR="001012F6">
        <w:rPr>
          <w:lang w:val="en-AU"/>
        </w:rPr>
        <w:t>Aid Program Performance Report (APPR)</w:t>
      </w:r>
      <w:r w:rsidR="007C29EA">
        <w:rPr>
          <w:lang w:val="en-AU"/>
        </w:rPr>
        <w:t xml:space="preserve">.  </w:t>
      </w:r>
      <w:r w:rsidR="007C29EA" w:rsidRPr="007C29EA">
        <w:rPr>
          <w:lang w:val="en-AU"/>
        </w:rPr>
        <w:t>Remedial action</w:t>
      </w:r>
      <w:r w:rsidR="007C29EA">
        <w:rPr>
          <w:lang w:val="en-AU"/>
        </w:rPr>
        <w:t xml:space="preserve">, referenced in the 2014-15 </w:t>
      </w:r>
      <w:r w:rsidR="001012F6">
        <w:rPr>
          <w:lang w:val="en-AU"/>
        </w:rPr>
        <w:t>Aid Program Performance Report</w:t>
      </w:r>
      <w:r w:rsidR="007C29EA">
        <w:rPr>
          <w:lang w:val="en-AU"/>
        </w:rPr>
        <w:t>, has addressed impediments to implementation with LARLP, and the program is now progressing satisfactorily</w:t>
      </w:r>
      <w:r w:rsidR="007C29EA" w:rsidRPr="007C29EA">
        <w:rPr>
          <w:lang w:val="en-AU"/>
        </w:rPr>
        <w:t>.</w:t>
      </w:r>
      <w:r w:rsidR="00EA5D68">
        <w:rPr>
          <w:lang w:val="en-AU"/>
        </w:rPr>
        <w:t xml:space="preserve">  </w:t>
      </w:r>
      <w:r w:rsidR="00EA5D68" w:rsidRPr="00EA5D68">
        <w:rPr>
          <w:lang w:val="en-AU"/>
        </w:rPr>
        <w:t>The UXO program has been performing satisfactorily</w:t>
      </w:r>
      <w:r w:rsidR="008F6849">
        <w:rPr>
          <w:lang w:val="en-AU"/>
        </w:rPr>
        <w:t>,</w:t>
      </w:r>
      <w:r w:rsidR="00EA5D68" w:rsidRPr="00EA5D68">
        <w:rPr>
          <w:lang w:val="en-AU"/>
        </w:rPr>
        <w:t xml:space="preserve"> but was captured in the </w:t>
      </w:r>
      <w:r w:rsidR="00EA5D68" w:rsidRPr="006A7F94">
        <w:rPr>
          <w:i/>
          <w:lang w:val="en-AU"/>
        </w:rPr>
        <w:t>investments requiring improvement</w:t>
      </w:r>
      <w:r w:rsidR="00EA5D68" w:rsidRPr="00EA5D68">
        <w:rPr>
          <w:lang w:val="en-AU"/>
        </w:rPr>
        <w:t xml:space="preserve"> process </w:t>
      </w:r>
      <w:r w:rsidR="009D104C">
        <w:rPr>
          <w:lang w:val="en-AU"/>
        </w:rPr>
        <w:t>during the last reporting period</w:t>
      </w:r>
      <w:r w:rsidR="001012F6">
        <w:rPr>
          <w:lang w:val="en-AU"/>
        </w:rPr>
        <w:t>,</w:t>
      </w:r>
      <w:r w:rsidR="009D104C">
        <w:rPr>
          <w:lang w:val="en-AU"/>
        </w:rPr>
        <w:t xml:space="preserve"> </w:t>
      </w:r>
      <w:r w:rsidR="00EA5D68" w:rsidRPr="00EA5D68">
        <w:rPr>
          <w:lang w:val="en-AU"/>
        </w:rPr>
        <w:t>because it shared the same A</w:t>
      </w:r>
      <w:r w:rsidR="00EA5D68">
        <w:rPr>
          <w:lang w:val="en-AU"/>
        </w:rPr>
        <w:t xml:space="preserve">id </w:t>
      </w:r>
      <w:r w:rsidR="00EA5D68" w:rsidRPr="00EA5D68">
        <w:rPr>
          <w:lang w:val="en-AU"/>
        </w:rPr>
        <w:t>Q</w:t>
      </w:r>
      <w:r w:rsidR="00EA5D68">
        <w:rPr>
          <w:lang w:val="en-AU"/>
        </w:rPr>
        <w:t xml:space="preserve">uality </w:t>
      </w:r>
      <w:r w:rsidR="00EA5D68" w:rsidRPr="00EA5D68">
        <w:rPr>
          <w:lang w:val="en-AU"/>
        </w:rPr>
        <w:t>C</w:t>
      </w:r>
      <w:r w:rsidR="00EA5D68">
        <w:rPr>
          <w:lang w:val="en-AU"/>
        </w:rPr>
        <w:t>heck</w:t>
      </w:r>
      <w:r w:rsidR="00EA5D68" w:rsidRPr="00EA5D68">
        <w:rPr>
          <w:lang w:val="en-AU"/>
        </w:rPr>
        <w:t xml:space="preserve"> as </w:t>
      </w:r>
      <w:r w:rsidR="00EA5D68">
        <w:rPr>
          <w:lang w:val="en-AU"/>
        </w:rPr>
        <w:t>LARLP.</w:t>
      </w:r>
      <w:r w:rsidR="007C29EA">
        <w:rPr>
          <w:lang w:val="en-AU"/>
        </w:rPr>
        <w:t xml:space="preserve">  </w:t>
      </w:r>
      <w:r w:rsidRPr="00982C79">
        <w:rPr>
          <w:lang w:val="en-AU"/>
        </w:rPr>
        <w:t xml:space="preserve">  </w:t>
      </w:r>
    </w:p>
    <w:p w:rsidR="00526C54" w:rsidRPr="00982C79" w:rsidRDefault="00526C54" w:rsidP="00526C54">
      <w:pPr>
        <w:spacing w:after="200" w:line="276" w:lineRule="auto"/>
        <w:rPr>
          <w:lang w:val="en-AU"/>
        </w:rPr>
      </w:pPr>
      <w:r w:rsidRPr="00982C79">
        <w:rPr>
          <w:lang w:val="en-AU"/>
        </w:rPr>
        <w:t xml:space="preserve">All investments recorded satisfactory performance on gender inclusion in 2015-16, with </w:t>
      </w:r>
      <w:r w:rsidR="00DE3278">
        <w:rPr>
          <w:lang w:val="en-AU"/>
        </w:rPr>
        <w:t>three</w:t>
      </w:r>
      <w:r w:rsidRPr="00982C79">
        <w:rPr>
          <w:lang w:val="en-AU"/>
        </w:rPr>
        <w:t xml:space="preserve"> investments achieving a rating of good quality or above (A</w:t>
      </w:r>
      <w:r w:rsidR="00630483">
        <w:rPr>
          <w:lang w:val="en-AU"/>
        </w:rPr>
        <w:t xml:space="preserve">id </w:t>
      </w:r>
      <w:r w:rsidRPr="00982C79">
        <w:rPr>
          <w:lang w:val="en-AU"/>
        </w:rPr>
        <w:t>Q</w:t>
      </w:r>
      <w:r w:rsidR="00630483">
        <w:rPr>
          <w:lang w:val="en-AU"/>
        </w:rPr>
        <w:t xml:space="preserve">uality </w:t>
      </w:r>
      <w:r w:rsidRPr="00982C79">
        <w:rPr>
          <w:lang w:val="en-AU"/>
        </w:rPr>
        <w:t>C</w:t>
      </w:r>
      <w:r w:rsidR="00630483">
        <w:rPr>
          <w:lang w:val="en-AU"/>
        </w:rPr>
        <w:t>heck</w:t>
      </w:r>
      <w:r w:rsidRPr="00982C79">
        <w:rPr>
          <w:lang w:val="en-AU"/>
        </w:rPr>
        <w:t xml:space="preserve"> scores of 5 or 6).  </w:t>
      </w:r>
      <w:r w:rsidR="00A22AFE">
        <w:rPr>
          <w:lang w:val="en-AU"/>
        </w:rPr>
        <w:t xml:space="preserve">In </w:t>
      </w:r>
      <w:r w:rsidRPr="00982C79">
        <w:rPr>
          <w:lang w:val="en-AU"/>
        </w:rPr>
        <w:t>2014-15</w:t>
      </w:r>
      <w:r w:rsidR="00A22AFE">
        <w:rPr>
          <w:lang w:val="en-AU"/>
        </w:rPr>
        <w:t>,</w:t>
      </w:r>
      <w:r w:rsidRPr="00982C79">
        <w:rPr>
          <w:lang w:val="en-AU"/>
        </w:rPr>
        <w:t xml:space="preserve"> all investments recorded satisfactory performance on gender inclusion, but none were rated good quality or above.  </w:t>
      </w:r>
    </w:p>
    <w:p w:rsidR="005B5769" w:rsidRPr="00982C79" w:rsidRDefault="00526C54" w:rsidP="00526C54">
      <w:pPr>
        <w:spacing w:after="200" w:line="276" w:lineRule="auto"/>
        <w:rPr>
          <w:lang w:val="en-AU"/>
        </w:rPr>
      </w:pPr>
      <w:r w:rsidRPr="00982C79">
        <w:rPr>
          <w:lang w:val="en-AU"/>
        </w:rPr>
        <w:t>Traditionally</w:t>
      </w:r>
      <w:r w:rsidR="00407F9E">
        <w:rPr>
          <w:lang w:val="en-AU"/>
        </w:rPr>
        <w:t>,</w:t>
      </w:r>
      <w:r w:rsidRPr="00982C79">
        <w:rPr>
          <w:lang w:val="en-AU"/>
        </w:rPr>
        <w:t xml:space="preserve"> investments achieve the highest ratings for relevance.  However</w:t>
      </w:r>
      <w:r w:rsidR="00544020">
        <w:rPr>
          <w:lang w:val="en-AU"/>
        </w:rPr>
        <w:t>,</w:t>
      </w:r>
      <w:r w:rsidRPr="00982C79">
        <w:rPr>
          <w:lang w:val="en-AU"/>
        </w:rPr>
        <w:t xml:space="preserve"> in 2015-16</w:t>
      </w:r>
      <w:r w:rsidR="00544020">
        <w:rPr>
          <w:lang w:val="en-AU"/>
        </w:rPr>
        <w:t>,</w:t>
      </w:r>
      <w:r w:rsidRPr="00982C79">
        <w:rPr>
          <w:lang w:val="en-AU"/>
        </w:rPr>
        <w:t xml:space="preserve"> investments performed </w:t>
      </w:r>
      <w:r w:rsidR="00544020">
        <w:rPr>
          <w:lang w:val="en-AU"/>
        </w:rPr>
        <w:t xml:space="preserve">less well </w:t>
      </w:r>
      <w:r w:rsidRPr="00982C79">
        <w:rPr>
          <w:lang w:val="en-AU"/>
        </w:rPr>
        <w:t>against this dimension of quality</w:t>
      </w:r>
      <w:r w:rsidR="00544EA5">
        <w:rPr>
          <w:lang w:val="en-AU"/>
        </w:rPr>
        <w:t xml:space="preserve">.  </w:t>
      </w:r>
      <w:r w:rsidR="00544020">
        <w:rPr>
          <w:lang w:val="en-AU"/>
        </w:rPr>
        <w:t>This</w:t>
      </w:r>
      <w:r w:rsidRPr="00982C79">
        <w:rPr>
          <w:lang w:val="en-AU"/>
        </w:rPr>
        <w:t xml:space="preserve"> reflect</w:t>
      </w:r>
      <w:r w:rsidR="00544020">
        <w:rPr>
          <w:lang w:val="en-AU"/>
        </w:rPr>
        <w:t>s</w:t>
      </w:r>
      <w:r w:rsidRPr="00982C79">
        <w:rPr>
          <w:lang w:val="en-AU"/>
        </w:rPr>
        <w:t xml:space="preserve"> the removal of rural development as a </w:t>
      </w:r>
      <w:r w:rsidR="008F6849">
        <w:rPr>
          <w:lang w:val="en-AU"/>
        </w:rPr>
        <w:t xml:space="preserve">Aid Investment Plan </w:t>
      </w:r>
      <w:r w:rsidRPr="00982C79">
        <w:rPr>
          <w:lang w:val="en-AU"/>
        </w:rPr>
        <w:t xml:space="preserve">priority (as a result of budget </w:t>
      </w:r>
      <w:r w:rsidR="009401A8">
        <w:rPr>
          <w:lang w:val="en-AU"/>
        </w:rPr>
        <w:t>reductions</w:t>
      </w:r>
      <w:r w:rsidRPr="00982C79">
        <w:rPr>
          <w:lang w:val="en-AU"/>
        </w:rPr>
        <w:t xml:space="preserve">), </w:t>
      </w:r>
      <w:r w:rsidR="00544020">
        <w:rPr>
          <w:lang w:val="en-AU"/>
        </w:rPr>
        <w:t xml:space="preserve">and </w:t>
      </w:r>
      <w:r w:rsidRPr="00982C79">
        <w:rPr>
          <w:lang w:val="en-AU"/>
        </w:rPr>
        <w:t xml:space="preserve">the continued existence of legacy rural development investments that are </w:t>
      </w:r>
      <w:r w:rsidR="00544020">
        <w:rPr>
          <w:lang w:val="en-AU"/>
        </w:rPr>
        <w:t xml:space="preserve">no longer well </w:t>
      </w:r>
      <w:r w:rsidRPr="00982C79">
        <w:rPr>
          <w:lang w:val="en-AU"/>
        </w:rPr>
        <w:t xml:space="preserve">aligned </w:t>
      </w:r>
      <w:r w:rsidR="00BF4FA0">
        <w:rPr>
          <w:lang w:val="en-AU"/>
        </w:rPr>
        <w:t xml:space="preserve">with new priorities.  </w:t>
      </w:r>
      <w:r w:rsidRPr="00982C79">
        <w:rPr>
          <w:lang w:val="en-AU"/>
        </w:rPr>
        <w:t>Performance across the effectiveness, efficiency and sustainability dimensions of quality was variable.  Generally consistent satisfactory performance was recorded against M&amp;E, gender and risk.</w:t>
      </w:r>
    </w:p>
    <w:p w:rsidR="00526C54" w:rsidRDefault="00A32EC8" w:rsidP="00526C54">
      <w:pPr>
        <w:spacing w:after="200" w:line="276" w:lineRule="auto"/>
        <w:rPr>
          <w:lang w:val="en-AU"/>
        </w:rPr>
      </w:pPr>
      <w:r w:rsidRPr="00982C79">
        <w:rPr>
          <w:lang w:val="en-AU"/>
        </w:rPr>
        <w:lastRenderedPageBreak/>
        <w:t xml:space="preserve">Managing contractors continue to increase their share of the delivery of Australian aid funds, accounting for around 70 per cent of aid funds delivered in 2015-16.  </w:t>
      </w:r>
      <w:r w:rsidR="00526C54" w:rsidRPr="00982C79">
        <w:rPr>
          <w:lang w:val="en-AU"/>
        </w:rPr>
        <w:t>The performance of key delivery partners has improved compared to 2014-15.  In 2015-16</w:t>
      </w:r>
      <w:r w:rsidRPr="00982C79">
        <w:rPr>
          <w:lang w:val="en-AU"/>
        </w:rPr>
        <w:t>,</w:t>
      </w:r>
      <w:r w:rsidR="00526C54" w:rsidRPr="00982C79">
        <w:rPr>
          <w:lang w:val="en-AU"/>
        </w:rPr>
        <w:t xml:space="preserve"> only one out of ten partners had an unsatisfactory rating against any partnership performance criterion.  This compares to 2014-15</w:t>
      </w:r>
      <w:r w:rsidR="00630483">
        <w:rPr>
          <w:lang w:val="en-AU"/>
        </w:rPr>
        <w:t>,</w:t>
      </w:r>
      <w:r w:rsidR="00526C54" w:rsidRPr="00982C79">
        <w:rPr>
          <w:lang w:val="en-AU"/>
        </w:rPr>
        <w:t xml:space="preserve"> where three out of twelve partners had an unsatisfactory rating against any partnership performance criterion.   </w:t>
      </w:r>
    </w:p>
    <w:p w:rsidR="00BF4FA0" w:rsidRDefault="00BF4FA0" w:rsidP="00526C54">
      <w:pPr>
        <w:spacing w:after="200" w:line="276" w:lineRule="auto"/>
        <w:rPr>
          <w:lang w:val="en-AU"/>
        </w:rPr>
      </w:pPr>
      <w:r>
        <w:rPr>
          <w:lang w:val="en-AU"/>
        </w:rPr>
        <w:t xml:space="preserve">The program has sought to lift the quality of </w:t>
      </w:r>
      <w:r w:rsidR="00DE38B8">
        <w:rPr>
          <w:lang w:val="en-AU"/>
        </w:rPr>
        <w:t xml:space="preserve">the portfolio </w:t>
      </w:r>
      <w:r>
        <w:rPr>
          <w:lang w:val="en-AU"/>
        </w:rPr>
        <w:t>by</w:t>
      </w:r>
      <w:r w:rsidR="00DE38B8">
        <w:rPr>
          <w:lang w:val="en-AU"/>
        </w:rPr>
        <w:t xml:space="preserve"> strengthening the effectiveness of our policy advocacy in the education sector.  This has resulted in significant progress being made with two policy priorities - revision of </w:t>
      </w:r>
      <w:r w:rsidR="00DE38B8" w:rsidRPr="00DE38B8">
        <w:rPr>
          <w:lang w:val="en-AU"/>
        </w:rPr>
        <w:t xml:space="preserve">the national </w:t>
      </w:r>
      <w:r w:rsidR="00DE38B8">
        <w:rPr>
          <w:lang w:val="en-AU"/>
        </w:rPr>
        <w:t>primary curriculum and improvement in</w:t>
      </w:r>
      <w:r w:rsidR="00DE38B8" w:rsidRPr="00DE38B8">
        <w:rPr>
          <w:lang w:val="en-AU"/>
        </w:rPr>
        <w:t xml:space="preserve"> school-based management.</w:t>
      </w:r>
      <w:r w:rsidR="00DE38B8">
        <w:rPr>
          <w:lang w:val="en-AU"/>
        </w:rPr>
        <w:t xml:space="preserve">  We have reviewed and strengthened Australia Awards promotion and selection processes to improve </w:t>
      </w:r>
      <w:r w:rsidR="00B80E01">
        <w:rPr>
          <w:lang w:val="en-AU"/>
        </w:rPr>
        <w:t xml:space="preserve">academic </w:t>
      </w:r>
      <w:r w:rsidR="00DE38B8">
        <w:rPr>
          <w:lang w:val="en-AU"/>
        </w:rPr>
        <w:t>performance.  In the trade sector</w:t>
      </w:r>
      <w:r w:rsidR="00B80E01">
        <w:rPr>
          <w:lang w:val="en-AU"/>
        </w:rPr>
        <w:t>,</w:t>
      </w:r>
      <w:r w:rsidR="00DE38B8">
        <w:rPr>
          <w:lang w:val="en-AU"/>
        </w:rPr>
        <w:t xml:space="preserve"> we have sought to increase the focus on</w:t>
      </w:r>
      <w:r w:rsidR="00943902">
        <w:rPr>
          <w:lang w:val="en-AU"/>
        </w:rPr>
        <w:t xml:space="preserve"> </w:t>
      </w:r>
      <w:r w:rsidR="00DE38B8">
        <w:rPr>
          <w:lang w:val="en-AU"/>
        </w:rPr>
        <w:t xml:space="preserve">business environment constraints to </w:t>
      </w:r>
      <w:r w:rsidR="00943902">
        <w:rPr>
          <w:lang w:val="en-AU"/>
        </w:rPr>
        <w:t xml:space="preserve">private sector growth under </w:t>
      </w:r>
      <w:r w:rsidR="00BF6BEE">
        <w:rPr>
          <w:lang w:val="en-AU"/>
        </w:rPr>
        <w:t>TDF2</w:t>
      </w:r>
      <w:r w:rsidR="00943902">
        <w:rPr>
          <w:lang w:val="en-AU"/>
        </w:rPr>
        <w:t xml:space="preserve">.  </w:t>
      </w:r>
      <w:r w:rsidR="00BF6BEE">
        <w:rPr>
          <w:lang w:val="en-AU"/>
        </w:rPr>
        <w:t>As a result of analysis and design work conducted in 2015-16, s</w:t>
      </w:r>
      <w:r w:rsidR="00943902">
        <w:rPr>
          <w:lang w:val="en-AU"/>
        </w:rPr>
        <w:t xml:space="preserve">ignificant additional </w:t>
      </w:r>
      <w:r w:rsidR="007C29EA">
        <w:rPr>
          <w:lang w:val="en-AU"/>
        </w:rPr>
        <w:t xml:space="preserve">Australian aid </w:t>
      </w:r>
      <w:r w:rsidR="00943902">
        <w:rPr>
          <w:lang w:val="en-AU"/>
        </w:rPr>
        <w:t xml:space="preserve">resources will now be </w:t>
      </w:r>
      <w:r w:rsidR="00BF6BEE">
        <w:rPr>
          <w:lang w:val="en-AU"/>
        </w:rPr>
        <w:t xml:space="preserve">made </w:t>
      </w:r>
      <w:r w:rsidR="00943902">
        <w:rPr>
          <w:lang w:val="en-AU"/>
        </w:rPr>
        <w:t xml:space="preserve">available to </w:t>
      </w:r>
      <w:r w:rsidR="00BF6BEE">
        <w:rPr>
          <w:lang w:val="en-AU"/>
        </w:rPr>
        <w:t xml:space="preserve">TDF2.  This additional assistance will help </w:t>
      </w:r>
      <w:r w:rsidR="00943902">
        <w:rPr>
          <w:lang w:val="en-AU"/>
        </w:rPr>
        <w:t>simplify business regulations, increase the transparency and predictability of decision making, improve the inclusiveness of private sector growth</w:t>
      </w:r>
      <w:r w:rsidR="00B80E01">
        <w:rPr>
          <w:lang w:val="en-AU"/>
        </w:rPr>
        <w:t>,</w:t>
      </w:r>
      <w:r w:rsidR="00943902">
        <w:rPr>
          <w:lang w:val="en-AU"/>
        </w:rPr>
        <w:t xml:space="preserve"> and enhance the quality of policy dialogue between the Lao Government and businesses. </w:t>
      </w:r>
    </w:p>
    <w:p w:rsidR="005B5769" w:rsidRPr="00982C79" w:rsidRDefault="005B5769" w:rsidP="00015316">
      <w:pPr>
        <w:pStyle w:val="ListBullet"/>
        <w:tabs>
          <w:tab w:val="clear" w:pos="284"/>
        </w:tabs>
        <w:spacing w:before="400"/>
        <w:rPr>
          <w:rFonts w:asciiTheme="majorHAnsi" w:eastAsiaTheme="majorEastAsia" w:hAnsiTheme="majorHAnsi" w:cstheme="majorBidi"/>
          <w:caps/>
          <w:color w:val="495965" w:themeColor="text2"/>
          <w:sz w:val="38"/>
          <w:szCs w:val="26"/>
          <w:lang w:eastAsia="en-US"/>
        </w:rPr>
      </w:pPr>
      <w:r w:rsidRPr="00982C79">
        <w:rPr>
          <w:rFonts w:asciiTheme="majorHAnsi" w:eastAsiaTheme="majorEastAsia" w:hAnsiTheme="majorHAnsi" w:cstheme="majorBidi"/>
          <w:caps/>
          <w:color w:val="495965" w:themeColor="text2"/>
          <w:sz w:val="38"/>
          <w:szCs w:val="26"/>
          <w:lang w:eastAsia="en-US"/>
        </w:rPr>
        <w:t>Management Responses</w:t>
      </w:r>
    </w:p>
    <w:p w:rsidR="00E03E02" w:rsidRDefault="00451888" w:rsidP="00A8197B">
      <w:pPr>
        <w:rPr>
          <w:lang w:val="en-AU"/>
        </w:rPr>
      </w:pPr>
      <w:r>
        <w:rPr>
          <w:lang w:val="en-AU"/>
        </w:rPr>
        <w:t>During 2016-17</w:t>
      </w:r>
      <w:r w:rsidR="00B80E01">
        <w:rPr>
          <w:lang w:val="en-AU"/>
        </w:rPr>
        <w:t xml:space="preserve">, we will review </w:t>
      </w:r>
      <w:r w:rsidR="00415BE2">
        <w:rPr>
          <w:lang w:val="en-AU"/>
        </w:rPr>
        <w:t>the performance of</w:t>
      </w:r>
      <w:r w:rsidR="000A4890">
        <w:rPr>
          <w:lang w:val="en-AU"/>
        </w:rPr>
        <w:t xml:space="preserve"> the</w:t>
      </w:r>
      <w:r w:rsidR="00415BE2">
        <w:rPr>
          <w:lang w:val="en-AU"/>
        </w:rPr>
        <w:t xml:space="preserve"> flagship education sector BEQUAL </w:t>
      </w:r>
      <w:r w:rsidR="00967893">
        <w:rPr>
          <w:lang w:val="en-AU"/>
        </w:rPr>
        <w:t xml:space="preserve">program </w:t>
      </w:r>
      <w:r w:rsidR="00415BE2">
        <w:rPr>
          <w:lang w:val="en-AU"/>
        </w:rPr>
        <w:t xml:space="preserve">over the first 12 months of </w:t>
      </w:r>
      <w:r w:rsidR="00B80E01">
        <w:rPr>
          <w:lang w:val="en-AU"/>
        </w:rPr>
        <w:t xml:space="preserve">its </w:t>
      </w:r>
      <w:r w:rsidR="00415BE2">
        <w:rPr>
          <w:lang w:val="en-AU"/>
        </w:rPr>
        <w:t xml:space="preserve">implementation.  </w:t>
      </w:r>
      <w:r w:rsidR="000A4890">
        <w:rPr>
          <w:lang w:val="en-AU"/>
        </w:rPr>
        <w:t>A</w:t>
      </w:r>
      <w:r w:rsidR="00415BE2">
        <w:rPr>
          <w:lang w:val="en-AU"/>
        </w:rPr>
        <w:t xml:space="preserve"> number of evaluative studies</w:t>
      </w:r>
      <w:r w:rsidR="000A4890">
        <w:rPr>
          <w:lang w:val="en-AU"/>
        </w:rPr>
        <w:t xml:space="preserve"> will be conducted to</w:t>
      </w:r>
      <w:r w:rsidR="00415BE2">
        <w:rPr>
          <w:lang w:val="en-AU"/>
        </w:rPr>
        <w:t xml:space="preserve"> confirm the program logic remains sound and relevant</w:t>
      </w:r>
      <w:r w:rsidR="00B80E01">
        <w:rPr>
          <w:lang w:val="en-AU"/>
        </w:rPr>
        <w:t>,</w:t>
      </w:r>
      <w:r w:rsidR="00415BE2">
        <w:rPr>
          <w:lang w:val="en-AU"/>
        </w:rPr>
        <w:t xml:space="preserve"> and help map donor engagement in the sector. </w:t>
      </w:r>
      <w:r w:rsidR="00A12950">
        <w:rPr>
          <w:lang w:val="en-AU"/>
        </w:rPr>
        <w:t xml:space="preserve"> We will undertake the design on a </w:t>
      </w:r>
      <w:r w:rsidR="00B80E01">
        <w:rPr>
          <w:lang w:val="en-AU"/>
        </w:rPr>
        <w:t xml:space="preserve">new </w:t>
      </w:r>
      <w:r w:rsidR="00A12950">
        <w:rPr>
          <w:lang w:val="en-AU"/>
        </w:rPr>
        <w:t>phase of our human resource development program</w:t>
      </w:r>
      <w:r w:rsidR="00B80E01">
        <w:rPr>
          <w:lang w:val="en-AU"/>
        </w:rPr>
        <w:t>,</w:t>
      </w:r>
      <w:r w:rsidR="00A12950">
        <w:rPr>
          <w:lang w:val="en-AU"/>
        </w:rPr>
        <w:t xml:space="preserve"> which will potentially extend our existing program out to 2021.  </w:t>
      </w:r>
    </w:p>
    <w:p w:rsidR="002D7BE4" w:rsidRDefault="00DD2708" w:rsidP="00A8197B">
      <w:pPr>
        <w:rPr>
          <w:lang w:val="en-AU"/>
        </w:rPr>
      </w:pPr>
      <w:r w:rsidRPr="00376683">
        <w:rPr>
          <w:rFonts w:cs="Arial"/>
        </w:rPr>
        <w:t>Australia</w:t>
      </w:r>
      <w:r>
        <w:rPr>
          <w:rFonts w:cs="Arial"/>
        </w:rPr>
        <w:t xml:space="preserve">’s </w:t>
      </w:r>
      <w:r w:rsidRPr="00376683">
        <w:rPr>
          <w:rFonts w:cs="Arial"/>
        </w:rPr>
        <w:t xml:space="preserve">additional </w:t>
      </w:r>
      <w:r>
        <w:rPr>
          <w:rFonts w:cs="Arial"/>
        </w:rPr>
        <w:t xml:space="preserve">financing </w:t>
      </w:r>
      <w:r w:rsidRPr="00376683">
        <w:rPr>
          <w:rFonts w:cs="Arial"/>
        </w:rPr>
        <w:t xml:space="preserve">to TDF2 </w:t>
      </w:r>
      <w:r>
        <w:rPr>
          <w:rFonts w:cs="Arial"/>
        </w:rPr>
        <w:t xml:space="preserve">will enhance </w:t>
      </w:r>
      <w:r w:rsidR="00451888">
        <w:rPr>
          <w:lang w:val="en-AU"/>
        </w:rPr>
        <w:t>the program’s focus on the business environment and women’s economic engagement.  The coming year will also see us further reduce our engagement in rural development.  A priority for us will be to conclude the Laos Australia Rural Livelihoods Program in a manner which maximises the sustainability of its development outcomes.  Progress against our 2015-16 management actions is set out in Annex A.</w:t>
      </w:r>
    </w:p>
    <w:p w:rsidR="009F5488" w:rsidRPr="00982C79" w:rsidRDefault="009F5488" w:rsidP="005B5769">
      <w:pPr>
        <w:pStyle w:val="ListBullet"/>
        <w:tabs>
          <w:tab w:val="clear" w:pos="284"/>
        </w:tabs>
      </w:pPr>
    </w:p>
    <w:p w:rsidR="00D00802" w:rsidRPr="00982C79" w:rsidRDefault="00D00802" w:rsidP="005B5769">
      <w:pPr>
        <w:pStyle w:val="ListBullet"/>
        <w:tabs>
          <w:tab w:val="clear" w:pos="284"/>
        </w:tabs>
        <w:sectPr w:rsidR="00D00802" w:rsidRPr="00982C79" w:rsidSect="00D00802">
          <w:pgSz w:w="11906" w:h="16838" w:code="9"/>
          <w:pgMar w:top="1811" w:right="1134" w:bottom="851" w:left="1134" w:header="1565" w:footer="567" w:gutter="0"/>
          <w:cols w:space="397"/>
          <w:titlePg/>
          <w:docGrid w:linePitch="360"/>
        </w:sectPr>
      </w:pPr>
    </w:p>
    <w:p w:rsidR="00AF1B85" w:rsidRPr="00982C79" w:rsidRDefault="00AF1B85" w:rsidP="005E606B">
      <w:pPr>
        <w:pStyle w:val="Subtitle"/>
        <w:rPr>
          <w:lang w:val="en-AU"/>
        </w:rPr>
      </w:pPr>
      <w:r w:rsidRPr="00982C79">
        <w:rPr>
          <w:lang w:val="en-AU"/>
        </w:rPr>
        <w:lastRenderedPageBreak/>
        <w:t>Annex A - Progress in Addressing Management Responses</w:t>
      </w:r>
    </w:p>
    <w:tbl>
      <w:tblPr>
        <w:tblStyle w:val="APPR"/>
        <w:tblpPr w:leftFromText="180" w:rightFromText="180" w:vertAnchor="text" w:tblpY="1"/>
        <w:tblW w:w="5000" w:type="pct"/>
        <w:tblLayout w:type="fixed"/>
        <w:tblLook w:val="0000" w:firstRow="0" w:lastRow="0" w:firstColumn="0" w:lastColumn="0" w:noHBand="0" w:noVBand="0"/>
      </w:tblPr>
      <w:tblGrid>
        <w:gridCol w:w="6451"/>
        <w:gridCol w:w="986"/>
        <w:gridCol w:w="6870"/>
      </w:tblGrid>
      <w:tr w:rsidR="00253BC9" w:rsidRPr="00982C79" w:rsidTr="00DE38B8">
        <w:trPr>
          <w:cnfStyle w:val="000000010000" w:firstRow="0" w:lastRow="0" w:firstColumn="0" w:lastColumn="0" w:oddVBand="0" w:evenVBand="0" w:oddHBand="0" w:evenHBand="1" w:firstRowFirstColumn="0" w:firstRowLastColumn="0" w:lastRowFirstColumn="0" w:lastRowLastColumn="0"/>
        </w:trPr>
        <w:tc>
          <w:tcPr>
            <w:tcW w:w="6374" w:type="dxa"/>
          </w:tcPr>
          <w:p w:rsidR="00253BC9" w:rsidRPr="00982C79" w:rsidRDefault="00253BC9" w:rsidP="00DE38B8">
            <w:pPr>
              <w:keepLines/>
              <w:spacing w:before="80" w:after="80" w:line="200" w:lineRule="atLeast"/>
              <w:rPr>
                <w:rFonts w:ascii="Franklin Gothic Medium" w:eastAsia="Times New Roman" w:hAnsi="Franklin Gothic Medium"/>
                <w:b/>
                <w:iCs/>
                <w:szCs w:val="17"/>
                <w:lang w:val="en-AU" w:eastAsia="en-US"/>
              </w:rPr>
            </w:pPr>
            <w:r w:rsidRPr="00982C79">
              <w:rPr>
                <w:rFonts w:ascii="Franklin Gothic Medium" w:eastAsia="Times New Roman" w:hAnsi="Franklin Gothic Medium"/>
                <w:b/>
                <w:iCs/>
                <w:szCs w:val="17"/>
                <w:lang w:val="en-AU" w:eastAsia="en-US"/>
              </w:rPr>
              <w:t>Management responses identified in 2014-15 APPR</w:t>
            </w:r>
            <w:r w:rsidRPr="00982C79">
              <w:rPr>
                <w:rFonts w:ascii="Franklin Gothic Medium" w:eastAsia="Times New Roman" w:hAnsi="Franklin Gothic Medium"/>
                <w:b/>
                <w:iCs/>
                <w:szCs w:val="17"/>
                <w:lang w:val="en-AU" w:eastAsia="en-US"/>
              </w:rPr>
              <w:tab/>
            </w:r>
          </w:p>
        </w:tc>
        <w:tc>
          <w:tcPr>
            <w:tcW w:w="953" w:type="dxa"/>
          </w:tcPr>
          <w:p w:rsidR="00253BC9" w:rsidRPr="00982C79" w:rsidRDefault="00253BC9" w:rsidP="00DE38B8">
            <w:pPr>
              <w:keepLines/>
              <w:spacing w:before="80" w:after="80" w:line="200" w:lineRule="atLeast"/>
              <w:rPr>
                <w:rFonts w:ascii="Franklin Gothic Medium" w:eastAsia="Times New Roman" w:hAnsi="Franklin Gothic Medium"/>
                <w:b/>
                <w:iCs/>
                <w:szCs w:val="17"/>
                <w:lang w:val="en-AU" w:eastAsia="en-US"/>
              </w:rPr>
            </w:pPr>
            <w:r w:rsidRPr="00982C79">
              <w:rPr>
                <w:rFonts w:ascii="Franklin Gothic Medium" w:eastAsia="Times New Roman" w:hAnsi="Franklin Gothic Medium"/>
                <w:b/>
                <w:iCs/>
                <w:szCs w:val="17"/>
                <w:lang w:val="en-AU" w:eastAsia="en-US"/>
              </w:rPr>
              <w:t>Rating</w:t>
            </w:r>
          </w:p>
        </w:tc>
        <w:tc>
          <w:tcPr>
            <w:tcW w:w="6791" w:type="dxa"/>
          </w:tcPr>
          <w:p w:rsidR="00253BC9" w:rsidRPr="00982C79" w:rsidRDefault="00253BC9" w:rsidP="00DE38B8">
            <w:pPr>
              <w:keepLines/>
              <w:spacing w:before="80" w:after="80" w:line="200" w:lineRule="atLeast"/>
              <w:rPr>
                <w:rFonts w:ascii="Franklin Gothic Medium" w:eastAsia="Times New Roman" w:hAnsi="Franklin Gothic Medium"/>
                <w:b/>
                <w:iCs/>
                <w:szCs w:val="17"/>
                <w:lang w:val="en-AU" w:eastAsia="en-US"/>
              </w:rPr>
            </w:pPr>
            <w:r w:rsidRPr="00982C79">
              <w:rPr>
                <w:rFonts w:ascii="Franklin Gothic Medium" w:eastAsia="Times New Roman" w:hAnsi="Franklin Gothic Medium"/>
                <w:b/>
                <w:iCs/>
                <w:szCs w:val="17"/>
                <w:lang w:val="en-AU" w:eastAsia="en-US"/>
              </w:rPr>
              <w:t>Progress made  in 2015-16</w:t>
            </w:r>
            <w:r w:rsidRPr="00982C79">
              <w:rPr>
                <w:rFonts w:ascii="Franklin Gothic Medium" w:eastAsia="Times New Roman" w:hAnsi="Franklin Gothic Medium"/>
                <w:b/>
                <w:iCs/>
                <w:szCs w:val="17"/>
                <w:lang w:val="en-AU" w:eastAsia="en-US"/>
              </w:rPr>
              <w:tab/>
            </w:r>
          </w:p>
        </w:tc>
      </w:tr>
      <w:tr w:rsidR="00253BC9" w:rsidRPr="00982C79" w:rsidTr="00DE38B8">
        <w:trPr>
          <w:cnfStyle w:val="000000010000" w:firstRow="0" w:lastRow="0" w:firstColumn="0" w:lastColumn="0" w:oddVBand="0" w:evenVBand="0" w:oddHBand="0" w:evenHBand="1" w:firstRowFirstColumn="0" w:firstRowLastColumn="0" w:lastRowFirstColumn="0" w:lastRowLastColumn="0"/>
        </w:trPr>
        <w:tc>
          <w:tcPr>
            <w:tcW w:w="6374" w:type="dxa"/>
          </w:tcPr>
          <w:p w:rsidR="00253BC9" w:rsidRPr="00982C79" w:rsidRDefault="00253BC9" w:rsidP="00DE38B8">
            <w:pPr>
              <w:keepLines/>
              <w:spacing w:before="40" w:after="40" w:line="200" w:lineRule="atLeast"/>
              <w:rPr>
                <w:rFonts w:eastAsia="Times New Roman"/>
                <w:b/>
                <w:iCs/>
                <w:szCs w:val="17"/>
                <w:lang w:val="en-AU" w:eastAsia="en-US"/>
              </w:rPr>
            </w:pPr>
            <w:r w:rsidRPr="00982C79">
              <w:rPr>
                <w:rFonts w:eastAsia="Times New Roman"/>
                <w:b/>
                <w:iCs/>
                <w:szCs w:val="17"/>
                <w:lang w:val="en-AU" w:eastAsia="en-US"/>
              </w:rPr>
              <w:t>Education</w:t>
            </w:r>
          </w:p>
        </w:tc>
        <w:tc>
          <w:tcPr>
            <w:tcW w:w="953" w:type="dxa"/>
            <w:shd w:val="clear" w:color="auto" w:fill="auto"/>
          </w:tcPr>
          <w:p w:rsidR="00253BC9" w:rsidRPr="00982C79" w:rsidRDefault="00253BC9" w:rsidP="00DE38B8">
            <w:pPr>
              <w:keepLines/>
              <w:spacing w:before="40" w:after="40" w:line="200" w:lineRule="atLeast"/>
              <w:jc w:val="center"/>
              <w:rPr>
                <w:rFonts w:eastAsia="Times New Roman"/>
                <w:iCs/>
                <w:color w:val="FFFFFF" w:themeColor="background1"/>
                <w:szCs w:val="17"/>
                <w:lang w:val="en-AU" w:eastAsia="en-US"/>
              </w:rPr>
            </w:pPr>
          </w:p>
        </w:tc>
        <w:tc>
          <w:tcPr>
            <w:tcW w:w="6791" w:type="dxa"/>
          </w:tcPr>
          <w:p w:rsidR="00253BC9" w:rsidRPr="00982C79" w:rsidRDefault="00253BC9" w:rsidP="00DE38B8">
            <w:pPr>
              <w:keepLines/>
              <w:spacing w:before="40" w:after="40" w:line="200" w:lineRule="atLeast"/>
              <w:rPr>
                <w:rFonts w:eastAsia="Times New Roman"/>
                <w:iCs/>
                <w:color w:val="92D050"/>
                <w:szCs w:val="17"/>
                <w:lang w:val="en-AU" w:eastAsia="en-US"/>
              </w:rPr>
            </w:pPr>
          </w:p>
        </w:tc>
      </w:tr>
      <w:tr w:rsidR="00253BC9" w:rsidRPr="00982C79" w:rsidTr="00181DA7">
        <w:trPr>
          <w:cnfStyle w:val="000000010000" w:firstRow="0" w:lastRow="0" w:firstColumn="0" w:lastColumn="0" w:oddVBand="0" w:evenVBand="0" w:oddHBand="0" w:evenHBand="1" w:firstRowFirstColumn="0" w:firstRowLastColumn="0" w:lastRowFirstColumn="0" w:lastRowLastColumn="0"/>
        </w:trPr>
        <w:tc>
          <w:tcPr>
            <w:tcW w:w="6374" w:type="dxa"/>
          </w:tcPr>
          <w:p w:rsidR="00253BC9" w:rsidRPr="00982C79" w:rsidRDefault="00253BC9" w:rsidP="00A84EDC">
            <w:pPr>
              <w:keepLines/>
              <w:spacing w:before="40" w:after="40" w:line="200" w:lineRule="atLeast"/>
              <w:rPr>
                <w:rFonts w:eastAsia="Times New Roman"/>
                <w:iCs/>
                <w:szCs w:val="17"/>
                <w:lang w:val="en-AU" w:eastAsia="en-US"/>
              </w:rPr>
            </w:pPr>
            <w:r w:rsidRPr="00982C79">
              <w:rPr>
                <w:rFonts w:eastAsia="Times New Roman"/>
                <w:iCs/>
                <w:szCs w:val="17"/>
                <w:lang w:val="en-AU" w:eastAsia="en-US"/>
              </w:rPr>
              <w:t>Consider stepping down from the role of GPE co-coordinating agency to focus limited resources on ensuring effective mobilisation of BEQUAL.</w:t>
            </w:r>
          </w:p>
        </w:tc>
        <w:tc>
          <w:tcPr>
            <w:tcW w:w="953" w:type="dxa"/>
            <w:shd w:val="clear" w:color="auto" w:fill="33CC33"/>
          </w:tcPr>
          <w:p w:rsidR="00253BC9" w:rsidRPr="00982C79" w:rsidRDefault="00253BC9" w:rsidP="00DE38B8">
            <w:pPr>
              <w:keepLines/>
              <w:spacing w:before="40" w:after="40" w:line="200" w:lineRule="atLeast"/>
              <w:jc w:val="center"/>
              <w:rPr>
                <w:rFonts w:eastAsia="Times New Roman"/>
                <w:iCs/>
                <w:color w:val="FFFFFF" w:themeColor="background1"/>
                <w:szCs w:val="17"/>
                <w:lang w:val="en-AU" w:eastAsia="en-US"/>
              </w:rPr>
            </w:pPr>
            <w:r w:rsidRPr="00982C79">
              <w:rPr>
                <w:rFonts w:eastAsia="Times New Roman"/>
                <w:iCs/>
                <w:color w:val="FFFFFF" w:themeColor="background1"/>
                <w:szCs w:val="17"/>
                <w:lang w:val="en-AU" w:eastAsia="en-US"/>
              </w:rPr>
              <w:t xml:space="preserve">Achieved </w:t>
            </w:r>
          </w:p>
        </w:tc>
        <w:tc>
          <w:tcPr>
            <w:tcW w:w="6791" w:type="dxa"/>
          </w:tcPr>
          <w:p w:rsidR="00253BC9" w:rsidRPr="00982C79" w:rsidRDefault="00253BC9"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This was considered and we decided not to step down in 2015-16.  We have raised concerns with the implementation of the GPE with the CEO of GPE and the World Bank as implementation manager.</w:t>
            </w:r>
          </w:p>
        </w:tc>
      </w:tr>
      <w:tr w:rsidR="00253BC9" w:rsidRPr="00982C79" w:rsidTr="00181DA7">
        <w:trPr>
          <w:cnfStyle w:val="000000010000" w:firstRow="0" w:lastRow="0" w:firstColumn="0" w:lastColumn="0" w:oddVBand="0" w:evenVBand="0" w:oddHBand="0" w:evenHBand="1" w:firstRowFirstColumn="0" w:firstRowLastColumn="0" w:lastRowFirstColumn="0" w:lastRowLastColumn="0"/>
        </w:trPr>
        <w:tc>
          <w:tcPr>
            <w:tcW w:w="6374" w:type="dxa"/>
          </w:tcPr>
          <w:p w:rsidR="00253BC9" w:rsidRPr="00982C79" w:rsidRDefault="00253BC9"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Continue to encourage the Lao Government to meet its commitment to disburse school block grants to ensure schools have funding to meet operational needs.</w:t>
            </w:r>
          </w:p>
        </w:tc>
        <w:tc>
          <w:tcPr>
            <w:tcW w:w="953" w:type="dxa"/>
            <w:shd w:val="clear" w:color="auto" w:fill="33CC33"/>
          </w:tcPr>
          <w:p w:rsidR="00253BC9" w:rsidRPr="00982C79" w:rsidRDefault="00253BC9" w:rsidP="00DE38B8">
            <w:pPr>
              <w:keepLines/>
              <w:spacing w:before="40" w:after="40" w:line="200" w:lineRule="atLeast"/>
              <w:jc w:val="center"/>
              <w:rPr>
                <w:rFonts w:eastAsia="Times New Roman"/>
                <w:iCs/>
                <w:color w:val="FFFFFF" w:themeColor="background1"/>
                <w:szCs w:val="17"/>
                <w:lang w:val="en-AU" w:eastAsia="en-US"/>
              </w:rPr>
            </w:pPr>
            <w:r w:rsidRPr="00982C79">
              <w:rPr>
                <w:rFonts w:eastAsia="Times New Roman"/>
                <w:iCs/>
                <w:color w:val="FFFFFF" w:themeColor="background1"/>
                <w:szCs w:val="17"/>
                <w:lang w:val="en-AU" w:eastAsia="en-US"/>
              </w:rPr>
              <w:t xml:space="preserve">Achieved </w:t>
            </w:r>
          </w:p>
        </w:tc>
        <w:tc>
          <w:tcPr>
            <w:tcW w:w="6791" w:type="dxa"/>
          </w:tcPr>
          <w:p w:rsidR="00253BC9" w:rsidRPr="00982C79" w:rsidRDefault="00253BC9"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We have encouraged GoL to meet its commitments in relation to block grants</w:t>
            </w:r>
            <w:r w:rsidR="00CA74C5" w:rsidRPr="00982C79">
              <w:rPr>
                <w:rFonts w:eastAsia="Times New Roman"/>
                <w:iCs/>
                <w:szCs w:val="17"/>
                <w:lang w:val="en-AU" w:eastAsia="en-US"/>
              </w:rPr>
              <w:t xml:space="preserve">.  </w:t>
            </w:r>
            <w:r w:rsidRPr="00982C79">
              <w:rPr>
                <w:rFonts w:eastAsia="Times New Roman"/>
                <w:iCs/>
                <w:szCs w:val="17"/>
                <w:lang w:val="en-AU" w:eastAsia="en-US"/>
              </w:rPr>
              <w:t>The GoL has not yet disbursed these grants.</w:t>
            </w:r>
            <w:r w:rsidR="00C97A75">
              <w:rPr>
                <w:rFonts w:eastAsia="Times New Roman"/>
                <w:iCs/>
                <w:szCs w:val="17"/>
                <w:lang w:val="en-AU" w:eastAsia="en-US"/>
              </w:rPr>
              <w:t xml:space="preserve">  We will continue our advocacy in 2016-17.</w:t>
            </w:r>
          </w:p>
        </w:tc>
      </w:tr>
      <w:tr w:rsidR="00253BC9" w:rsidRPr="00982C79" w:rsidTr="00181DA7">
        <w:trPr>
          <w:cnfStyle w:val="000000010000" w:firstRow="0" w:lastRow="0" w:firstColumn="0" w:lastColumn="0" w:oddVBand="0" w:evenVBand="0" w:oddHBand="0" w:evenHBand="1" w:firstRowFirstColumn="0" w:firstRowLastColumn="0" w:lastRowFirstColumn="0" w:lastRowLastColumn="0"/>
        </w:trPr>
        <w:tc>
          <w:tcPr>
            <w:tcW w:w="6374" w:type="dxa"/>
          </w:tcPr>
          <w:p w:rsidR="00253BC9" w:rsidRPr="00F47527" w:rsidRDefault="00253BC9" w:rsidP="00DE38B8">
            <w:pPr>
              <w:keepLines/>
              <w:spacing w:before="40" w:after="40" w:line="200" w:lineRule="atLeast"/>
              <w:rPr>
                <w:rFonts w:eastAsia="Times New Roman"/>
                <w:iCs/>
                <w:szCs w:val="17"/>
                <w:lang w:val="en-AU" w:eastAsia="en-US"/>
              </w:rPr>
            </w:pPr>
            <w:r w:rsidRPr="00F47527">
              <w:rPr>
                <w:rFonts w:eastAsia="Times New Roman"/>
                <w:iCs/>
                <w:szCs w:val="17"/>
                <w:lang w:val="en-AU" w:eastAsia="en-US"/>
              </w:rPr>
              <w:t xml:space="preserve">Advocate for a review of the </w:t>
            </w:r>
            <w:r w:rsidR="00F47527" w:rsidRPr="00F47527">
              <w:rPr>
                <w:rFonts w:eastAsia="Times New Roman"/>
                <w:iCs/>
                <w:szCs w:val="17"/>
                <w:lang w:val="en-AU" w:eastAsia="en-US"/>
              </w:rPr>
              <w:t>Joint Sector Review Mechanism (</w:t>
            </w:r>
            <w:r w:rsidRPr="00F47527">
              <w:rPr>
                <w:rFonts w:eastAsia="Times New Roman"/>
                <w:iCs/>
                <w:szCs w:val="17"/>
                <w:lang w:val="en-AU"/>
              </w:rPr>
              <w:t>JSRM</w:t>
            </w:r>
            <w:r w:rsidR="00F47527" w:rsidRPr="00F47527">
              <w:rPr>
                <w:rFonts w:eastAsia="Times New Roman"/>
                <w:iCs/>
                <w:szCs w:val="17"/>
                <w:lang w:val="en-AU"/>
              </w:rPr>
              <w:t>)</w:t>
            </w:r>
            <w:r w:rsidRPr="00F47527">
              <w:rPr>
                <w:rFonts w:eastAsia="Times New Roman"/>
                <w:iCs/>
                <w:szCs w:val="17"/>
                <w:lang w:val="en-AU"/>
              </w:rPr>
              <w:t xml:space="preserve"> process to take place in 2016.</w:t>
            </w:r>
          </w:p>
        </w:tc>
        <w:tc>
          <w:tcPr>
            <w:tcW w:w="953" w:type="dxa"/>
            <w:shd w:val="clear" w:color="auto" w:fill="33CC33"/>
          </w:tcPr>
          <w:p w:rsidR="00253BC9" w:rsidRPr="00982C79" w:rsidRDefault="00253BC9" w:rsidP="00DE38B8">
            <w:pPr>
              <w:keepLines/>
              <w:spacing w:before="40" w:after="40" w:line="200" w:lineRule="atLeast"/>
              <w:jc w:val="center"/>
              <w:rPr>
                <w:rFonts w:eastAsia="Times New Roman"/>
                <w:iCs/>
                <w:color w:val="FFFFFF" w:themeColor="background1"/>
                <w:szCs w:val="17"/>
                <w:lang w:val="en-AU" w:eastAsia="en-US"/>
              </w:rPr>
            </w:pPr>
            <w:r w:rsidRPr="00982C79">
              <w:rPr>
                <w:rFonts w:eastAsia="Times New Roman"/>
                <w:iCs/>
                <w:color w:val="FFFFFF" w:themeColor="background1"/>
                <w:szCs w:val="17"/>
                <w:lang w:val="en-AU" w:eastAsia="en-US"/>
              </w:rPr>
              <w:t>Achieved</w:t>
            </w:r>
          </w:p>
        </w:tc>
        <w:tc>
          <w:tcPr>
            <w:tcW w:w="6791" w:type="dxa"/>
          </w:tcPr>
          <w:p w:rsidR="00253BC9" w:rsidRPr="00982C79" w:rsidRDefault="00253BC9"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 xml:space="preserve">We have advocated for a review </w:t>
            </w:r>
            <w:r w:rsidRPr="00F47527">
              <w:rPr>
                <w:rFonts w:eastAsia="Times New Roman"/>
                <w:iCs/>
                <w:szCs w:val="17"/>
                <w:lang w:val="en-AU" w:eastAsia="en-US"/>
              </w:rPr>
              <w:t xml:space="preserve">of the </w:t>
            </w:r>
            <w:r w:rsidRPr="00F47527">
              <w:rPr>
                <w:rFonts w:eastAsia="Times New Roman"/>
                <w:iCs/>
                <w:szCs w:val="17"/>
                <w:lang w:val="en-AU"/>
              </w:rPr>
              <w:t>JSRM process</w:t>
            </w:r>
            <w:r w:rsidRPr="00982C79">
              <w:rPr>
                <w:rFonts w:eastAsia="Times New Roman"/>
                <w:iCs/>
                <w:szCs w:val="17"/>
                <w:lang w:val="en-AU" w:eastAsia="en-US"/>
              </w:rPr>
              <w:t xml:space="preserve"> and have secured agreement to see this undertaken in the 2nd half of 2016.</w:t>
            </w:r>
          </w:p>
        </w:tc>
      </w:tr>
      <w:tr w:rsidR="00253BC9" w:rsidRPr="00982C79" w:rsidTr="00CA1A46">
        <w:trPr>
          <w:cnfStyle w:val="000000010000" w:firstRow="0" w:lastRow="0" w:firstColumn="0" w:lastColumn="0" w:oddVBand="0" w:evenVBand="0" w:oddHBand="0" w:evenHBand="1" w:firstRowFirstColumn="0" w:firstRowLastColumn="0" w:lastRowFirstColumn="0" w:lastRowLastColumn="0"/>
        </w:trPr>
        <w:tc>
          <w:tcPr>
            <w:tcW w:w="6374" w:type="dxa"/>
          </w:tcPr>
          <w:p w:rsidR="00253BC9" w:rsidRPr="00982C79" w:rsidRDefault="00253BC9" w:rsidP="00DE38B8">
            <w:pPr>
              <w:keepLines/>
              <w:spacing w:before="40" w:after="40" w:line="200" w:lineRule="atLeast"/>
              <w:rPr>
                <w:rFonts w:eastAsia="Times New Roman"/>
                <w:b/>
                <w:iCs/>
                <w:szCs w:val="17"/>
                <w:lang w:val="en-AU" w:eastAsia="en-US"/>
              </w:rPr>
            </w:pPr>
            <w:r w:rsidRPr="00982C79">
              <w:rPr>
                <w:rFonts w:eastAsia="Times New Roman"/>
                <w:b/>
                <w:iCs/>
                <w:szCs w:val="17"/>
                <w:lang w:val="en-AU" w:eastAsia="en-US"/>
              </w:rPr>
              <w:t>Human Resource Development</w:t>
            </w:r>
          </w:p>
        </w:tc>
        <w:tc>
          <w:tcPr>
            <w:tcW w:w="953" w:type="dxa"/>
            <w:shd w:val="clear" w:color="auto" w:fill="FFFFFF" w:themeFill="background1"/>
          </w:tcPr>
          <w:p w:rsidR="00253BC9" w:rsidRPr="00982C79" w:rsidRDefault="00253BC9" w:rsidP="00DE38B8">
            <w:pPr>
              <w:keepLines/>
              <w:spacing w:before="40" w:after="40" w:line="200" w:lineRule="atLeast"/>
              <w:jc w:val="center"/>
              <w:rPr>
                <w:rFonts w:eastAsia="Times New Roman"/>
                <w:iCs/>
                <w:color w:val="FFFFFF" w:themeColor="background1"/>
                <w:szCs w:val="17"/>
                <w:lang w:val="en-AU" w:eastAsia="en-US"/>
              </w:rPr>
            </w:pPr>
          </w:p>
        </w:tc>
        <w:tc>
          <w:tcPr>
            <w:tcW w:w="6791" w:type="dxa"/>
          </w:tcPr>
          <w:p w:rsidR="00253BC9" w:rsidRPr="00982C79" w:rsidRDefault="00253BC9" w:rsidP="00DE38B8">
            <w:pPr>
              <w:keepLines/>
              <w:spacing w:before="40" w:after="40" w:line="200" w:lineRule="atLeast"/>
              <w:rPr>
                <w:rFonts w:eastAsia="Times New Roman"/>
                <w:iCs/>
                <w:szCs w:val="17"/>
                <w:lang w:val="en-AU" w:eastAsia="en-US"/>
              </w:rPr>
            </w:pPr>
          </w:p>
        </w:tc>
      </w:tr>
      <w:tr w:rsidR="00253BC9" w:rsidRPr="00982C79" w:rsidTr="00181DA7">
        <w:trPr>
          <w:cnfStyle w:val="000000010000" w:firstRow="0" w:lastRow="0" w:firstColumn="0" w:lastColumn="0" w:oddVBand="0" w:evenVBand="0" w:oddHBand="0" w:evenHBand="1" w:firstRowFirstColumn="0" w:firstRowLastColumn="0" w:lastRowFirstColumn="0" w:lastRowLastColumn="0"/>
        </w:trPr>
        <w:tc>
          <w:tcPr>
            <w:tcW w:w="6374" w:type="dxa"/>
          </w:tcPr>
          <w:p w:rsidR="00253BC9" w:rsidRPr="00982C79" w:rsidRDefault="00253BC9"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Explore how the new DFAT gender equality strategy can be applied most effectively.</w:t>
            </w:r>
          </w:p>
        </w:tc>
        <w:tc>
          <w:tcPr>
            <w:tcW w:w="953" w:type="dxa"/>
            <w:shd w:val="clear" w:color="auto" w:fill="33CC33"/>
          </w:tcPr>
          <w:p w:rsidR="00253BC9" w:rsidRPr="00982C79" w:rsidRDefault="00253BC9" w:rsidP="00DE38B8">
            <w:pPr>
              <w:keepLines/>
              <w:spacing w:before="40" w:after="40" w:line="200" w:lineRule="atLeast"/>
              <w:jc w:val="center"/>
              <w:rPr>
                <w:rFonts w:eastAsia="Times New Roman"/>
                <w:iCs/>
                <w:color w:val="FFFFFF" w:themeColor="background1"/>
                <w:szCs w:val="17"/>
                <w:lang w:val="en-AU" w:eastAsia="en-US"/>
              </w:rPr>
            </w:pPr>
            <w:r w:rsidRPr="00982C79">
              <w:rPr>
                <w:rFonts w:eastAsia="Times New Roman"/>
                <w:iCs/>
                <w:color w:val="FFFFFF" w:themeColor="background1"/>
                <w:szCs w:val="17"/>
                <w:lang w:val="en-AU" w:eastAsia="en-US"/>
              </w:rPr>
              <w:t>Achieved</w:t>
            </w:r>
          </w:p>
        </w:tc>
        <w:tc>
          <w:tcPr>
            <w:tcW w:w="6791" w:type="dxa"/>
          </w:tcPr>
          <w:p w:rsidR="00253BC9" w:rsidRPr="00982C79" w:rsidRDefault="00253BC9" w:rsidP="0012547C">
            <w:pPr>
              <w:keepLines/>
              <w:spacing w:before="40" w:after="40" w:line="200" w:lineRule="atLeast"/>
              <w:rPr>
                <w:rFonts w:eastAsia="Times New Roman"/>
                <w:iCs/>
                <w:szCs w:val="17"/>
                <w:lang w:val="en-AU" w:eastAsia="en-US"/>
              </w:rPr>
            </w:pPr>
            <w:r w:rsidRPr="00982C79">
              <w:rPr>
                <w:rFonts w:eastAsia="Times New Roman"/>
                <w:iCs/>
                <w:szCs w:val="17"/>
                <w:lang w:val="en-AU" w:eastAsia="en-US"/>
              </w:rPr>
              <w:t xml:space="preserve">DFAT’s scholarship targeting and selection process reforms have </w:t>
            </w:r>
            <w:r w:rsidR="00A84EDC">
              <w:rPr>
                <w:rFonts w:eastAsia="Times New Roman"/>
                <w:iCs/>
                <w:szCs w:val="17"/>
                <w:lang w:val="en-AU" w:eastAsia="en-US"/>
              </w:rPr>
              <w:t>helped promote gender equality</w:t>
            </w:r>
            <w:r w:rsidRPr="00982C79">
              <w:rPr>
                <w:rFonts w:eastAsia="Times New Roman"/>
                <w:iCs/>
                <w:szCs w:val="17"/>
                <w:lang w:val="en-AU" w:eastAsia="en-US"/>
              </w:rPr>
              <w:t xml:space="preserve">.  Our HRD investment, the LAI, is pursuing ‘women in leadership’ issues.  A </w:t>
            </w:r>
            <w:r w:rsidRPr="00982C79">
              <w:rPr>
                <w:rFonts w:eastAsia="Times New Roman"/>
                <w:i/>
                <w:iCs/>
                <w:szCs w:val="17"/>
                <w:lang w:val="en-AU" w:eastAsia="en-US"/>
              </w:rPr>
              <w:t>women’s leadership</w:t>
            </w:r>
            <w:r w:rsidRPr="00982C79">
              <w:rPr>
                <w:rFonts w:eastAsia="Times New Roman"/>
                <w:iCs/>
                <w:szCs w:val="17"/>
                <w:lang w:val="en-AU" w:eastAsia="en-US"/>
              </w:rPr>
              <w:t xml:space="preserve"> module has been included in the Australian scholarship pre-departure program</w:t>
            </w:r>
            <w:r w:rsidR="0087006B" w:rsidRPr="00982C79">
              <w:rPr>
                <w:rFonts w:eastAsia="Times New Roman"/>
                <w:iCs/>
                <w:szCs w:val="17"/>
                <w:lang w:val="en-AU" w:eastAsia="en-US"/>
              </w:rPr>
              <w:t>.</w:t>
            </w:r>
            <w:r w:rsidR="0087006B">
              <w:rPr>
                <w:rFonts w:eastAsia="Times New Roman"/>
                <w:iCs/>
                <w:szCs w:val="17"/>
                <w:lang w:val="en-AU" w:eastAsia="en-US"/>
              </w:rPr>
              <w:t xml:space="preserve">  </w:t>
            </w:r>
          </w:p>
        </w:tc>
      </w:tr>
      <w:tr w:rsidR="00253BC9" w:rsidRPr="00982C79" w:rsidTr="00CA1A46">
        <w:trPr>
          <w:cnfStyle w:val="000000010000" w:firstRow="0" w:lastRow="0" w:firstColumn="0" w:lastColumn="0" w:oddVBand="0" w:evenVBand="0" w:oddHBand="0" w:evenHBand="1" w:firstRowFirstColumn="0" w:firstRowLastColumn="0" w:lastRowFirstColumn="0" w:lastRowLastColumn="0"/>
        </w:trPr>
        <w:tc>
          <w:tcPr>
            <w:tcW w:w="6374" w:type="dxa"/>
          </w:tcPr>
          <w:p w:rsidR="00253BC9" w:rsidRPr="00982C79" w:rsidRDefault="00253BC9" w:rsidP="00DE38B8">
            <w:pPr>
              <w:keepLines/>
              <w:spacing w:before="40" w:after="40" w:line="200" w:lineRule="atLeast"/>
              <w:rPr>
                <w:rFonts w:eastAsia="Times New Roman"/>
                <w:b/>
                <w:iCs/>
                <w:szCs w:val="17"/>
                <w:lang w:val="en-AU" w:eastAsia="en-US"/>
              </w:rPr>
            </w:pPr>
            <w:r w:rsidRPr="00982C79">
              <w:rPr>
                <w:rFonts w:eastAsia="Times New Roman"/>
                <w:b/>
                <w:iCs/>
                <w:szCs w:val="17"/>
                <w:lang w:val="en-AU" w:eastAsia="en-US"/>
              </w:rPr>
              <w:t>Trade</w:t>
            </w:r>
          </w:p>
        </w:tc>
        <w:tc>
          <w:tcPr>
            <w:tcW w:w="953" w:type="dxa"/>
            <w:shd w:val="clear" w:color="auto" w:fill="FFFFFF" w:themeFill="background1"/>
          </w:tcPr>
          <w:p w:rsidR="00253BC9" w:rsidRPr="00982C79" w:rsidRDefault="00253BC9" w:rsidP="00DE38B8">
            <w:pPr>
              <w:keepLines/>
              <w:spacing w:before="40" w:after="40" w:line="200" w:lineRule="atLeast"/>
              <w:jc w:val="center"/>
              <w:rPr>
                <w:rFonts w:eastAsia="Times New Roman"/>
                <w:iCs/>
                <w:color w:val="FFFFFF" w:themeColor="background1"/>
                <w:szCs w:val="17"/>
                <w:lang w:val="en-AU" w:eastAsia="en-US"/>
              </w:rPr>
            </w:pPr>
          </w:p>
        </w:tc>
        <w:tc>
          <w:tcPr>
            <w:tcW w:w="6791" w:type="dxa"/>
          </w:tcPr>
          <w:p w:rsidR="00253BC9" w:rsidRPr="00982C79" w:rsidRDefault="00253BC9" w:rsidP="00DE38B8">
            <w:pPr>
              <w:keepLines/>
              <w:spacing w:before="40" w:after="40" w:line="200" w:lineRule="atLeast"/>
              <w:rPr>
                <w:rFonts w:eastAsia="Times New Roman"/>
                <w:iCs/>
                <w:szCs w:val="17"/>
                <w:lang w:val="en-AU" w:eastAsia="en-US"/>
              </w:rPr>
            </w:pPr>
          </w:p>
        </w:tc>
      </w:tr>
      <w:tr w:rsidR="00253BC9" w:rsidRPr="00982C79" w:rsidTr="00181DA7">
        <w:trPr>
          <w:cnfStyle w:val="000000010000" w:firstRow="0" w:lastRow="0" w:firstColumn="0" w:lastColumn="0" w:oddVBand="0" w:evenVBand="0" w:oddHBand="0" w:evenHBand="1" w:firstRowFirstColumn="0" w:firstRowLastColumn="0" w:lastRowFirstColumn="0" w:lastRowLastColumn="0"/>
        </w:trPr>
        <w:tc>
          <w:tcPr>
            <w:tcW w:w="6374" w:type="dxa"/>
          </w:tcPr>
          <w:p w:rsidR="00253BC9" w:rsidRPr="00982C79" w:rsidRDefault="00253BC9"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Negotiate an agreement for additional funding for TDF 2 as a result of its one year extension, focussed on strengthening the business enabling environment and supporting SMEs.</w:t>
            </w:r>
          </w:p>
        </w:tc>
        <w:tc>
          <w:tcPr>
            <w:tcW w:w="953" w:type="dxa"/>
            <w:shd w:val="clear" w:color="auto" w:fill="33CC33"/>
          </w:tcPr>
          <w:p w:rsidR="00253BC9" w:rsidRPr="00982C79" w:rsidRDefault="00253BC9" w:rsidP="00DE38B8">
            <w:pPr>
              <w:keepLines/>
              <w:spacing w:before="40" w:after="40" w:line="200" w:lineRule="atLeast"/>
              <w:jc w:val="center"/>
              <w:rPr>
                <w:rFonts w:eastAsia="Times New Roman"/>
                <w:iCs/>
                <w:color w:val="FFFFFF" w:themeColor="background1"/>
                <w:szCs w:val="17"/>
                <w:lang w:val="en-AU" w:eastAsia="en-US"/>
              </w:rPr>
            </w:pPr>
            <w:r w:rsidRPr="00982C79">
              <w:rPr>
                <w:rFonts w:eastAsia="Times New Roman"/>
                <w:iCs/>
                <w:color w:val="FFFFFF" w:themeColor="background1"/>
                <w:szCs w:val="17"/>
                <w:lang w:val="en-AU" w:eastAsia="en-US"/>
              </w:rPr>
              <w:t>Achieved</w:t>
            </w:r>
          </w:p>
        </w:tc>
        <w:tc>
          <w:tcPr>
            <w:tcW w:w="6791" w:type="dxa"/>
          </w:tcPr>
          <w:p w:rsidR="00253BC9" w:rsidRPr="00982C79" w:rsidRDefault="00253BC9" w:rsidP="00C97A75">
            <w:pPr>
              <w:keepLines/>
              <w:spacing w:before="40" w:after="40" w:line="200" w:lineRule="atLeast"/>
              <w:rPr>
                <w:rFonts w:eastAsia="Times New Roman"/>
                <w:iCs/>
                <w:szCs w:val="17"/>
                <w:lang w:val="en-AU" w:eastAsia="en-US"/>
              </w:rPr>
            </w:pPr>
            <w:r w:rsidRPr="00982C79">
              <w:rPr>
                <w:rFonts w:eastAsia="Times New Roman"/>
                <w:iCs/>
                <w:szCs w:val="17"/>
                <w:lang w:val="en-AU" w:eastAsia="en-US"/>
              </w:rPr>
              <w:t>Additional funds approved for TDF2 of $4.1 million</w:t>
            </w:r>
            <w:r w:rsidR="000334F4">
              <w:rPr>
                <w:rFonts w:eastAsia="Times New Roman"/>
                <w:iCs/>
                <w:szCs w:val="17"/>
                <w:lang w:val="en-AU" w:eastAsia="en-US"/>
              </w:rPr>
              <w:t>,</w:t>
            </w:r>
            <w:r w:rsidRPr="00982C79">
              <w:rPr>
                <w:rFonts w:eastAsia="Times New Roman"/>
                <w:iCs/>
                <w:szCs w:val="17"/>
                <w:lang w:val="en-AU" w:eastAsia="en-US"/>
              </w:rPr>
              <w:t xml:space="preserve"> which will see the program expanded and extended to 2019.  Extension phase will include an increased focus on the business enabling environment and supporting SMEs.</w:t>
            </w:r>
            <w:r w:rsidR="00C97A75">
              <w:rPr>
                <w:rFonts w:eastAsia="Times New Roman"/>
                <w:iCs/>
                <w:szCs w:val="17"/>
                <w:lang w:val="en-AU" w:eastAsia="en-US"/>
              </w:rPr>
              <w:t xml:space="preserve">  </w:t>
            </w:r>
          </w:p>
        </w:tc>
      </w:tr>
      <w:tr w:rsidR="00253BC9" w:rsidRPr="00982C79" w:rsidTr="00181DA7">
        <w:trPr>
          <w:cnfStyle w:val="000000010000" w:firstRow="0" w:lastRow="0" w:firstColumn="0" w:lastColumn="0" w:oddVBand="0" w:evenVBand="0" w:oddHBand="0" w:evenHBand="1" w:firstRowFirstColumn="0" w:firstRowLastColumn="0" w:lastRowFirstColumn="0" w:lastRowLastColumn="0"/>
        </w:trPr>
        <w:tc>
          <w:tcPr>
            <w:tcW w:w="6374" w:type="dxa"/>
          </w:tcPr>
          <w:p w:rsidR="00253BC9" w:rsidRPr="00982C79" w:rsidRDefault="00253BC9"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Integrate ODE’s recommendations from an upcoming aid for trade evaluation into the design of any successor program to TDF 2.</w:t>
            </w:r>
          </w:p>
        </w:tc>
        <w:tc>
          <w:tcPr>
            <w:tcW w:w="953" w:type="dxa"/>
            <w:shd w:val="clear" w:color="auto" w:fill="33CC33"/>
          </w:tcPr>
          <w:p w:rsidR="00253BC9" w:rsidRPr="00982C79" w:rsidRDefault="00253BC9" w:rsidP="00DE38B8">
            <w:pPr>
              <w:keepLines/>
              <w:spacing w:before="40" w:after="40" w:line="200" w:lineRule="atLeast"/>
              <w:jc w:val="center"/>
              <w:rPr>
                <w:rFonts w:eastAsia="Times New Roman"/>
                <w:iCs/>
                <w:color w:val="FFFFFF" w:themeColor="background1"/>
                <w:szCs w:val="17"/>
                <w:lang w:val="en-AU" w:eastAsia="en-US"/>
              </w:rPr>
            </w:pPr>
            <w:r w:rsidRPr="00982C79">
              <w:rPr>
                <w:rFonts w:eastAsia="Times New Roman"/>
                <w:iCs/>
                <w:color w:val="FFFFFF" w:themeColor="background1"/>
                <w:szCs w:val="17"/>
                <w:lang w:val="en-AU" w:eastAsia="en-US"/>
              </w:rPr>
              <w:t>Achieved</w:t>
            </w:r>
          </w:p>
        </w:tc>
        <w:tc>
          <w:tcPr>
            <w:tcW w:w="6791" w:type="dxa"/>
          </w:tcPr>
          <w:p w:rsidR="00253BC9" w:rsidRPr="00982C79" w:rsidRDefault="00253BC9"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The extension phase of TDF2 will reflect the outcomes of the ODE evaluation.</w:t>
            </w:r>
          </w:p>
        </w:tc>
      </w:tr>
      <w:tr w:rsidR="00253BC9" w:rsidRPr="00982C79" w:rsidTr="00181DA7">
        <w:trPr>
          <w:cnfStyle w:val="000000010000" w:firstRow="0" w:lastRow="0" w:firstColumn="0" w:lastColumn="0" w:oddVBand="0" w:evenVBand="0" w:oddHBand="0" w:evenHBand="1" w:firstRowFirstColumn="0" w:firstRowLastColumn="0" w:lastRowFirstColumn="0" w:lastRowLastColumn="0"/>
        </w:trPr>
        <w:tc>
          <w:tcPr>
            <w:tcW w:w="6374" w:type="dxa"/>
          </w:tcPr>
          <w:p w:rsidR="00253BC9" w:rsidRPr="00982C79" w:rsidRDefault="00253BC9"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Ensure women’s economic empowerment and gender equality are a stronger focus under TDF2</w:t>
            </w:r>
            <w:r w:rsidR="000334F4">
              <w:rPr>
                <w:rFonts w:eastAsia="Times New Roman"/>
                <w:iCs/>
                <w:szCs w:val="17"/>
                <w:lang w:val="en-AU" w:eastAsia="en-US"/>
              </w:rPr>
              <w:t>,</w:t>
            </w:r>
            <w:r w:rsidRPr="00982C79">
              <w:rPr>
                <w:rFonts w:eastAsia="Times New Roman"/>
                <w:iCs/>
                <w:szCs w:val="17"/>
                <w:lang w:val="en-AU" w:eastAsia="en-US"/>
              </w:rPr>
              <w:t xml:space="preserve"> and submit a proposal for additional assistance to the gender equality fund.</w:t>
            </w:r>
          </w:p>
        </w:tc>
        <w:tc>
          <w:tcPr>
            <w:tcW w:w="953" w:type="dxa"/>
            <w:shd w:val="clear" w:color="auto" w:fill="33CC33"/>
          </w:tcPr>
          <w:p w:rsidR="00253BC9" w:rsidRPr="00982C79" w:rsidRDefault="00253BC9" w:rsidP="00DE38B8">
            <w:pPr>
              <w:keepLines/>
              <w:spacing w:before="40" w:after="40" w:line="200" w:lineRule="atLeast"/>
              <w:jc w:val="center"/>
              <w:rPr>
                <w:rFonts w:eastAsia="Times New Roman"/>
                <w:iCs/>
                <w:color w:val="FFFFFF" w:themeColor="background1"/>
                <w:szCs w:val="17"/>
                <w:lang w:val="en-AU" w:eastAsia="en-US"/>
              </w:rPr>
            </w:pPr>
            <w:r w:rsidRPr="00982C79">
              <w:rPr>
                <w:rFonts w:eastAsia="Times New Roman"/>
                <w:iCs/>
                <w:color w:val="FFFFFF" w:themeColor="background1"/>
                <w:szCs w:val="17"/>
                <w:lang w:val="en-AU" w:eastAsia="en-US"/>
              </w:rPr>
              <w:t>Achieved</w:t>
            </w:r>
          </w:p>
        </w:tc>
        <w:tc>
          <w:tcPr>
            <w:tcW w:w="6791" w:type="dxa"/>
          </w:tcPr>
          <w:p w:rsidR="00253BC9" w:rsidRPr="00982C79" w:rsidRDefault="00253BC9" w:rsidP="00395D71">
            <w:pPr>
              <w:keepLines/>
              <w:spacing w:before="40" w:after="40" w:line="200" w:lineRule="atLeast"/>
              <w:rPr>
                <w:rFonts w:eastAsia="Times New Roman"/>
                <w:iCs/>
                <w:szCs w:val="17"/>
                <w:lang w:val="en-AU" w:eastAsia="en-US"/>
              </w:rPr>
            </w:pPr>
            <w:r w:rsidRPr="00982C79">
              <w:rPr>
                <w:rFonts w:eastAsia="Times New Roman"/>
                <w:iCs/>
                <w:szCs w:val="17"/>
                <w:lang w:val="en-AU" w:eastAsia="en-US"/>
              </w:rPr>
              <w:t>TDF2 extension will enhance focus on women’s economic empowerment and gender</w:t>
            </w:r>
            <w:r w:rsidR="00CA74C5" w:rsidRPr="00982C79">
              <w:rPr>
                <w:rFonts w:eastAsia="Times New Roman"/>
                <w:iCs/>
                <w:szCs w:val="17"/>
                <w:lang w:val="en-AU" w:eastAsia="en-US"/>
              </w:rPr>
              <w:t xml:space="preserve">.  </w:t>
            </w:r>
            <w:r w:rsidRPr="00982C79">
              <w:rPr>
                <w:rFonts w:eastAsia="Times New Roman"/>
                <w:iCs/>
                <w:szCs w:val="17"/>
                <w:lang w:val="en-AU" w:eastAsia="en-US"/>
              </w:rPr>
              <w:t>Additional gender funds obtained make up some of the additional resourcing obtained for TDF2.</w:t>
            </w:r>
          </w:p>
        </w:tc>
      </w:tr>
      <w:tr w:rsidR="00253BC9" w:rsidRPr="00982C79" w:rsidTr="00CA1A46">
        <w:trPr>
          <w:cnfStyle w:val="000000010000" w:firstRow="0" w:lastRow="0" w:firstColumn="0" w:lastColumn="0" w:oddVBand="0" w:evenVBand="0" w:oddHBand="0" w:evenHBand="1" w:firstRowFirstColumn="0" w:firstRowLastColumn="0" w:lastRowFirstColumn="0" w:lastRowLastColumn="0"/>
        </w:trPr>
        <w:tc>
          <w:tcPr>
            <w:tcW w:w="6374" w:type="dxa"/>
          </w:tcPr>
          <w:p w:rsidR="00253BC9" w:rsidRPr="00982C79" w:rsidRDefault="00253BC9" w:rsidP="00DE38B8">
            <w:pPr>
              <w:keepLines/>
              <w:spacing w:before="40" w:after="40" w:line="200" w:lineRule="atLeast"/>
              <w:rPr>
                <w:rFonts w:eastAsia="Times New Roman"/>
                <w:b/>
                <w:iCs/>
                <w:szCs w:val="17"/>
                <w:lang w:val="en-AU" w:eastAsia="en-US"/>
              </w:rPr>
            </w:pPr>
            <w:r w:rsidRPr="00982C79">
              <w:rPr>
                <w:rFonts w:eastAsia="Times New Roman"/>
                <w:b/>
                <w:iCs/>
                <w:szCs w:val="17"/>
                <w:lang w:val="en-AU" w:eastAsia="en-US"/>
              </w:rPr>
              <w:t>Rural development</w:t>
            </w:r>
          </w:p>
        </w:tc>
        <w:tc>
          <w:tcPr>
            <w:tcW w:w="953" w:type="dxa"/>
            <w:shd w:val="clear" w:color="auto" w:fill="FFFFFF" w:themeFill="background1"/>
          </w:tcPr>
          <w:p w:rsidR="00253BC9" w:rsidRPr="00982C79" w:rsidRDefault="00253BC9" w:rsidP="00DE38B8">
            <w:pPr>
              <w:keepLines/>
              <w:spacing w:before="40" w:after="40" w:line="200" w:lineRule="atLeast"/>
              <w:jc w:val="center"/>
              <w:rPr>
                <w:rFonts w:eastAsia="Times New Roman"/>
                <w:iCs/>
                <w:color w:val="FFFFFF" w:themeColor="background1"/>
                <w:szCs w:val="17"/>
                <w:lang w:val="en-AU" w:eastAsia="en-US"/>
              </w:rPr>
            </w:pPr>
          </w:p>
        </w:tc>
        <w:tc>
          <w:tcPr>
            <w:tcW w:w="6791" w:type="dxa"/>
          </w:tcPr>
          <w:p w:rsidR="00253BC9" w:rsidRPr="00982C79" w:rsidRDefault="00253BC9" w:rsidP="00DE38B8">
            <w:pPr>
              <w:keepLines/>
              <w:spacing w:before="40" w:after="40" w:line="200" w:lineRule="atLeast"/>
              <w:rPr>
                <w:rFonts w:eastAsia="Times New Roman"/>
                <w:iCs/>
                <w:szCs w:val="17"/>
                <w:lang w:val="en-AU" w:eastAsia="en-US"/>
              </w:rPr>
            </w:pPr>
          </w:p>
        </w:tc>
      </w:tr>
      <w:tr w:rsidR="00253BC9" w:rsidRPr="00982C79" w:rsidTr="00181DA7">
        <w:trPr>
          <w:cnfStyle w:val="000000010000" w:firstRow="0" w:lastRow="0" w:firstColumn="0" w:lastColumn="0" w:oddVBand="0" w:evenVBand="0" w:oddHBand="0" w:evenHBand="1" w:firstRowFirstColumn="0" w:firstRowLastColumn="0" w:lastRowFirstColumn="0" w:lastRowLastColumn="0"/>
        </w:trPr>
        <w:tc>
          <w:tcPr>
            <w:tcW w:w="6374" w:type="dxa"/>
          </w:tcPr>
          <w:p w:rsidR="00253BC9" w:rsidRPr="00982C79" w:rsidRDefault="00253BC9"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Support a World Bank-led impact evaluation of the PRF II and utilise the outcomes, along with the LARLP Independent Evaluation, to guide Australia’s withdrawal from the rural development sector.</w:t>
            </w:r>
          </w:p>
        </w:tc>
        <w:tc>
          <w:tcPr>
            <w:tcW w:w="953" w:type="dxa"/>
            <w:shd w:val="clear" w:color="auto" w:fill="33CC33"/>
          </w:tcPr>
          <w:p w:rsidR="00253BC9" w:rsidRPr="00982C79" w:rsidRDefault="00253BC9" w:rsidP="00DE38B8">
            <w:pPr>
              <w:keepLines/>
              <w:spacing w:before="40" w:after="40" w:line="200" w:lineRule="atLeast"/>
              <w:jc w:val="center"/>
              <w:rPr>
                <w:rFonts w:eastAsia="Times New Roman"/>
                <w:iCs/>
                <w:color w:val="FFFFFF" w:themeColor="background1"/>
                <w:szCs w:val="17"/>
                <w:lang w:val="en-AU" w:eastAsia="en-US"/>
              </w:rPr>
            </w:pPr>
            <w:r w:rsidRPr="00982C79">
              <w:rPr>
                <w:rFonts w:eastAsia="Times New Roman"/>
                <w:iCs/>
                <w:color w:val="FFFFFF" w:themeColor="background1"/>
                <w:szCs w:val="17"/>
                <w:lang w:val="en-AU" w:eastAsia="en-US"/>
              </w:rPr>
              <w:t>Achieved</w:t>
            </w:r>
          </w:p>
        </w:tc>
        <w:tc>
          <w:tcPr>
            <w:tcW w:w="6791" w:type="dxa"/>
          </w:tcPr>
          <w:p w:rsidR="00253BC9" w:rsidRPr="00982C79" w:rsidRDefault="00253BC9" w:rsidP="00395D71">
            <w:pPr>
              <w:keepLines/>
              <w:spacing w:before="40" w:after="40" w:line="200" w:lineRule="atLeast"/>
              <w:rPr>
                <w:rFonts w:eastAsia="Times New Roman"/>
                <w:iCs/>
                <w:szCs w:val="17"/>
                <w:lang w:val="en-AU" w:eastAsia="en-US"/>
              </w:rPr>
            </w:pPr>
            <w:r w:rsidRPr="00982C79">
              <w:rPr>
                <w:rFonts w:eastAsia="Times New Roman"/>
                <w:iCs/>
                <w:szCs w:val="17"/>
                <w:lang w:val="en-AU" w:eastAsia="en-US"/>
              </w:rPr>
              <w:t xml:space="preserve">The World Bank evaluation was supported by </w:t>
            </w:r>
            <w:r w:rsidR="00395D71">
              <w:rPr>
                <w:rFonts w:eastAsia="Times New Roman"/>
                <w:iCs/>
                <w:szCs w:val="17"/>
                <w:lang w:val="en-AU" w:eastAsia="en-US"/>
              </w:rPr>
              <w:t>DFAT</w:t>
            </w:r>
            <w:r w:rsidR="00395D71" w:rsidRPr="00982C79">
              <w:rPr>
                <w:rFonts w:eastAsia="Times New Roman"/>
                <w:iCs/>
                <w:szCs w:val="17"/>
                <w:lang w:val="en-AU" w:eastAsia="en-US"/>
              </w:rPr>
              <w:t xml:space="preserve"> </w:t>
            </w:r>
            <w:r w:rsidRPr="00982C79">
              <w:rPr>
                <w:rFonts w:eastAsia="Times New Roman"/>
                <w:iCs/>
                <w:szCs w:val="17"/>
                <w:lang w:val="en-AU" w:eastAsia="en-US"/>
              </w:rPr>
              <w:t xml:space="preserve">and the results </w:t>
            </w:r>
            <w:r w:rsidR="00395D71">
              <w:rPr>
                <w:rFonts w:eastAsia="Times New Roman"/>
                <w:iCs/>
                <w:szCs w:val="17"/>
                <w:lang w:val="en-AU" w:eastAsia="en-US"/>
              </w:rPr>
              <w:t xml:space="preserve">of the LARLP Independent Evaluation have been </w:t>
            </w:r>
            <w:r w:rsidRPr="00982C79">
              <w:rPr>
                <w:rFonts w:eastAsia="Times New Roman"/>
                <w:iCs/>
                <w:szCs w:val="17"/>
                <w:lang w:val="en-AU" w:eastAsia="en-US"/>
              </w:rPr>
              <w:t xml:space="preserve">used to guide DFAT's </w:t>
            </w:r>
            <w:r w:rsidR="00395D71">
              <w:rPr>
                <w:rFonts w:eastAsia="Times New Roman"/>
                <w:iCs/>
                <w:szCs w:val="17"/>
                <w:lang w:val="en-AU" w:eastAsia="en-US"/>
              </w:rPr>
              <w:t xml:space="preserve">exit strategy </w:t>
            </w:r>
            <w:r w:rsidRPr="00982C79">
              <w:rPr>
                <w:rFonts w:eastAsia="Times New Roman"/>
                <w:iCs/>
                <w:szCs w:val="17"/>
                <w:lang w:val="en-AU" w:eastAsia="en-US"/>
              </w:rPr>
              <w:t>from sector.</w:t>
            </w:r>
          </w:p>
        </w:tc>
      </w:tr>
      <w:tr w:rsidR="00253BC9" w:rsidRPr="00982C79" w:rsidTr="00181DA7">
        <w:trPr>
          <w:cnfStyle w:val="000000010000" w:firstRow="0" w:lastRow="0" w:firstColumn="0" w:lastColumn="0" w:oddVBand="0" w:evenVBand="0" w:oddHBand="0" w:evenHBand="1" w:firstRowFirstColumn="0" w:firstRowLastColumn="0" w:lastRowFirstColumn="0" w:lastRowLastColumn="0"/>
        </w:trPr>
        <w:tc>
          <w:tcPr>
            <w:tcW w:w="6374" w:type="dxa"/>
          </w:tcPr>
          <w:p w:rsidR="00253BC9" w:rsidRPr="00982C79" w:rsidRDefault="00253BC9"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Encourage relevant development partners such as the World Bank, UK Aid and Germany to continue social protection/livelihoods and financial inclusion investments once Australian support concludes in 2017.</w:t>
            </w:r>
          </w:p>
        </w:tc>
        <w:tc>
          <w:tcPr>
            <w:tcW w:w="953" w:type="dxa"/>
            <w:shd w:val="clear" w:color="auto" w:fill="33CC33"/>
          </w:tcPr>
          <w:p w:rsidR="00253BC9" w:rsidRPr="00982C79" w:rsidRDefault="00253BC9" w:rsidP="00DE38B8">
            <w:pPr>
              <w:keepLines/>
              <w:spacing w:before="40" w:after="40" w:line="200" w:lineRule="atLeast"/>
              <w:jc w:val="center"/>
              <w:rPr>
                <w:rFonts w:eastAsia="Times New Roman"/>
                <w:iCs/>
                <w:color w:val="FFFFFF" w:themeColor="background1"/>
                <w:szCs w:val="17"/>
                <w:lang w:val="en-AU" w:eastAsia="en-US"/>
              </w:rPr>
            </w:pPr>
            <w:r w:rsidRPr="00982C79">
              <w:rPr>
                <w:rFonts w:eastAsia="Times New Roman"/>
                <w:iCs/>
                <w:color w:val="FFFFFF" w:themeColor="background1"/>
                <w:szCs w:val="17"/>
                <w:lang w:val="en-AU" w:eastAsia="en-US"/>
              </w:rPr>
              <w:t>Achieved</w:t>
            </w:r>
          </w:p>
        </w:tc>
        <w:tc>
          <w:tcPr>
            <w:tcW w:w="6791" w:type="dxa"/>
          </w:tcPr>
          <w:p w:rsidR="00253BC9" w:rsidRPr="00982C79" w:rsidRDefault="00253BC9"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 xml:space="preserve">We encouraged engagement of relevant donors and a number of other donors will remain engaged.  We have shared our lessons learnt with other donors, including </w:t>
            </w:r>
            <w:r w:rsidR="00395D71">
              <w:rPr>
                <w:rFonts w:eastAsia="Times New Roman"/>
                <w:iCs/>
                <w:szCs w:val="17"/>
                <w:lang w:val="en-AU" w:eastAsia="en-US"/>
              </w:rPr>
              <w:t xml:space="preserve">the </w:t>
            </w:r>
            <w:r w:rsidRPr="00982C79">
              <w:rPr>
                <w:rFonts w:eastAsia="Times New Roman"/>
                <w:iCs/>
                <w:szCs w:val="17"/>
                <w:lang w:val="en-AU" w:eastAsia="en-US"/>
              </w:rPr>
              <w:t>World Bank poverty profile analytical work.</w:t>
            </w:r>
          </w:p>
        </w:tc>
      </w:tr>
    </w:tbl>
    <w:p w:rsidR="00AF1B85" w:rsidRPr="00982C79" w:rsidRDefault="00AF1B85" w:rsidP="00AF1B85">
      <w:pPr>
        <w:spacing w:before="20" w:after="20" w:line="180" w:lineRule="atLeast"/>
        <w:jc w:val="both"/>
        <w:rPr>
          <w:rFonts w:eastAsia="Times New Roman"/>
          <w:b/>
          <w:sz w:val="16"/>
          <w:szCs w:val="14"/>
          <w:lang w:val="en-AU"/>
        </w:rPr>
      </w:pPr>
      <w:r w:rsidRPr="00982C79">
        <w:rPr>
          <w:rFonts w:eastAsia="Times New Roman"/>
          <w:b/>
          <w:sz w:val="16"/>
          <w:szCs w:val="14"/>
          <w:lang w:val="en-AU"/>
        </w:rPr>
        <w:t xml:space="preserve">Note: </w:t>
      </w:r>
    </w:p>
    <w:p w:rsidR="00AF1B85" w:rsidRPr="00982C79" w:rsidRDefault="00AF1B85" w:rsidP="00AF1B85">
      <w:pPr>
        <w:spacing w:before="20" w:after="20" w:line="180" w:lineRule="atLeast"/>
        <w:jc w:val="both"/>
        <w:rPr>
          <w:rFonts w:eastAsia="Times New Roman"/>
          <w:b/>
          <w:sz w:val="16"/>
          <w:szCs w:val="14"/>
          <w:lang w:val="en-AU"/>
        </w:rPr>
      </w:pPr>
      <w:r w:rsidRPr="00982C79">
        <w:rPr>
          <w:rFonts w:eastAsia="Times New Roman"/>
          <w:b/>
          <w:color w:val="72AF2F"/>
          <w:sz w:val="16"/>
          <w:szCs w:val="14"/>
          <w:lang w:val="en-AU"/>
        </w:rPr>
        <w:sym w:font="Webdings" w:char="F067"/>
      </w:r>
      <w:r w:rsidRPr="00982C79">
        <w:rPr>
          <w:rFonts w:eastAsia="Times New Roman"/>
          <w:b/>
          <w:sz w:val="16"/>
          <w:szCs w:val="14"/>
          <w:lang w:val="en-AU"/>
        </w:rPr>
        <w:t> </w:t>
      </w:r>
      <w:r w:rsidRPr="00982C79">
        <w:rPr>
          <w:rFonts w:eastAsia="Times New Roman"/>
          <w:b/>
          <w:sz w:val="16"/>
          <w:szCs w:val="14"/>
          <w:lang w:val="en-AU"/>
        </w:rPr>
        <w:t xml:space="preserve"> Achieved.  Significant progress has been made in addressing the issue </w:t>
      </w:r>
    </w:p>
    <w:p w:rsidR="00AF1B85" w:rsidRPr="00982C79" w:rsidRDefault="00AF1B85" w:rsidP="00AF1B85">
      <w:pPr>
        <w:spacing w:before="20" w:after="20" w:line="180" w:lineRule="atLeast"/>
        <w:jc w:val="both"/>
        <w:rPr>
          <w:rFonts w:eastAsia="Times New Roman"/>
          <w:b/>
          <w:sz w:val="16"/>
          <w:szCs w:val="14"/>
          <w:lang w:val="en-AU"/>
        </w:rPr>
      </w:pPr>
      <w:r w:rsidRPr="00982C79">
        <w:rPr>
          <w:rFonts w:eastAsia="Times New Roman"/>
          <w:b/>
          <w:color w:val="E36C0A"/>
          <w:sz w:val="16"/>
          <w:szCs w:val="14"/>
          <w:lang w:val="en-AU"/>
        </w:rPr>
        <w:sym w:font="Webdings" w:char="F067"/>
      </w:r>
      <w:r w:rsidRPr="00982C79">
        <w:rPr>
          <w:rFonts w:eastAsia="Times New Roman"/>
          <w:b/>
          <w:sz w:val="16"/>
          <w:szCs w:val="14"/>
          <w:lang w:val="en-AU"/>
        </w:rPr>
        <w:t> </w:t>
      </w:r>
      <w:r w:rsidRPr="00982C79">
        <w:rPr>
          <w:rFonts w:eastAsia="Times New Roman"/>
          <w:b/>
          <w:sz w:val="16"/>
          <w:szCs w:val="14"/>
          <w:lang w:val="en-AU"/>
        </w:rPr>
        <w:t xml:space="preserve"> Partly achieved.  Some progress has been made in addressing the issue, but the issue has not been resolved </w:t>
      </w:r>
    </w:p>
    <w:p w:rsidR="00AF1B85" w:rsidRPr="00982C79" w:rsidRDefault="00AF1B85" w:rsidP="00AF1B85">
      <w:pPr>
        <w:spacing w:before="20" w:after="20" w:line="180" w:lineRule="atLeast"/>
        <w:jc w:val="both"/>
        <w:rPr>
          <w:rFonts w:eastAsia="Times New Roman"/>
          <w:b/>
          <w:sz w:val="16"/>
          <w:szCs w:val="14"/>
          <w:lang w:val="en-AU"/>
        </w:rPr>
      </w:pPr>
      <w:r w:rsidRPr="00982C79">
        <w:rPr>
          <w:rFonts w:eastAsia="Times New Roman"/>
          <w:b/>
          <w:color w:val="FF0000"/>
          <w:sz w:val="16"/>
          <w:szCs w:val="14"/>
          <w:lang w:val="en-AU"/>
        </w:rPr>
        <w:sym w:font="Webdings" w:char="F067"/>
      </w:r>
      <w:r w:rsidRPr="00982C79">
        <w:rPr>
          <w:rFonts w:eastAsia="Times New Roman"/>
          <w:b/>
          <w:sz w:val="16"/>
          <w:szCs w:val="14"/>
          <w:lang w:val="en-AU"/>
        </w:rPr>
        <w:t> </w:t>
      </w:r>
      <w:r w:rsidRPr="00982C79">
        <w:rPr>
          <w:rFonts w:eastAsia="Times New Roman"/>
          <w:b/>
          <w:sz w:val="16"/>
          <w:szCs w:val="14"/>
          <w:lang w:val="en-AU"/>
        </w:rPr>
        <w:t xml:space="preserve"> Not achieved</w:t>
      </w:r>
      <w:r w:rsidR="00CA74C5" w:rsidRPr="00982C79">
        <w:rPr>
          <w:rFonts w:eastAsia="Times New Roman"/>
          <w:b/>
          <w:sz w:val="16"/>
          <w:szCs w:val="14"/>
          <w:lang w:val="en-AU"/>
        </w:rPr>
        <w:t xml:space="preserve">.  </w:t>
      </w:r>
      <w:r w:rsidRPr="00982C79">
        <w:rPr>
          <w:rFonts w:eastAsia="Times New Roman"/>
          <w:b/>
          <w:sz w:val="16"/>
          <w:szCs w:val="14"/>
          <w:lang w:val="en-AU"/>
        </w:rPr>
        <w:t>Progress in addressing the issue has been significantly below expectations</w:t>
      </w:r>
    </w:p>
    <w:p w:rsidR="00D00802" w:rsidRPr="00982C79" w:rsidRDefault="00D00802" w:rsidP="005B5769">
      <w:pPr>
        <w:pStyle w:val="ListBullet"/>
        <w:tabs>
          <w:tab w:val="clear" w:pos="284"/>
        </w:tabs>
        <w:sectPr w:rsidR="00D00802" w:rsidRPr="00982C79" w:rsidSect="00D00802">
          <w:headerReference w:type="first" r:id="rId18"/>
          <w:pgSz w:w="16838" w:h="11906" w:orient="landscape" w:code="9"/>
          <w:pgMar w:top="1134" w:right="1952" w:bottom="1134" w:left="851" w:header="1107" w:footer="567" w:gutter="0"/>
          <w:cols w:space="397"/>
          <w:titlePg/>
          <w:docGrid w:linePitch="360"/>
        </w:sectPr>
      </w:pPr>
    </w:p>
    <w:p w:rsidR="00AF1B85" w:rsidRPr="00982C79" w:rsidRDefault="00AF1B85" w:rsidP="005E606B">
      <w:pPr>
        <w:pStyle w:val="Subtitle"/>
        <w:rPr>
          <w:lang w:val="en-AU"/>
        </w:rPr>
      </w:pPr>
      <w:r w:rsidRPr="00982C79">
        <w:rPr>
          <w:lang w:val="en-AU"/>
        </w:rPr>
        <w:lastRenderedPageBreak/>
        <w:t>Annex B - Evaluation Planning</w:t>
      </w:r>
    </w:p>
    <w:p w:rsidR="003B569F" w:rsidRPr="00982C79" w:rsidRDefault="003B569F" w:rsidP="003B569F">
      <w:pPr>
        <w:keepNext/>
        <w:numPr>
          <w:ilvl w:val="2"/>
          <w:numId w:val="0"/>
        </w:numPr>
        <w:spacing w:before="240" w:after="120"/>
        <w:outlineLvl w:val="2"/>
        <w:rPr>
          <w:rFonts w:ascii="Helvetica" w:eastAsia="Times New Roman" w:hAnsi="Helvetica" w:cs="Arial"/>
          <w:b/>
          <w:color w:val="124486"/>
          <w:kern w:val="28"/>
          <w:lang w:val="en-AU" w:eastAsia="zh-CN"/>
        </w:rPr>
      </w:pPr>
      <w:r w:rsidRPr="00982C79">
        <w:rPr>
          <w:rFonts w:ascii="Helvetica" w:eastAsia="Times New Roman" w:hAnsi="Helvetica" w:cs="Arial"/>
          <w:b/>
          <w:color w:val="124486"/>
          <w:kern w:val="28"/>
          <w:lang w:val="en-AU" w:eastAsia="zh-CN"/>
        </w:rPr>
        <w:t>List of evaluations completed in the reporting period (2015-16)</w:t>
      </w:r>
    </w:p>
    <w:tbl>
      <w:tblPr>
        <w:tblStyle w:val="APPR"/>
        <w:tblW w:w="14453" w:type="dxa"/>
        <w:tblLayout w:type="fixed"/>
        <w:tblLook w:val="04A0" w:firstRow="1" w:lastRow="0" w:firstColumn="1" w:lastColumn="0" w:noHBand="0" w:noVBand="1"/>
      </w:tblPr>
      <w:tblGrid>
        <w:gridCol w:w="3397"/>
        <w:gridCol w:w="4394"/>
        <w:gridCol w:w="1425"/>
        <w:gridCol w:w="1981"/>
        <w:gridCol w:w="1699"/>
        <w:gridCol w:w="1557"/>
      </w:tblGrid>
      <w:tr w:rsidR="003B569F" w:rsidRPr="00982C79" w:rsidTr="00DE38B8">
        <w:trPr>
          <w:cnfStyle w:val="100000000000" w:firstRow="1" w:lastRow="0" w:firstColumn="0" w:lastColumn="0" w:oddVBand="0" w:evenVBand="0" w:oddHBand="0" w:evenHBand="0" w:firstRowFirstColumn="0" w:firstRowLastColumn="0" w:lastRowFirstColumn="0" w:lastRowLastColumn="0"/>
        </w:trPr>
        <w:tc>
          <w:tcPr>
            <w:tcW w:w="3355" w:type="dxa"/>
          </w:tcPr>
          <w:p w:rsidR="003B569F" w:rsidRPr="00982C79" w:rsidRDefault="003B569F" w:rsidP="00DE38B8">
            <w:pPr>
              <w:keepLines/>
              <w:spacing w:line="200" w:lineRule="atLeast"/>
              <w:rPr>
                <w:rFonts w:eastAsia="Times New Roman"/>
                <w:iCs/>
                <w:szCs w:val="17"/>
                <w:lang w:val="en-AU" w:eastAsia="en-US"/>
              </w:rPr>
            </w:pPr>
            <w:r w:rsidRPr="00982C79">
              <w:rPr>
                <w:rFonts w:eastAsia="Times New Roman"/>
                <w:iCs/>
                <w:szCs w:val="17"/>
                <w:lang w:val="en-AU" w:eastAsia="en-US"/>
              </w:rPr>
              <w:t xml:space="preserve">Investment number and name </w:t>
            </w:r>
          </w:p>
          <w:p w:rsidR="003B569F" w:rsidRPr="00982C79" w:rsidRDefault="003B569F" w:rsidP="00DE38B8">
            <w:pPr>
              <w:keepLines/>
              <w:spacing w:line="200" w:lineRule="atLeast"/>
              <w:rPr>
                <w:rFonts w:eastAsia="Times New Roman"/>
                <w:b w:val="0"/>
                <w:iCs/>
                <w:szCs w:val="17"/>
                <w:lang w:val="en-AU" w:eastAsia="en-US"/>
              </w:rPr>
            </w:pPr>
            <w:r w:rsidRPr="00982C79">
              <w:rPr>
                <w:rFonts w:eastAsia="Times New Roman"/>
                <w:iCs/>
                <w:szCs w:val="17"/>
                <w:lang w:val="en-AU" w:eastAsia="en-US"/>
              </w:rPr>
              <w:t xml:space="preserve">(if applicable) </w:t>
            </w:r>
          </w:p>
        </w:tc>
        <w:tc>
          <w:tcPr>
            <w:tcW w:w="4366" w:type="dxa"/>
          </w:tcPr>
          <w:p w:rsidR="003B569F" w:rsidRPr="00982C79" w:rsidRDefault="003B569F" w:rsidP="00DE38B8">
            <w:pPr>
              <w:keepLines/>
              <w:spacing w:line="200" w:lineRule="atLeast"/>
              <w:rPr>
                <w:rFonts w:eastAsia="Times New Roman"/>
                <w:iCs/>
                <w:szCs w:val="17"/>
                <w:lang w:val="en-AU" w:eastAsia="en-US"/>
              </w:rPr>
            </w:pPr>
            <w:r w:rsidRPr="00982C79">
              <w:rPr>
                <w:rFonts w:eastAsia="Times New Roman"/>
                <w:iCs/>
                <w:szCs w:val="17"/>
                <w:lang w:val="en-AU" w:eastAsia="en-US"/>
              </w:rPr>
              <w:t>Name of evaluation</w:t>
            </w:r>
          </w:p>
        </w:tc>
        <w:tc>
          <w:tcPr>
            <w:tcW w:w="1397" w:type="dxa"/>
          </w:tcPr>
          <w:p w:rsidR="003B569F" w:rsidRPr="00982C79" w:rsidRDefault="003B569F" w:rsidP="00DE38B8">
            <w:pPr>
              <w:keepLines/>
              <w:spacing w:line="200" w:lineRule="atLeast"/>
              <w:rPr>
                <w:rFonts w:eastAsia="Times New Roman"/>
                <w:iCs/>
                <w:szCs w:val="17"/>
                <w:lang w:val="en-AU" w:eastAsia="en-US"/>
              </w:rPr>
            </w:pPr>
            <w:r w:rsidRPr="00982C79">
              <w:rPr>
                <w:rFonts w:eastAsia="Times New Roman"/>
                <w:iCs/>
                <w:szCs w:val="17"/>
                <w:lang w:val="en-AU" w:eastAsia="en-US"/>
              </w:rPr>
              <w:t>Date completed</w:t>
            </w:r>
          </w:p>
        </w:tc>
        <w:tc>
          <w:tcPr>
            <w:tcW w:w="1953" w:type="dxa"/>
          </w:tcPr>
          <w:p w:rsidR="003B569F" w:rsidRPr="00982C79" w:rsidRDefault="003B569F" w:rsidP="00DE38B8">
            <w:pPr>
              <w:keepLines/>
              <w:spacing w:line="200" w:lineRule="atLeast"/>
              <w:rPr>
                <w:rFonts w:eastAsia="Times New Roman"/>
                <w:iCs/>
                <w:szCs w:val="17"/>
                <w:lang w:val="en-AU" w:eastAsia="en-US"/>
              </w:rPr>
            </w:pPr>
            <w:r w:rsidRPr="00982C79">
              <w:rPr>
                <w:rFonts w:eastAsia="Times New Roman"/>
                <w:iCs/>
                <w:szCs w:val="17"/>
                <w:lang w:val="en-AU" w:eastAsia="en-US"/>
              </w:rPr>
              <w:t>Date Evaluation report Uploaded into AidWorks</w:t>
            </w:r>
          </w:p>
        </w:tc>
        <w:tc>
          <w:tcPr>
            <w:tcW w:w="1671" w:type="dxa"/>
          </w:tcPr>
          <w:p w:rsidR="003B569F" w:rsidRPr="00982C79" w:rsidRDefault="003B569F" w:rsidP="00DE38B8">
            <w:pPr>
              <w:keepLines/>
              <w:spacing w:line="200" w:lineRule="atLeast"/>
              <w:rPr>
                <w:rFonts w:eastAsia="Times New Roman"/>
                <w:iCs/>
                <w:szCs w:val="17"/>
                <w:lang w:val="en-AU" w:eastAsia="en-US"/>
              </w:rPr>
            </w:pPr>
            <w:r w:rsidRPr="00982C79">
              <w:rPr>
                <w:rFonts w:eastAsia="Times New Roman"/>
                <w:iCs/>
                <w:szCs w:val="17"/>
                <w:lang w:val="en-AU" w:eastAsia="en-US"/>
              </w:rPr>
              <w:t>Date Management response uploaded into AidWorks</w:t>
            </w:r>
          </w:p>
        </w:tc>
        <w:tc>
          <w:tcPr>
            <w:tcW w:w="1515" w:type="dxa"/>
          </w:tcPr>
          <w:p w:rsidR="003B569F" w:rsidRPr="00982C79" w:rsidRDefault="003B569F" w:rsidP="00DE38B8">
            <w:pPr>
              <w:keepLines/>
              <w:spacing w:line="200" w:lineRule="atLeast"/>
              <w:rPr>
                <w:rFonts w:eastAsia="Times New Roman"/>
                <w:iCs/>
                <w:szCs w:val="17"/>
                <w:lang w:val="en-AU" w:eastAsia="en-US"/>
              </w:rPr>
            </w:pPr>
            <w:r w:rsidRPr="00982C79">
              <w:rPr>
                <w:rFonts w:eastAsia="Times New Roman"/>
                <w:iCs/>
                <w:szCs w:val="17"/>
                <w:lang w:val="en-AU" w:eastAsia="en-US"/>
              </w:rPr>
              <w:t>Published on website</w:t>
            </w:r>
          </w:p>
        </w:tc>
      </w:tr>
      <w:tr w:rsidR="003B569F" w:rsidRPr="00982C79" w:rsidTr="00DE38B8">
        <w:trPr>
          <w:cnfStyle w:val="100000000000" w:firstRow="1" w:lastRow="0" w:firstColumn="0" w:lastColumn="0" w:oddVBand="0" w:evenVBand="0" w:oddHBand="0" w:evenHBand="0" w:firstRowFirstColumn="0" w:firstRowLastColumn="0" w:lastRowFirstColumn="0" w:lastRowLastColumn="0"/>
        </w:trPr>
        <w:tc>
          <w:tcPr>
            <w:tcW w:w="3355" w:type="dxa"/>
          </w:tcPr>
          <w:p w:rsidR="003B569F" w:rsidRPr="00982C79" w:rsidRDefault="003B569F" w:rsidP="00DE38B8">
            <w:pPr>
              <w:keepLines/>
              <w:spacing w:before="40" w:after="40" w:line="200" w:lineRule="atLeast"/>
              <w:rPr>
                <w:rFonts w:ascii="Franklin Gothic Book" w:eastAsia="Times New Roman" w:hAnsi="Franklin Gothic Book"/>
                <w:b w:val="0"/>
                <w:bCs/>
                <w:iCs/>
                <w:lang w:val="en-AU"/>
              </w:rPr>
            </w:pPr>
            <w:r w:rsidRPr="00982C79">
              <w:rPr>
                <w:rFonts w:ascii="Franklin Gothic Book" w:hAnsi="Franklin Gothic Book"/>
                <w:b w:val="0"/>
                <w:bCs/>
                <w:iCs/>
                <w:lang w:val="en-AU"/>
              </w:rPr>
              <w:t>INH726 - Trade Development Facility II</w:t>
            </w:r>
          </w:p>
        </w:tc>
        <w:tc>
          <w:tcPr>
            <w:tcW w:w="4366" w:type="dxa"/>
          </w:tcPr>
          <w:p w:rsidR="003B569F" w:rsidRPr="00982C79" w:rsidRDefault="003B569F" w:rsidP="00DE38B8">
            <w:pPr>
              <w:keepLines/>
              <w:spacing w:before="40" w:after="40" w:line="200" w:lineRule="atLeast"/>
              <w:rPr>
                <w:rFonts w:ascii="Franklin Gothic Book" w:eastAsia="Times New Roman" w:hAnsi="Franklin Gothic Book"/>
                <w:b w:val="0"/>
                <w:bCs/>
                <w:iCs/>
                <w:lang w:val="en-AU"/>
              </w:rPr>
            </w:pPr>
            <w:r w:rsidRPr="00982C79">
              <w:rPr>
                <w:rFonts w:ascii="Franklin Gothic Book" w:hAnsi="Franklin Gothic Book"/>
                <w:b w:val="0"/>
                <w:bCs/>
                <w:iCs/>
                <w:lang w:val="en-AU"/>
              </w:rPr>
              <w:t xml:space="preserve">Partner-led Mid Term Review  </w:t>
            </w:r>
          </w:p>
        </w:tc>
        <w:tc>
          <w:tcPr>
            <w:tcW w:w="1397" w:type="dxa"/>
          </w:tcPr>
          <w:p w:rsidR="003B569F" w:rsidRPr="00982C79" w:rsidRDefault="003B569F" w:rsidP="00DE38B8">
            <w:pPr>
              <w:keepLines/>
              <w:spacing w:before="40" w:after="40" w:line="200" w:lineRule="atLeast"/>
              <w:rPr>
                <w:rFonts w:ascii="Franklin Gothic Book" w:eastAsia="Times New Roman" w:hAnsi="Franklin Gothic Book"/>
                <w:b w:val="0"/>
                <w:bCs/>
                <w:iCs/>
                <w:lang w:val="en-AU"/>
              </w:rPr>
            </w:pPr>
            <w:r w:rsidRPr="00982C79">
              <w:rPr>
                <w:rFonts w:ascii="Franklin Gothic Book" w:hAnsi="Franklin Gothic Book"/>
                <w:b w:val="0"/>
                <w:bCs/>
                <w:iCs/>
                <w:lang w:val="en-AU"/>
              </w:rPr>
              <w:t>October  2015</w:t>
            </w:r>
          </w:p>
        </w:tc>
        <w:tc>
          <w:tcPr>
            <w:tcW w:w="1953" w:type="dxa"/>
          </w:tcPr>
          <w:p w:rsidR="003B569F" w:rsidRPr="00982C79" w:rsidRDefault="003B569F" w:rsidP="00DE38B8">
            <w:pPr>
              <w:keepLines/>
              <w:spacing w:before="40" w:after="40" w:line="200" w:lineRule="atLeast"/>
              <w:rPr>
                <w:rFonts w:ascii="Franklin Gothic Book" w:eastAsia="Times New Roman" w:hAnsi="Franklin Gothic Book"/>
                <w:b w:val="0"/>
                <w:bCs/>
                <w:iCs/>
                <w:lang w:val="en-AU"/>
              </w:rPr>
            </w:pPr>
            <w:r w:rsidRPr="00982C79">
              <w:rPr>
                <w:rFonts w:ascii="Franklin Gothic Book" w:hAnsi="Franklin Gothic Book"/>
                <w:b w:val="0"/>
                <w:bCs/>
                <w:iCs/>
                <w:lang w:val="en-AU"/>
              </w:rPr>
              <w:t>15 March 2016</w:t>
            </w:r>
          </w:p>
        </w:tc>
        <w:tc>
          <w:tcPr>
            <w:tcW w:w="1671" w:type="dxa"/>
          </w:tcPr>
          <w:p w:rsidR="003B569F" w:rsidRPr="00982C79" w:rsidRDefault="003B569F" w:rsidP="00DE38B8">
            <w:pPr>
              <w:keepLines/>
              <w:spacing w:before="40" w:after="40" w:line="200" w:lineRule="atLeast"/>
              <w:rPr>
                <w:rFonts w:ascii="Franklin Gothic Book" w:eastAsia="Times New Roman" w:hAnsi="Franklin Gothic Book"/>
                <w:b w:val="0"/>
                <w:bCs/>
                <w:iCs/>
                <w:lang w:val="en-AU"/>
              </w:rPr>
            </w:pPr>
            <w:r w:rsidRPr="00982C79">
              <w:rPr>
                <w:rFonts w:ascii="Franklin Gothic Book" w:eastAsia="Times New Roman" w:hAnsi="Franklin Gothic Book"/>
                <w:b w:val="0"/>
                <w:bCs/>
                <w:iCs/>
                <w:lang w:val="en-AU"/>
              </w:rPr>
              <w:t>None planned</w:t>
            </w:r>
          </w:p>
        </w:tc>
        <w:tc>
          <w:tcPr>
            <w:tcW w:w="1515" w:type="dxa"/>
          </w:tcPr>
          <w:p w:rsidR="003B569F" w:rsidRPr="00982C79" w:rsidRDefault="003B569F" w:rsidP="00DE38B8">
            <w:pPr>
              <w:keepLines/>
              <w:spacing w:before="40" w:after="40" w:line="200" w:lineRule="atLeast"/>
              <w:rPr>
                <w:rFonts w:ascii="Franklin Gothic Book" w:eastAsia="Times New Roman" w:hAnsi="Franklin Gothic Book"/>
                <w:b w:val="0"/>
                <w:iCs/>
                <w:szCs w:val="17"/>
                <w:lang w:val="en-AU" w:eastAsia="en-US"/>
              </w:rPr>
            </w:pPr>
            <w:r w:rsidRPr="00982C79">
              <w:rPr>
                <w:rFonts w:ascii="Franklin Gothic Book" w:eastAsia="Times New Roman" w:hAnsi="Franklin Gothic Book"/>
                <w:b w:val="0"/>
                <w:iCs/>
                <w:szCs w:val="17"/>
                <w:lang w:val="en-AU" w:eastAsia="en-US"/>
              </w:rPr>
              <w:t>Published on World Bank website</w:t>
            </w:r>
          </w:p>
        </w:tc>
      </w:tr>
      <w:tr w:rsidR="003B569F" w:rsidRPr="00982C79" w:rsidTr="00DE38B8">
        <w:trPr>
          <w:cnfStyle w:val="100000000000" w:firstRow="1" w:lastRow="0" w:firstColumn="0" w:lastColumn="0" w:oddVBand="0" w:evenVBand="0" w:oddHBand="0" w:evenHBand="0" w:firstRowFirstColumn="0" w:firstRowLastColumn="0" w:lastRowFirstColumn="0" w:lastRowLastColumn="0"/>
        </w:trPr>
        <w:tc>
          <w:tcPr>
            <w:tcW w:w="3355" w:type="dxa"/>
          </w:tcPr>
          <w:p w:rsidR="003B569F" w:rsidRPr="00982C79" w:rsidRDefault="003B569F" w:rsidP="00DE38B8">
            <w:pPr>
              <w:keepLines/>
              <w:spacing w:before="40" w:after="40" w:line="200" w:lineRule="atLeast"/>
              <w:rPr>
                <w:rFonts w:ascii="Franklin Gothic Book" w:eastAsia="Times New Roman" w:hAnsi="Franklin Gothic Book"/>
                <w:iCs/>
                <w:szCs w:val="17"/>
                <w:lang w:val="en-AU" w:eastAsia="en-US"/>
              </w:rPr>
            </w:pPr>
            <w:r w:rsidRPr="00982C79">
              <w:rPr>
                <w:rFonts w:ascii="Franklin Gothic Book" w:hAnsi="Franklin Gothic Book"/>
                <w:b w:val="0"/>
                <w:bCs/>
                <w:iCs/>
                <w:lang w:val="en-AU"/>
              </w:rPr>
              <w:t>INK562 - Lao-Australian Professional Development Institute</w:t>
            </w:r>
          </w:p>
        </w:tc>
        <w:tc>
          <w:tcPr>
            <w:tcW w:w="4366" w:type="dxa"/>
          </w:tcPr>
          <w:p w:rsidR="003B569F" w:rsidRPr="00982C79" w:rsidRDefault="003B569F" w:rsidP="00DE38B8">
            <w:pPr>
              <w:keepLines/>
              <w:spacing w:before="40" w:after="40" w:line="200" w:lineRule="atLeast"/>
              <w:rPr>
                <w:rFonts w:ascii="Franklin Gothic Book" w:eastAsia="Times New Roman" w:hAnsi="Franklin Gothic Book"/>
                <w:b w:val="0"/>
                <w:bCs/>
                <w:iCs/>
                <w:lang w:val="en-AU"/>
              </w:rPr>
            </w:pPr>
            <w:r w:rsidRPr="00982C79">
              <w:rPr>
                <w:rFonts w:ascii="Franklin Gothic Book" w:eastAsia="Times New Roman" w:hAnsi="Franklin Gothic Book"/>
                <w:b w:val="0"/>
                <w:bCs/>
                <w:iCs/>
                <w:lang w:val="en-AU"/>
              </w:rPr>
              <w:t>Independent mid-term review</w:t>
            </w:r>
          </w:p>
          <w:p w:rsidR="003B569F" w:rsidRPr="00982C79" w:rsidRDefault="003B569F" w:rsidP="00DE38B8">
            <w:pPr>
              <w:keepLines/>
              <w:spacing w:before="40" w:after="40" w:line="200" w:lineRule="atLeast"/>
              <w:rPr>
                <w:rFonts w:ascii="Franklin Gothic Book" w:eastAsia="Times New Roman" w:hAnsi="Franklin Gothic Book"/>
                <w:b w:val="0"/>
                <w:bCs/>
                <w:iCs/>
                <w:lang w:val="en-AU"/>
              </w:rPr>
            </w:pPr>
          </w:p>
        </w:tc>
        <w:tc>
          <w:tcPr>
            <w:tcW w:w="1397" w:type="dxa"/>
          </w:tcPr>
          <w:p w:rsidR="003B569F" w:rsidRPr="00982C79" w:rsidRDefault="003B569F" w:rsidP="00DE38B8">
            <w:pPr>
              <w:keepLines/>
              <w:spacing w:before="40" w:after="40" w:line="200" w:lineRule="atLeast"/>
              <w:rPr>
                <w:rFonts w:ascii="Franklin Gothic Book" w:eastAsia="Times New Roman" w:hAnsi="Franklin Gothic Book"/>
                <w:iCs/>
                <w:szCs w:val="17"/>
                <w:lang w:val="en-AU" w:eastAsia="en-US"/>
              </w:rPr>
            </w:pPr>
            <w:r w:rsidRPr="00982C79">
              <w:rPr>
                <w:rFonts w:ascii="Franklin Gothic Book" w:hAnsi="Franklin Gothic Book"/>
                <w:b w:val="0"/>
                <w:bCs/>
                <w:iCs/>
                <w:lang w:val="en-AU"/>
              </w:rPr>
              <w:t>June 2016</w:t>
            </w:r>
          </w:p>
        </w:tc>
        <w:tc>
          <w:tcPr>
            <w:tcW w:w="1953" w:type="dxa"/>
          </w:tcPr>
          <w:p w:rsidR="003B569F" w:rsidRPr="00982C79" w:rsidRDefault="003B569F" w:rsidP="00DE38B8">
            <w:pPr>
              <w:keepLines/>
              <w:spacing w:before="40" w:after="40" w:line="200" w:lineRule="atLeast"/>
              <w:rPr>
                <w:rFonts w:ascii="Franklin Gothic Book" w:eastAsia="Times New Roman" w:hAnsi="Franklin Gothic Book"/>
                <w:b w:val="0"/>
                <w:iCs/>
                <w:szCs w:val="17"/>
                <w:lang w:val="en-AU" w:eastAsia="en-US"/>
              </w:rPr>
            </w:pPr>
            <w:r w:rsidRPr="00982C79">
              <w:rPr>
                <w:rFonts w:ascii="Franklin Gothic Book" w:eastAsia="Times New Roman" w:hAnsi="Franklin Gothic Book"/>
                <w:b w:val="0"/>
                <w:iCs/>
                <w:szCs w:val="17"/>
                <w:lang w:val="en-AU" w:eastAsia="en-US"/>
              </w:rPr>
              <w:t>planned</w:t>
            </w:r>
          </w:p>
        </w:tc>
        <w:tc>
          <w:tcPr>
            <w:tcW w:w="1671" w:type="dxa"/>
          </w:tcPr>
          <w:p w:rsidR="003B569F" w:rsidRPr="00982C79" w:rsidRDefault="003724BE" w:rsidP="00DE38B8">
            <w:pPr>
              <w:keepLines/>
              <w:spacing w:before="40" w:after="40" w:line="200" w:lineRule="atLeast"/>
              <w:rPr>
                <w:rFonts w:ascii="Franklin Gothic Book" w:eastAsia="Times New Roman" w:hAnsi="Franklin Gothic Book"/>
                <w:b w:val="0"/>
                <w:iCs/>
                <w:szCs w:val="17"/>
                <w:lang w:val="en-AU" w:eastAsia="en-US"/>
              </w:rPr>
            </w:pPr>
            <w:r w:rsidRPr="00982C79">
              <w:rPr>
                <w:rFonts w:ascii="Franklin Gothic Book" w:eastAsia="Times New Roman" w:hAnsi="Franklin Gothic Book"/>
                <w:b w:val="0"/>
                <w:iCs/>
                <w:szCs w:val="17"/>
                <w:lang w:val="en-AU" w:eastAsia="en-US"/>
              </w:rPr>
              <w:t>Planned</w:t>
            </w:r>
          </w:p>
        </w:tc>
        <w:tc>
          <w:tcPr>
            <w:tcW w:w="1515" w:type="dxa"/>
          </w:tcPr>
          <w:p w:rsidR="003B569F" w:rsidRPr="00982C79" w:rsidRDefault="00B22262" w:rsidP="00DE38B8">
            <w:pPr>
              <w:keepLines/>
              <w:spacing w:before="40" w:after="40" w:line="200" w:lineRule="atLeast"/>
              <w:rPr>
                <w:rFonts w:ascii="Franklin Gothic Book" w:eastAsia="Times New Roman" w:hAnsi="Franklin Gothic Book"/>
                <w:b w:val="0"/>
                <w:iCs/>
                <w:szCs w:val="17"/>
                <w:lang w:val="en-AU" w:eastAsia="en-US"/>
              </w:rPr>
            </w:pPr>
            <w:r w:rsidRPr="00982C79">
              <w:rPr>
                <w:rFonts w:ascii="Franklin Gothic Book" w:eastAsia="Times New Roman" w:hAnsi="Franklin Gothic Book"/>
                <w:b w:val="0"/>
                <w:iCs/>
                <w:szCs w:val="17"/>
                <w:lang w:val="en-AU" w:eastAsia="en-US"/>
              </w:rPr>
              <w:t>P</w:t>
            </w:r>
            <w:r w:rsidR="003B569F" w:rsidRPr="00982C79">
              <w:rPr>
                <w:rFonts w:ascii="Franklin Gothic Book" w:eastAsia="Times New Roman" w:hAnsi="Franklin Gothic Book"/>
                <w:b w:val="0"/>
                <w:iCs/>
                <w:szCs w:val="17"/>
                <w:lang w:val="en-AU" w:eastAsia="en-US"/>
              </w:rPr>
              <w:t>lanned</w:t>
            </w:r>
          </w:p>
        </w:tc>
      </w:tr>
      <w:tr w:rsidR="003B569F" w:rsidRPr="00982C79" w:rsidTr="00DE38B8">
        <w:trPr>
          <w:cnfStyle w:val="100000000000" w:firstRow="1" w:lastRow="0" w:firstColumn="0" w:lastColumn="0" w:oddVBand="0" w:evenVBand="0" w:oddHBand="0" w:evenHBand="0" w:firstRowFirstColumn="0" w:firstRowLastColumn="0" w:lastRowFirstColumn="0" w:lastRowLastColumn="0"/>
        </w:trPr>
        <w:tc>
          <w:tcPr>
            <w:tcW w:w="3355" w:type="dxa"/>
          </w:tcPr>
          <w:p w:rsidR="003B569F" w:rsidRPr="00982C79" w:rsidRDefault="003B569F" w:rsidP="00DE38B8">
            <w:pPr>
              <w:keepLines/>
              <w:spacing w:before="40" w:after="40" w:line="200" w:lineRule="atLeast"/>
              <w:rPr>
                <w:rFonts w:ascii="Franklin Gothic Book" w:eastAsia="Times New Roman" w:hAnsi="Franklin Gothic Book"/>
                <w:b w:val="0"/>
                <w:iCs/>
                <w:szCs w:val="17"/>
                <w:lang w:val="en-AU" w:eastAsia="en-US"/>
              </w:rPr>
            </w:pPr>
            <w:r w:rsidRPr="00982C79">
              <w:rPr>
                <w:rFonts w:ascii="Franklin Gothic Book" w:hAnsi="Franklin Gothic Book"/>
                <w:b w:val="0"/>
                <w:bCs/>
                <w:iCs/>
                <w:lang w:val="en-AU"/>
              </w:rPr>
              <w:t xml:space="preserve">Covered INH726 - Trade Development Facility II in Laos </w:t>
            </w:r>
          </w:p>
        </w:tc>
        <w:tc>
          <w:tcPr>
            <w:tcW w:w="4366" w:type="dxa"/>
          </w:tcPr>
          <w:p w:rsidR="003B569F" w:rsidRPr="00982C79" w:rsidRDefault="003B569F" w:rsidP="00DE38B8">
            <w:pPr>
              <w:keepLines/>
              <w:spacing w:before="40" w:after="40" w:line="200" w:lineRule="atLeast"/>
              <w:rPr>
                <w:rFonts w:ascii="Franklin Gothic Book" w:eastAsia="Times New Roman" w:hAnsi="Franklin Gothic Book"/>
                <w:b w:val="0"/>
                <w:iCs/>
                <w:szCs w:val="17"/>
                <w:lang w:val="en-AU" w:eastAsia="en-US"/>
              </w:rPr>
            </w:pPr>
            <w:r w:rsidRPr="00982C79">
              <w:rPr>
                <w:rFonts w:ascii="Franklin Gothic Book" w:eastAsia="Times New Roman" w:hAnsi="Franklin Gothic Book"/>
                <w:b w:val="0"/>
                <w:iCs/>
                <w:szCs w:val="17"/>
                <w:lang w:val="en-AU" w:eastAsia="en-US"/>
              </w:rPr>
              <w:t>ODE Trade Facilitation Program Evaluation (multi-country)</w:t>
            </w:r>
          </w:p>
        </w:tc>
        <w:tc>
          <w:tcPr>
            <w:tcW w:w="1397" w:type="dxa"/>
          </w:tcPr>
          <w:p w:rsidR="003B569F" w:rsidRPr="00982C79" w:rsidRDefault="003B569F" w:rsidP="00DE38B8">
            <w:pPr>
              <w:keepLines/>
              <w:spacing w:before="40" w:after="40" w:line="200" w:lineRule="atLeast"/>
              <w:rPr>
                <w:rFonts w:ascii="Franklin Gothic Book" w:eastAsia="Times New Roman" w:hAnsi="Franklin Gothic Book"/>
                <w:b w:val="0"/>
                <w:iCs/>
                <w:szCs w:val="17"/>
                <w:lang w:val="en-AU" w:eastAsia="en-US"/>
              </w:rPr>
            </w:pPr>
            <w:r w:rsidRPr="00982C79">
              <w:rPr>
                <w:rFonts w:ascii="Franklin Gothic Book" w:eastAsia="Times New Roman" w:hAnsi="Franklin Gothic Book"/>
                <w:b w:val="0"/>
                <w:iCs/>
                <w:szCs w:val="17"/>
                <w:lang w:val="en-AU" w:eastAsia="en-US"/>
              </w:rPr>
              <w:t>April 2016</w:t>
            </w:r>
          </w:p>
        </w:tc>
        <w:tc>
          <w:tcPr>
            <w:tcW w:w="1953" w:type="dxa"/>
          </w:tcPr>
          <w:p w:rsidR="003B569F" w:rsidRPr="00982C79" w:rsidRDefault="003B569F" w:rsidP="00DE38B8">
            <w:pPr>
              <w:keepLines/>
              <w:spacing w:before="40" w:after="40" w:line="200" w:lineRule="atLeast"/>
              <w:rPr>
                <w:rFonts w:ascii="Franklin Gothic Book" w:eastAsia="Times New Roman" w:hAnsi="Franklin Gothic Book"/>
                <w:b w:val="0"/>
                <w:iCs/>
                <w:szCs w:val="17"/>
                <w:lang w:val="en-AU" w:eastAsia="en-US"/>
              </w:rPr>
            </w:pPr>
            <w:r w:rsidRPr="00982C79">
              <w:rPr>
                <w:rFonts w:ascii="Franklin Gothic Book" w:eastAsia="Times New Roman" w:hAnsi="Franklin Gothic Book"/>
                <w:b w:val="0"/>
                <w:iCs/>
                <w:szCs w:val="17"/>
                <w:lang w:val="en-AU" w:eastAsia="en-US"/>
              </w:rPr>
              <w:t>Not applicable</w:t>
            </w:r>
          </w:p>
        </w:tc>
        <w:tc>
          <w:tcPr>
            <w:tcW w:w="1671" w:type="dxa"/>
          </w:tcPr>
          <w:p w:rsidR="003B569F" w:rsidRPr="00982C79" w:rsidRDefault="003B569F" w:rsidP="00DE38B8">
            <w:pPr>
              <w:keepLines/>
              <w:spacing w:before="40" w:after="40" w:line="200" w:lineRule="atLeast"/>
              <w:rPr>
                <w:rFonts w:ascii="Franklin Gothic Book" w:eastAsia="Times New Roman" w:hAnsi="Franklin Gothic Book"/>
                <w:b w:val="0"/>
                <w:iCs/>
                <w:szCs w:val="17"/>
                <w:lang w:val="en-AU" w:eastAsia="en-US"/>
              </w:rPr>
            </w:pPr>
            <w:r w:rsidRPr="00982C79">
              <w:rPr>
                <w:rFonts w:ascii="Franklin Gothic Book" w:eastAsia="Times New Roman" w:hAnsi="Franklin Gothic Book"/>
                <w:b w:val="0"/>
                <w:iCs/>
                <w:szCs w:val="17"/>
                <w:lang w:val="en-AU" w:eastAsia="en-US"/>
              </w:rPr>
              <w:t>Not applicable</w:t>
            </w:r>
          </w:p>
        </w:tc>
        <w:tc>
          <w:tcPr>
            <w:tcW w:w="1515" w:type="dxa"/>
          </w:tcPr>
          <w:p w:rsidR="003B569F" w:rsidRPr="00982C79" w:rsidRDefault="003B569F" w:rsidP="00DE38B8">
            <w:pPr>
              <w:keepLines/>
              <w:spacing w:before="40" w:after="40" w:line="200" w:lineRule="atLeast"/>
              <w:rPr>
                <w:rFonts w:ascii="Franklin Gothic Book" w:eastAsia="Times New Roman" w:hAnsi="Franklin Gothic Book"/>
                <w:b w:val="0"/>
                <w:iCs/>
                <w:szCs w:val="17"/>
                <w:lang w:val="en-AU" w:eastAsia="en-US"/>
              </w:rPr>
            </w:pPr>
            <w:r w:rsidRPr="00982C79">
              <w:rPr>
                <w:rFonts w:ascii="Franklin Gothic Book" w:eastAsia="Times New Roman" w:hAnsi="Franklin Gothic Book"/>
                <w:b w:val="0"/>
                <w:iCs/>
                <w:szCs w:val="17"/>
                <w:lang w:val="en-AU" w:eastAsia="en-US"/>
              </w:rPr>
              <w:t>10 May 2016</w:t>
            </w:r>
          </w:p>
        </w:tc>
      </w:tr>
    </w:tbl>
    <w:p w:rsidR="003B569F" w:rsidRPr="00982C79" w:rsidRDefault="003B569F" w:rsidP="003B569F">
      <w:pPr>
        <w:rPr>
          <w:lang w:val="en-AU" w:eastAsia="zh-CN"/>
        </w:rPr>
      </w:pPr>
    </w:p>
    <w:p w:rsidR="003B569F" w:rsidRPr="00982C79" w:rsidRDefault="003B569F" w:rsidP="003B569F">
      <w:pPr>
        <w:keepNext/>
        <w:numPr>
          <w:ilvl w:val="2"/>
          <w:numId w:val="0"/>
        </w:numPr>
        <w:spacing w:before="240" w:after="120"/>
        <w:outlineLvl w:val="2"/>
        <w:rPr>
          <w:rFonts w:ascii="Helvetica" w:eastAsia="Times New Roman" w:hAnsi="Helvetica" w:cs="Arial"/>
          <w:b/>
          <w:color w:val="124486"/>
          <w:kern w:val="28"/>
          <w:lang w:val="en-AU" w:eastAsia="zh-CN"/>
        </w:rPr>
      </w:pPr>
      <w:r w:rsidRPr="00982C79">
        <w:rPr>
          <w:rFonts w:ascii="Helvetica" w:eastAsia="Times New Roman" w:hAnsi="Helvetica" w:cs="Arial"/>
          <w:b/>
          <w:color w:val="124486"/>
          <w:kern w:val="28"/>
          <w:lang w:val="en-AU" w:eastAsia="zh-CN"/>
        </w:rPr>
        <w:t>List of program prioritised evaluations planned for the next 12 months (2016-17)</w:t>
      </w:r>
    </w:p>
    <w:tbl>
      <w:tblPr>
        <w:tblStyle w:val="APPR"/>
        <w:tblW w:w="0" w:type="auto"/>
        <w:tblInd w:w="-148" w:type="dxa"/>
        <w:tblLook w:val="0600" w:firstRow="0" w:lastRow="0" w:firstColumn="0" w:lastColumn="0" w:noHBand="1" w:noVBand="1"/>
      </w:tblPr>
      <w:tblGrid>
        <w:gridCol w:w="2619"/>
        <w:gridCol w:w="2370"/>
        <w:gridCol w:w="2457"/>
        <w:gridCol w:w="2225"/>
        <w:gridCol w:w="2341"/>
        <w:gridCol w:w="2366"/>
      </w:tblGrid>
      <w:tr w:rsidR="003B569F" w:rsidRPr="00982C79" w:rsidTr="00DE38B8">
        <w:tc>
          <w:tcPr>
            <w:tcW w:w="2577" w:type="dxa"/>
          </w:tcPr>
          <w:p w:rsidR="003B569F" w:rsidRPr="00982C79" w:rsidRDefault="003B569F" w:rsidP="00DE38B8">
            <w:pPr>
              <w:keepLines/>
              <w:spacing w:before="80" w:after="80" w:line="200" w:lineRule="atLeast"/>
              <w:rPr>
                <w:rFonts w:ascii="Franklin Gothic Medium" w:eastAsia="Times New Roman" w:hAnsi="Franklin Gothic Medium"/>
                <w:b/>
                <w:iCs/>
                <w:szCs w:val="17"/>
                <w:lang w:val="en-AU" w:eastAsia="en-US"/>
              </w:rPr>
            </w:pPr>
            <w:r w:rsidRPr="00982C79">
              <w:rPr>
                <w:rFonts w:ascii="Franklin Gothic Medium" w:eastAsia="Times New Roman" w:hAnsi="Franklin Gothic Medium"/>
                <w:b/>
                <w:iCs/>
                <w:szCs w:val="17"/>
                <w:lang w:val="en-AU" w:eastAsia="en-US"/>
              </w:rPr>
              <w:t>Evaluation title</w:t>
            </w:r>
          </w:p>
        </w:tc>
        <w:tc>
          <w:tcPr>
            <w:tcW w:w="2342" w:type="dxa"/>
          </w:tcPr>
          <w:p w:rsidR="003B569F" w:rsidRPr="00982C79" w:rsidRDefault="003B569F" w:rsidP="00DE38B8">
            <w:pPr>
              <w:keepLines/>
              <w:spacing w:before="80" w:after="80" w:line="200" w:lineRule="atLeast"/>
              <w:rPr>
                <w:rFonts w:ascii="Franklin Gothic Medium" w:eastAsia="Times New Roman" w:hAnsi="Franklin Gothic Medium"/>
                <w:b/>
                <w:iCs/>
                <w:szCs w:val="17"/>
                <w:lang w:val="en-AU" w:eastAsia="en-US"/>
              </w:rPr>
            </w:pPr>
            <w:r w:rsidRPr="00982C79">
              <w:rPr>
                <w:rFonts w:ascii="Franklin Gothic Medium" w:eastAsia="Times New Roman" w:hAnsi="Franklin Gothic Medium"/>
                <w:b/>
                <w:iCs/>
                <w:szCs w:val="17"/>
                <w:lang w:val="en-AU" w:eastAsia="en-US"/>
              </w:rPr>
              <w:t xml:space="preserve">Investment number and name (if applicable) </w:t>
            </w:r>
          </w:p>
        </w:tc>
        <w:tc>
          <w:tcPr>
            <w:tcW w:w="2429" w:type="dxa"/>
          </w:tcPr>
          <w:p w:rsidR="003B569F" w:rsidRPr="00982C79" w:rsidRDefault="003B569F" w:rsidP="00DE38B8">
            <w:pPr>
              <w:keepLines/>
              <w:spacing w:before="80" w:after="80" w:line="200" w:lineRule="atLeast"/>
              <w:rPr>
                <w:rFonts w:ascii="Franklin Gothic Medium" w:eastAsia="Times New Roman" w:hAnsi="Franklin Gothic Medium"/>
                <w:b/>
                <w:iCs/>
                <w:szCs w:val="17"/>
                <w:lang w:val="en-AU" w:eastAsia="en-US"/>
              </w:rPr>
            </w:pPr>
            <w:r w:rsidRPr="00982C79">
              <w:rPr>
                <w:rFonts w:ascii="Franklin Gothic Medium" w:eastAsia="Times New Roman" w:hAnsi="Franklin Gothic Medium"/>
                <w:b/>
                <w:iCs/>
                <w:szCs w:val="17"/>
                <w:lang w:val="en-AU" w:eastAsia="en-US"/>
              </w:rPr>
              <w:t>Date – planned commencement (month/year)</w:t>
            </w:r>
          </w:p>
        </w:tc>
        <w:tc>
          <w:tcPr>
            <w:tcW w:w="2197" w:type="dxa"/>
          </w:tcPr>
          <w:p w:rsidR="003B569F" w:rsidRPr="00982C79" w:rsidRDefault="003B569F" w:rsidP="00DE38B8">
            <w:pPr>
              <w:keepLines/>
              <w:spacing w:before="80" w:after="80" w:line="200" w:lineRule="atLeast"/>
              <w:rPr>
                <w:rFonts w:ascii="Franklin Gothic Medium" w:eastAsia="Times New Roman" w:hAnsi="Franklin Gothic Medium"/>
                <w:b/>
                <w:iCs/>
                <w:szCs w:val="17"/>
                <w:lang w:val="en-AU" w:eastAsia="en-US"/>
              </w:rPr>
            </w:pPr>
            <w:r w:rsidRPr="00982C79">
              <w:rPr>
                <w:rFonts w:ascii="Franklin Gothic Medium" w:eastAsia="Times New Roman" w:hAnsi="Franklin Gothic Medium"/>
                <w:b/>
                <w:iCs/>
                <w:szCs w:val="17"/>
                <w:lang w:val="en-AU" w:eastAsia="en-US"/>
              </w:rPr>
              <w:t>Date – planned completion (month/year)</w:t>
            </w:r>
          </w:p>
        </w:tc>
        <w:tc>
          <w:tcPr>
            <w:tcW w:w="2313" w:type="dxa"/>
          </w:tcPr>
          <w:p w:rsidR="003B569F" w:rsidRPr="00982C79" w:rsidRDefault="003B569F" w:rsidP="00DE38B8">
            <w:pPr>
              <w:keepLines/>
              <w:spacing w:before="80" w:after="80" w:line="200" w:lineRule="atLeast"/>
              <w:rPr>
                <w:rFonts w:ascii="Franklin Gothic Medium" w:eastAsia="Times New Roman" w:hAnsi="Franklin Gothic Medium"/>
                <w:b/>
                <w:iCs/>
                <w:szCs w:val="17"/>
                <w:lang w:val="en-AU" w:eastAsia="en-US"/>
              </w:rPr>
            </w:pPr>
            <w:r w:rsidRPr="00982C79">
              <w:rPr>
                <w:rFonts w:ascii="Franklin Gothic Medium" w:eastAsia="Times New Roman" w:hAnsi="Franklin Gothic Medium"/>
                <w:b/>
                <w:iCs/>
                <w:szCs w:val="17"/>
                <w:lang w:val="en-AU" w:eastAsia="en-US"/>
              </w:rPr>
              <w:t>Purpose of evaluation</w:t>
            </w:r>
          </w:p>
        </w:tc>
        <w:tc>
          <w:tcPr>
            <w:tcW w:w="2324" w:type="dxa"/>
          </w:tcPr>
          <w:p w:rsidR="003B569F" w:rsidRPr="00982C79" w:rsidRDefault="003B569F" w:rsidP="00DE38B8">
            <w:pPr>
              <w:keepLines/>
              <w:spacing w:before="80" w:after="80" w:line="200" w:lineRule="atLeast"/>
              <w:rPr>
                <w:rFonts w:ascii="Franklin Gothic Medium" w:eastAsia="Times New Roman" w:hAnsi="Franklin Gothic Medium"/>
                <w:b/>
                <w:iCs/>
                <w:szCs w:val="17"/>
                <w:lang w:val="en-AU" w:eastAsia="en-US"/>
              </w:rPr>
            </w:pPr>
            <w:r w:rsidRPr="00982C79">
              <w:rPr>
                <w:rFonts w:ascii="Franklin Gothic Medium" w:eastAsia="Times New Roman" w:hAnsi="Franklin Gothic Medium"/>
                <w:b/>
                <w:iCs/>
                <w:szCs w:val="17"/>
                <w:lang w:val="en-AU" w:eastAsia="en-US"/>
              </w:rPr>
              <w:t>Evaluation type</w:t>
            </w:r>
          </w:p>
        </w:tc>
      </w:tr>
      <w:tr w:rsidR="0015475F" w:rsidRPr="00982C79" w:rsidTr="00DE38B8">
        <w:tc>
          <w:tcPr>
            <w:tcW w:w="2577" w:type="dxa"/>
          </w:tcPr>
          <w:p w:rsidR="0015475F" w:rsidRPr="008F53A1" w:rsidRDefault="0015475F" w:rsidP="00DE38B8">
            <w:r w:rsidRPr="008F53A1">
              <w:t>Independent Final Evaluation</w:t>
            </w:r>
          </w:p>
        </w:tc>
        <w:tc>
          <w:tcPr>
            <w:tcW w:w="2342" w:type="dxa"/>
          </w:tcPr>
          <w:p w:rsidR="0015475F" w:rsidRPr="008F53A1" w:rsidRDefault="0015475F" w:rsidP="00DE38B8">
            <w:r w:rsidRPr="008F53A1">
              <w:t>INK391 - Laos Australia Rural Livelihoods Program</w:t>
            </w:r>
          </w:p>
        </w:tc>
        <w:tc>
          <w:tcPr>
            <w:tcW w:w="2429" w:type="dxa"/>
          </w:tcPr>
          <w:p w:rsidR="0015475F" w:rsidRPr="008F53A1" w:rsidRDefault="0015475F" w:rsidP="00DE38B8">
            <w:r w:rsidRPr="008F53A1">
              <w:t>April 2016</w:t>
            </w:r>
          </w:p>
        </w:tc>
        <w:tc>
          <w:tcPr>
            <w:tcW w:w="2197" w:type="dxa"/>
          </w:tcPr>
          <w:p w:rsidR="0015475F" w:rsidRPr="008F53A1" w:rsidRDefault="0015475F" w:rsidP="00DE38B8">
            <w:r w:rsidRPr="008F53A1">
              <w:t>September 2016</w:t>
            </w:r>
          </w:p>
        </w:tc>
        <w:tc>
          <w:tcPr>
            <w:tcW w:w="2313" w:type="dxa"/>
          </w:tcPr>
          <w:p w:rsidR="0015475F" w:rsidRPr="008F53A1" w:rsidRDefault="0015475F" w:rsidP="00DE38B8">
            <w:r w:rsidRPr="008F53A1">
              <w:t>Review performance of investment</w:t>
            </w:r>
          </w:p>
        </w:tc>
        <w:tc>
          <w:tcPr>
            <w:tcW w:w="2324" w:type="dxa"/>
          </w:tcPr>
          <w:p w:rsidR="0015475F" w:rsidRDefault="0015475F" w:rsidP="00DE38B8">
            <w:r w:rsidRPr="008F53A1">
              <w:t>Independent Final Evaluation</w:t>
            </w:r>
          </w:p>
        </w:tc>
      </w:tr>
      <w:tr w:rsidR="0015475F" w:rsidRPr="00982C79" w:rsidTr="00DE38B8">
        <w:tc>
          <w:tcPr>
            <w:tcW w:w="2577" w:type="dxa"/>
          </w:tcPr>
          <w:p w:rsidR="0015475F" w:rsidRPr="00C9080F" w:rsidRDefault="0015475F" w:rsidP="00DE38B8">
            <w:r w:rsidRPr="00C9080F">
              <w:t xml:space="preserve">Mid Term Review  </w:t>
            </w:r>
          </w:p>
        </w:tc>
        <w:tc>
          <w:tcPr>
            <w:tcW w:w="2342" w:type="dxa"/>
          </w:tcPr>
          <w:p w:rsidR="0015475F" w:rsidRPr="00C9080F" w:rsidRDefault="0015475F" w:rsidP="00DE38B8">
            <w:r w:rsidRPr="00C9080F">
              <w:t>INK284 - Basic Education School Meals and WATSAN Program</w:t>
            </w:r>
          </w:p>
        </w:tc>
        <w:tc>
          <w:tcPr>
            <w:tcW w:w="2429" w:type="dxa"/>
          </w:tcPr>
          <w:p w:rsidR="0015475F" w:rsidRPr="00C9080F" w:rsidRDefault="0015475F" w:rsidP="00DE38B8">
            <w:r w:rsidRPr="00C9080F">
              <w:t>End of 2016</w:t>
            </w:r>
          </w:p>
        </w:tc>
        <w:tc>
          <w:tcPr>
            <w:tcW w:w="2197" w:type="dxa"/>
          </w:tcPr>
          <w:p w:rsidR="0015475F" w:rsidRPr="00C9080F" w:rsidRDefault="0015475F" w:rsidP="00DE38B8">
            <w:r w:rsidRPr="00C9080F">
              <w:t>2017</w:t>
            </w:r>
          </w:p>
        </w:tc>
        <w:tc>
          <w:tcPr>
            <w:tcW w:w="2313" w:type="dxa"/>
          </w:tcPr>
          <w:p w:rsidR="0015475F" w:rsidRPr="00C9080F" w:rsidRDefault="0015475F" w:rsidP="00DE38B8">
            <w:r w:rsidRPr="00C9080F">
              <w:t>Review performance of investment</w:t>
            </w:r>
          </w:p>
        </w:tc>
        <w:tc>
          <w:tcPr>
            <w:tcW w:w="2324" w:type="dxa"/>
          </w:tcPr>
          <w:p w:rsidR="0015475F" w:rsidRDefault="0015475F" w:rsidP="00DE38B8">
            <w:r w:rsidRPr="00C9080F">
              <w:t xml:space="preserve">Partner-led Mid Term Review  </w:t>
            </w:r>
          </w:p>
        </w:tc>
      </w:tr>
      <w:tr w:rsidR="0015475F" w:rsidRPr="00982C79" w:rsidTr="0015475F">
        <w:trPr>
          <w:trHeight w:val="712"/>
        </w:trPr>
        <w:tc>
          <w:tcPr>
            <w:tcW w:w="2577" w:type="dxa"/>
          </w:tcPr>
          <w:p w:rsidR="0015475F" w:rsidRPr="000772D4" w:rsidRDefault="0015475F" w:rsidP="00DE38B8">
            <w:r w:rsidRPr="000772D4">
              <w:t>Partner-led Impact Evaluation</w:t>
            </w:r>
          </w:p>
        </w:tc>
        <w:tc>
          <w:tcPr>
            <w:tcW w:w="2342" w:type="dxa"/>
          </w:tcPr>
          <w:p w:rsidR="0015475F" w:rsidRPr="000772D4" w:rsidRDefault="0015475F" w:rsidP="00DE38B8">
            <w:r w:rsidRPr="0015475F">
              <w:t>INJ573 - Poverty Reduction Fund, Phase II</w:t>
            </w:r>
          </w:p>
        </w:tc>
        <w:tc>
          <w:tcPr>
            <w:tcW w:w="2429" w:type="dxa"/>
          </w:tcPr>
          <w:p w:rsidR="0015475F" w:rsidRPr="007A7066" w:rsidRDefault="0015475F" w:rsidP="00DE38B8">
            <w:r w:rsidRPr="007A7066">
              <w:t>June 2015</w:t>
            </w:r>
          </w:p>
        </w:tc>
        <w:tc>
          <w:tcPr>
            <w:tcW w:w="2197" w:type="dxa"/>
          </w:tcPr>
          <w:p w:rsidR="0015475F" w:rsidRDefault="0015475F" w:rsidP="00DE38B8">
            <w:r w:rsidRPr="007A7066">
              <w:t>October 2016</w:t>
            </w:r>
          </w:p>
        </w:tc>
        <w:tc>
          <w:tcPr>
            <w:tcW w:w="2313" w:type="dxa"/>
          </w:tcPr>
          <w:p w:rsidR="0015475F" w:rsidRPr="00C22011" w:rsidRDefault="0015475F" w:rsidP="00DE38B8">
            <w:r w:rsidRPr="00C22011">
              <w:t xml:space="preserve">Assess progress against program baseline </w:t>
            </w:r>
          </w:p>
        </w:tc>
        <w:tc>
          <w:tcPr>
            <w:tcW w:w="2324" w:type="dxa"/>
          </w:tcPr>
          <w:p w:rsidR="0015475F" w:rsidRPr="00C22011" w:rsidRDefault="0015475F" w:rsidP="00DE38B8">
            <w:r w:rsidRPr="00C22011">
              <w:t>Partner-led Impact Evaluation</w:t>
            </w:r>
          </w:p>
        </w:tc>
      </w:tr>
    </w:tbl>
    <w:p w:rsidR="0059146A" w:rsidRPr="00982C79" w:rsidRDefault="0059146A" w:rsidP="005B5769">
      <w:pPr>
        <w:pStyle w:val="ListBullet"/>
        <w:tabs>
          <w:tab w:val="clear" w:pos="284"/>
        </w:tabs>
      </w:pPr>
    </w:p>
    <w:p w:rsidR="00B22262" w:rsidRPr="00982C79" w:rsidRDefault="00B22262" w:rsidP="00B22262">
      <w:pPr>
        <w:pStyle w:val="ListBullet"/>
        <w:tabs>
          <w:tab w:val="clear" w:pos="284"/>
        </w:tabs>
        <w:sectPr w:rsidR="00B22262" w:rsidRPr="00982C79" w:rsidSect="00D00802">
          <w:headerReference w:type="first" r:id="rId19"/>
          <w:pgSz w:w="16838" w:h="11906" w:orient="landscape" w:code="9"/>
          <w:pgMar w:top="1134" w:right="1952" w:bottom="1134" w:left="851" w:header="1107" w:footer="567" w:gutter="0"/>
          <w:cols w:space="397"/>
          <w:titlePg/>
          <w:docGrid w:linePitch="360"/>
        </w:sectPr>
      </w:pPr>
    </w:p>
    <w:p w:rsidR="00B22262" w:rsidRPr="00982C79" w:rsidRDefault="00B22262" w:rsidP="00B22262">
      <w:pPr>
        <w:pStyle w:val="Subtitle"/>
        <w:rPr>
          <w:lang w:val="en-AU"/>
        </w:rPr>
      </w:pPr>
      <w:r w:rsidRPr="00982C79">
        <w:rPr>
          <w:lang w:val="en-AU"/>
        </w:rPr>
        <w:lastRenderedPageBreak/>
        <w:t>Annex C - Aid Quality Check ratings</w:t>
      </w:r>
    </w:p>
    <w:p w:rsidR="00B22262" w:rsidRPr="00982C79" w:rsidRDefault="00B22262" w:rsidP="00B22262">
      <w:pPr>
        <w:keepNext/>
        <w:numPr>
          <w:ilvl w:val="2"/>
          <w:numId w:val="0"/>
        </w:numPr>
        <w:spacing w:before="240" w:after="120"/>
        <w:outlineLvl w:val="2"/>
        <w:rPr>
          <w:rFonts w:ascii="Helvetica" w:eastAsia="Times New Roman" w:hAnsi="Helvetica" w:cs="Arial"/>
          <w:b/>
          <w:color w:val="124486"/>
          <w:kern w:val="28"/>
          <w:lang w:val="en-AU" w:eastAsia="zh-CN"/>
        </w:rPr>
      </w:pPr>
      <w:r w:rsidRPr="00982C79">
        <w:rPr>
          <w:rFonts w:ascii="Helvetica" w:eastAsia="Times New Roman" w:hAnsi="Helvetica" w:cs="Arial"/>
          <w:b/>
          <w:color w:val="124486"/>
          <w:kern w:val="28"/>
          <w:lang w:val="en-AU" w:eastAsia="zh-CN"/>
        </w:rPr>
        <w:t>AQC ratings</w:t>
      </w:r>
    </w:p>
    <w:p w:rsidR="00B22262" w:rsidRPr="00982C79" w:rsidRDefault="00B22262" w:rsidP="00B22262">
      <w:pPr>
        <w:spacing w:after="160" w:line="280" w:lineRule="exact"/>
        <w:rPr>
          <w:rFonts w:ascii="Franklin Gothic Book" w:eastAsia="Times New Roman" w:hAnsi="Franklin Gothic Book"/>
          <w:sz w:val="21"/>
          <w:lang w:val="en-AU"/>
        </w:rPr>
      </w:pPr>
      <w:r w:rsidRPr="00982C79">
        <w:rPr>
          <w:rFonts w:ascii="Franklin Gothic Book" w:eastAsia="Times New Roman" w:hAnsi="Franklin Gothic Book"/>
          <w:sz w:val="21"/>
          <w:lang w:val="en-AU"/>
        </w:rPr>
        <w:t>AQC investment performance over the previous 12 months and where available last year’s AQC ratings are included.</w:t>
      </w:r>
    </w:p>
    <w:tbl>
      <w:tblPr>
        <w:tblStyle w:val="APPR"/>
        <w:tblW w:w="5000" w:type="pct"/>
        <w:tblLook w:val="0000" w:firstRow="0" w:lastRow="0" w:firstColumn="0" w:lastColumn="0" w:noHBand="0" w:noVBand="0"/>
      </w:tblPr>
      <w:tblGrid>
        <w:gridCol w:w="2638"/>
        <w:gridCol w:w="1913"/>
        <w:gridCol w:w="1218"/>
        <w:gridCol w:w="1224"/>
        <w:gridCol w:w="1215"/>
        <w:gridCol w:w="1224"/>
        <w:gridCol w:w="1215"/>
        <w:gridCol w:w="1224"/>
        <w:gridCol w:w="1215"/>
        <w:gridCol w:w="1221"/>
      </w:tblGrid>
      <w:tr w:rsidR="00B22262" w:rsidRPr="00982C79" w:rsidTr="00FA7676">
        <w:trPr>
          <w:cnfStyle w:val="000000010000" w:firstRow="0" w:lastRow="0" w:firstColumn="0" w:lastColumn="0" w:oddVBand="0" w:evenVBand="0" w:oddHBand="0" w:evenHBand="1" w:firstRowFirstColumn="0" w:firstRowLastColumn="0" w:lastRowFirstColumn="0" w:lastRowLastColumn="0"/>
          <w:trHeight w:val="1413"/>
        </w:trPr>
        <w:tc>
          <w:tcPr>
            <w:tcW w:w="907" w:type="pct"/>
          </w:tcPr>
          <w:p w:rsidR="00B22262" w:rsidRPr="00982C79" w:rsidRDefault="00B22262" w:rsidP="00DE38B8">
            <w:pPr>
              <w:keepLines/>
              <w:spacing w:before="80" w:after="80" w:line="200" w:lineRule="atLeast"/>
              <w:rPr>
                <w:rFonts w:ascii="Franklin Gothic Medium" w:eastAsia="Times New Roman" w:hAnsi="Franklin Gothic Medium"/>
                <w:b/>
                <w:iCs/>
                <w:szCs w:val="17"/>
                <w:lang w:val="en-AU" w:eastAsia="en-US"/>
              </w:rPr>
            </w:pPr>
            <w:r w:rsidRPr="00982C79">
              <w:rPr>
                <w:rFonts w:ascii="Franklin Gothic Medium" w:eastAsia="Times New Roman" w:hAnsi="Franklin Gothic Medium"/>
                <w:b/>
                <w:iCs/>
                <w:noProof/>
                <w:szCs w:val="17"/>
                <w:lang w:val="en-AU"/>
              </w:rPr>
              <w:drawing>
                <wp:anchor distT="0" distB="0" distL="114300" distR="114300" simplePos="0" relativeHeight="251676672" behindDoc="0" locked="0" layoutInCell="1" allowOverlap="1" wp14:anchorId="0C58D089" wp14:editId="4644D270">
                  <wp:simplePos x="0" y="0"/>
                  <wp:positionH relativeFrom="column">
                    <wp:posOffset>0</wp:posOffset>
                  </wp:positionH>
                  <wp:positionV relativeFrom="paragraph">
                    <wp:posOffset>0</wp:posOffset>
                  </wp:positionV>
                  <wp:extent cx="1857375" cy="228600"/>
                  <wp:effectExtent l="0" t="0" r="9525" b="0"/>
                  <wp:wrapNone/>
                  <wp:docPr id="3" name="Picture 3"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2C79">
              <w:rPr>
                <w:rFonts w:ascii="Franklin Gothic Medium" w:eastAsia="Times New Roman" w:hAnsi="Franklin Gothic Medium"/>
                <w:b/>
                <w:iCs/>
                <w:szCs w:val="17"/>
                <w:lang w:val="en-AU" w:eastAsia="en-US"/>
              </w:rPr>
              <w:t>Investment name</w:t>
            </w:r>
          </w:p>
        </w:tc>
        <w:tc>
          <w:tcPr>
            <w:tcW w:w="659" w:type="pct"/>
            <w:textDirection w:val="btLr"/>
          </w:tcPr>
          <w:p w:rsidR="00B22262" w:rsidRPr="00982C79" w:rsidRDefault="00B22262" w:rsidP="00DE38B8">
            <w:pPr>
              <w:keepLines/>
              <w:spacing w:before="80" w:after="80" w:line="200" w:lineRule="atLeast"/>
              <w:rPr>
                <w:rFonts w:ascii="Franklin Gothic Medium" w:eastAsia="Times New Roman" w:hAnsi="Franklin Gothic Medium"/>
                <w:b/>
                <w:iCs/>
                <w:szCs w:val="17"/>
                <w:lang w:val="en-AU" w:eastAsia="en-US"/>
              </w:rPr>
            </w:pPr>
            <w:r w:rsidRPr="00982C79">
              <w:rPr>
                <w:rFonts w:ascii="Franklin Gothic Medium" w:eastAsia="Times New Roman" w:hAnsi="Franklin Gothic Medium"/>
                <w:b/>
                <w:iCs/>
                <w:szCs w:val="17"/>
                <w:lang w:val="en-AU" w:eastAsia="en-US"/>
              </w:rPr>
              <w:t>Approved budget and duration</w:t>
            </w:r>
          </w:p>
        </w:tc>
        <w:tc>
          <w:tcPr>
            <w:tcW w:w="416" w:type="pct"/>
            <w:textDirection w:val="btLr"/>
          </w:tcPr>
          <w:p w:rsidR="00B22262" w:rsidRPr="00982C79" w:rsidRDefault="00B22262" w:rsidP="00DE38B8">
            <w:pPr>
              <w:keepLines/>
              <w:spacing w:before="80" w:after="80" w:line="200" w:lineRule="atLeast"/>
              <w:rPr>
                <w:rFonts w:ascii="Franklin Gothic Medium" w:eastAsia="Times New Roman" w:hAnsi="Franklin Gothic Medium"/>
                <w:b/>
                <w:iCs/>
                <w:szCs w:val="17"/>
                <w:lang w:val="en-AU" w:eastAsia="en-US"/>
              </w:rPr>
            </w:pPr>
            <w:r w:rsidRPr="00982C79">
              <w:rPr>
                <w:rFonts w:ascii="Franklin Gothic Medium" w:eastAsia="Times New Roman" w:hAnsi="Franklin Gothic Medium"/>
                <w:b/>
                <w:iCs/>
                <w:szCs w:val="17"/>
                <w:lang w:val="en-AU" w:eastAsia="en-US"/>
              </w:rPr>
              <w:t>year on year</w:t>
            </w:r>
          </w:p>
        </w:tc>
        <w:tc>
          <w:tcPr>
            <w:tcW w:w="418" w:type="pct"/>
            <w:textDirection w:val="btLr"/>
          </w:tcPr>
          <w:p w:rsidR="00B22262" w:rsidRPr="00982C79" w:rsidRDefault="00B22262" w:rsidP="00DE38B8">
            <w:pPr>
              <w:keepLines/>
              <w:spacing w:before="80" w:after="80" w:line="200" w:lineRule="atLeast"/>
              <w:rPr>
                <w:rFonts w:ascii="Franklin Gothic Medium" w:eastAsia="Times New Roman" w:hAnsi="Franklin Gothic Medium"/>
                <w:b/>
                <w:iCs/>
                <w:szCs w:val="17"/>
                <w:lang w:val="en-AU" w:eastAsia="en-US"/>
              </w:rPr>
            </w:pPr>
            <w:r w:rsidRPr="00982C79">
              <w:rPr>
                <w:rFonts w:ascii="Franklin Gothic Medium" w:eastAsia="Times New Roman" w:hAnsi="Franklin Gothic Medium"/>
                <w:b/>
                <w:iCs/>
                <w:szCs w:val="17"/>
                <w:lang w:val="en-AU" w:eastAsia="en-US"/>
              </w:rPr>
              <w:t>Relevance</w:t>
            </w:r>
          </w:p>
        </w:tc>
        <w:tc>
          <w:tcPr>
            <w:tcW w:w="415" w:type="pct"/>
            <w:textDirection w:val="btLr"/>
          </w:tcPr>
          <w:p w:rsidR="00B22262" w:rsidRPr="00982C79" w:rsidRDefault="00B22262" w:rsidP="00DE38B8">
            <w:pPr>
              <w:keepLines/>
              <w:spacing w:before="80" w:after="80" w:line="200" w:lineRule="atLeast"/>
              <w:rPr>
                <w:rFonts w:ascii="Franklin Gothic Medium" w:eastAsia="Times New Roman" w:hAnsi="Franklin Gothic Medium"/>
                <w:b/>
                <w:iCs/>
                <w:szCs w:val="17"/>
                <w:lang w:val="en-AU" w:eastAsia="en-US"/>
              </w:rPr>
            </w:pPr>
            <w:r w:rsidRPr="00982C79">
              <w:rPr>
                <w:rFonts w:ascii="Franklin Gothic Medium" w:eastAsia="Times New Roman" w:hAnsi="Franklin Gothic Medium"/>
                <w:b/>
                <w:iCs/>
                <w:szCs w:val="17"/>
                <w:lang w:val="en-AU" w:eastAsia="en-US"/>
              </w:rPr>
              <w:t>Effectiveness</w:t>
            </w:r>
          </w:p>
        </w:tc>
        <w:tc>
          <w:tcPr>
            <w:tcW w:w="418" w:type="pct"/>
            <w:textDirection w:val="btLr"/>
          </w:tcPr>
          <w:p w:rsidR="00B22262" w:rsidRPr="00982C79" w:rsidRDefault="00B22262" w:rsidP="00DE38B8">
            <w:pPr>
              <w:keepLines/>
              <w:spacing w:before="80" w:after="80" w:line="200" w:lineRule="atLeast"/>
              <w:rPr>
                <w:rFonts w:ascii="Franklin Gothic Medium" w:eastAsia="Times New Roman" w:hAnsi="Franklin Gothic Medium"/>
                <w:b/>
                <w:iCs/>
                <w:szCs w:val="17"/>
                <w:lang w:val="en-AU" w:eastAsia="en-US"/>
              </w:rPr>
            </w:pPr>
            <w:r w:rsidRPr="00982C79">
              <w:rPr>
                <w:rFonts w:ascii="Franklin Gothic Medium" w:eastAsia="Times New Roman" w:hAnsi="Franklin Gothic Medium"/>
                <w:b/>
                <w:iCs/>
                <w:szCs w:val="17"/>
                <w:lang w:val="en-AU" w:eastAsia="en-US"/>
              </w:rPr>
              <w:t>Efficiency</w:t>
            </w:r>
          </w:p>
        </w:tc>
        <w:tc>
          <w:tcPr>
            <w:tcW w:w="415" w:type="pct"/>
            <w:textDirection w:val="btLr"/>
          </w:tcPr>
          <w:p w:rsidR="00B22262" w:rsidRPr="00982C79" w:rsidRDefault="00B22262" w:rsidP="00DE38B8">
            <w:pPr>
              <w:keepLines/>
              <w:spacing w:before="80" w:after="80" w:line="200" w:lineRule="atLeast"/>
              <w:rPr>
                <w:rFonts w:ascii="Franklin Gothic Medium" w:eastAsia="Times New Roman" w:hAnsi="Franklin Gothic Medium"/>
                <w:b/>
                <w:iCs/>
                <w:szCs w:val="17"/>
                <w:lang w:val="en-AU" w:eastAsia="en-US"/>
              </w:rPr>
            </w:pPr>
            <w:r w:rsidRPr="00982C79">
              <w:rPr>
                <w:rFonts w:ascii="Franklin Gothic Medium" w:eastAsia="Times New Roman" w:hAnsi="Franklin Gothic Medium"/>
                <w:b/>
                <w:iCs/>
                <w:szCs w:val="17"/>
                <w:lang w:val="en-AU" w:eastAsia="en-US"/>
              </w:rPr>
              <w:t>Monitoring and Evaluation</w:t>
            </w:r>
          </w:p>
        </w:tc>
        <w:tc>
          <w:tcPr>
            <w:tcW w:w="418" w:type="pct"/>
            <w:textDirection w:val="btLr"/>
          </w:tcPr>
          <w:p w:rsidR="00B22262" w:rsidRPr="00982C79" w:rsidRDefault="00B22262" w:rsidP="00DE38B8">
            <w:pPr>
              <w:keepLines/>
              <w:spacing w:before="80" w:after="80" w:line="200" w:lineRule="atLeast"/>
              <w:rPr>
                <w:rFonts w:ascii="Franklin Gothic Medium" w:eastAsia="Times New Roman" w:hAnsi="Franklin Gothic Medium"/>
                <w:b/>
                <w:iCs/>
                <w:szCs w:val="17"/>
                <w:lang w:val="en-AU" w:eastAsia="en-US"/>
              </w:rPr>
            </w:pPr>
            <w:r w:rsidRPr="00982C79">
              <w:rPr>
                <w:rFonts w:ascii="Franklin Gothic Medium" w:eastAsia="Times New Roman" w:hAnsi="Franklin Gothic Medium"/>
                <w:b/>
                <w:iCs/>
                <w:szCs w:val="17"/>
                <w:lang w:val="en-AU" w:eastAsia="en-US"/>
              </w:rPr>
              <w:t>Sustainability</w:t>
            </w:r>
          </w:p>
        </w:tc>
        <w:tc>
          <w:tcPr>
            <w:tcW w:w="415" w:type="pct"/>
            <w:textDirection w:val="btLr"/>
          </w:tcPr>
          <w:p w:rsidR="00B22262" w:rsidRPr="00982C79" w:rsidRDefault="00B22262" w:rsidP="00DE38B8">
            <w:pPr>
              <w:keepLines/>
              <w:spacing w:before="80" w:after="80" w:line="200" w:lineRule="atLeast"/>
              <w:rPr>
                <w:rFonts w:ascii="Franklin Gothic Medium" w:eastAsia="Times New Roman" w:hAnsi="Franklin Gothic Medium"/>
                <w:b/>
                <w:iCs/>
                <w:szCs w:val="17"/>
                <w:lang w:val="en-AU" w:eastAsia="en-US"/>
              </w:rPr>
            </w:pPr>
            <w:r w:rsidRPr="00982C79">
              <w:rPr>
                <w:rFonts w:ascii="Franklin Gothic Medium" w:eastAsia="Times New Roman" w:hAnsi="Franklin Gothic Medium"/>
                <w:b/>
                <w:iCs/>
                <w:szCs w:val="17"/>
                <w:lang w:val="en-AU" w:eastAsia="en-US"/>
              </w:rPr>
              <w:t>Gender equality</w:t>
            </w:r>
          </w:p>
        </w:tc>
        <w:tc>
          <w:tcPr>
            <w:tcW w:w="412" w:type="pct"/>
            <w:textDirection w:val="btLr"/>
          </w:tcPr>
          <w:p w:rsidR="00B22262" w:rsidRPr="00982C79" w:rsidRDefault="00B22262" w:rsidP="00DE38B8">
            <w:pPr>
              <w:keepLines/>
              <w:spacing w:before="80" w:after="80" w:line="200" w:lineRule="atLeast"/>
              <w:rPr>
                <w:rFonts w:ascii="Franklin Gothic Medium" w:eastAsia="Times New Roman" w:hAnsi="Franklin Gothic Medium"/>
                <w:b/>
                <w:iCs/>
                <w:szCs w:val="17"/>
                <w:lang w:val="en-AU" w:eastAsia="en-US"/>
              </w:rPr>
            </w:pPr>
            <w:r w:rsidRPr="00982C79">
              <w:rPr>
                <w:rFonts w:ascii="Franklin Gothic Medium" w:eastAsia="Times New Roman" w:hAnsi="Franklin Gothic Medium"/>
                <w:b/>
                <w:iCs/>
                <w:szCs w:val="17"/>
                <w:lang w:val="en-AU" w:eastAsia="en-US"/>
              </w:rPr>
              <w:t>Risks  and Safeguards</w:t>
            </w:r>
          </w:p>
        </w:tc>
      </w:tr>
      <w:tr w:rsidR="00B22262" w:rsidRPr="00982C79" w:rsidTr="00FA7676">
        <w:trPr>
          <w:cnfStyle w:val="000000010000" w:firstRow="0" w:lastRow="0" w:firstColumn="0" w:lastColumn="0" w:oddVBand="0" w:evenVBand="0" w:oddHBand="0" w:evenHBand="1" w:firstRowFirstColumn="0" w:firstRowLastColumn="0" w:lastRowFirstColumn="0" w:lastRowLastColumn="0"/>
          <w:trHeight w:val="284"/>
        </w:trPr>
        <w:tc>
          <w:tcPr>
            <w:tcW w:w="907" w:type="pct"/>
          </w:tcPr>
          <w:p w:rsidR="00B22262" w:rsidRPr="00982C79" w:rsidRDefault="00B22262" w:rsidP="00DE38B8">
            <w:pPr>
              <w:keepLines/>
              <w:spacing w:before="40" w:after="40" w:line="200" w:lineRule="atLeast"/>
              <w:rPr>
                <w:rFonts w:eastAsia="Times New Roman"/>
                <w:iCs/>
                <w:szCs w:val="17"/>
                <w:lang w:val="en-AU" w:eastAsia="en-US"/>
              </w:rPr>
            </w:pPr>
          </w:p>
        </w:tc>
        <w:tc>
          <w:tcPr>
            <w:tcW w:w="659" w:type="pct"/>
          </w:tcPr>
          <w:p w:rsidR="00B22262" w:rsidRPr="00982C79" w:rsidRDefault="00B22262" w:rsidP="00DE38B8">
            <w:pPr>
              <w:autoSpaceDE w:val="0"/>
              <w:autoSpaceDN w:val="0"/>
              <w:adjustRightInd w:val="0"/>
              <w:rPr>
                <w:rFonts w:cs="Franklin Gothic Book"/>
                <w:color w:val="000000"/>
                <w:szCs w:val="17"/>
                <w:lang w:val="en-AU"/>
              </w:rPr>
            </w:pPr>
          </w:p>
        </w:tc>
        <w:tc>
          <w:tcPr>
            <w:tcW w:w="416" w:type="pct"/>
          </w:tcPr>
          <w:p w:rsidR="00B22262" w:rsidRPr="00982C79" w:rsidRDefault="00B22262" w:rsidP="00DE38B8">
            <w:pPr>
              <w:keepLines/>
              <w:spacing w:before="40" w:after="40" w:line="200" w:lineRule="atLeast"/>
              <w:rPr>
                <w:rFonts w:eastAsia="Times New Roman"/>
                <w:iCs/>
                <w:szCs w:val="17"/>
                <w:lang w:val="en-AU" w:eastAsia="en-US"/>
              </w:rPr>
            </w:pPr>
          </w:p>
        </w:tc>
        <w:tc>
          <w:tcPr>
            <w:tcW w:w="418" w:type="pct"/>
            <w:shd w:val="clear" w:color="auto" w:fill="auto"/>
            <w:noWrap/>
            <w:vAlign w:val="center"/>
          </w:tcPr>
          <w:p w:rsidR="00B22262" w:rsidRPr="00982C79" w:rsidRDefault="00B22262" w:rsidP="00DE38B8">
            <w:pPr>
              <w:jc w:val="center"/>
              <w:rPr>
                <w:lang w:val="en-AU"/>
              </w:rPr>
            </w:pPr>
          </w:p>
        </w:tc>
        <w:tc>
          <w:tcPr>
            <w:tcW w:w="415" w:type="pct"/>
            <w:shd w:val="clear" w:color="auto" w:fill="auto"/>
            <w:noWrap/>
            <w:vAlign w:val="center"/>
          </w:tcPr>
          <w:p w:rsidR="00B22262" w:rsidRPr="00982C79" w:rsidRDefault="00B22262" w:rsidP="00DE38B8">
            <w:pPr>
              <w:jc w:val="center"/>
              <w:rPr>
                <w:lang w:val="en-AU"/>
              </w:rPr>
            </w:pPr>
          </w:p>
        </w:tc>
        <w:tc>
          <w:tcPr>
            <w:tcW w:w="418" w:type="pct"/>
            <w:shd w:val="clear" w:color="auto" w:fill="auto"/>
            <w:noWrap/>
            <w:vAlign w:val="center"/>
          </w:tcPr>
          <w:p w:rsidR="00B22262" w:rsidRPr="00982C79" w:rsidRDefault="00B22262" w:rsidP="00DE38B8">
            <w:pPr>
              <w:jc w:val="center"/>
              <w:rPr>
                <w:lang w:val="en-AU"/>
              </w:rPr>
            </w:pPr>
          </w:p>
        </w:tc>
        <w:tc>
          <w:tcPr>
            <w:tcW w:w="415" w:type="pct"/>
            <w:shd w:val="clear" w:color="auto" w:fill="auto"/>
            <w:noWrap/>
            <w:vAlign w:val="center"/>
          </w:tcPr>
          <w:p w:rsidR="00B22262" w:rsidRPr="00982C79" w:rsidRDefault="00B22262" w:rsidP="00DE38B8">
            <w:pPr>
              <w:jc w:val="center"/>
              <w:rPr>
                <w:lang w:val="en-AU"/>
              </w:rPr>
            </w:pPr>
          </w:p>
        </w:tc>
        <w:tc>
          <w:tcPr>
            <w:tcW w:w="418" w:type="pct"/>
            <w:shd w:val="clear" w:color="auto" w:fill="auto"/>
            <w:noWrap/>
            <w:vAlign w:val="center"/>
          </w:tcPr>
          <w:p w:rsidR="00B22262" w:rsidRPr="00982C79" w:rsidRDefault="00B22262" w:rsidP="00DE38B8">
            <w:pPr>
              <w:jc w:val="center"/>
              <w:rPr>
                <w:lang w:val="en-AU"/>
              </w:rPr>
            </w:pPr>
          </w:p>
        </w:tc>
        <w:tc>
          <w:tcPr>
            <w:tcW w:w="415" w:type="pct"/>
            <w:shd w:val="clear" w:color="auto" w:fill="auto"/>
            <w:noWrap/>
            <w:vAlign w:val="center"/>
          </w:tcPr>
          <w:p w:rsidR="00B22262" w:rsidRPr="00982C79" w:rsidRDefault="00B22262" w:rsidP="00DE38B8">
            <w:pPr>
              <w:jc w:val="center"/>
              <w:rPr>
                <w:lang w:val="en-AU"/>
              </w:rPr>
            </w:pPr>
          </w:p>
        </w:tc>
        <w:tc>
          <w:tcPr>
            <w:tcW w:w="412" w:type="pct"/>
            <w:shd w:val="clear" w:color="auto" w:fill="auto"/>
            <w:vAlign w:val="center"/>
          </w:tcPr>
          <w:p w:rsidR="00B22262" w:rsidRPr="00982C79" w:rsidRDefault="00B22262" w:rsidP="00DE38B8">
            <w:pPr>
              <w:jc w:val="center"/>
              <w:rPr>
                <w:lang w:val="en-AU"/>
              </w:rPr>
            </w:pPr>
          </w:p>
        </w:tc>
      </w:tr>
      <w:tr w:rsidR="00B22262" w:rsidRPr="00982C79" w:rsidTr="001A219E">
        <w:trPr>
          <w:cnfStyle w:val="000000010000" w:firstRow="0" w:lastRow="0" w:firstColumn="0" w:lastColumn="0" w:oddVBand="0" w:evenVBand="0" w:oddHBand="0" w:evenHBand="1" w:firstRowFirstColumn="0" w:firstRowLastColumn="0" w:lastRowFirstColumn="0" w:lastRowLastColumn="0"/>
          <w:trHeight w:val="284"/>
        </w:trPr>
        <w:tc>
          <w:tcPr>
            <w:tcW w:w="907" w:type="pct"/>
            <w:vMerge w:val="restart"/>
          </w:tcPr>
          <w:p w:rsidR="00B22262" w:rsidRPr="00982C79" w:rsidRDefault="00B22262"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Poverty Reduction Fund Phase II</w:t>
            </w:r>
          </w:p>
        </w:tc>
        <w:tc>
          <w:tcPr>
            <w:tcW w:w="659" w:type="pct"/>
            <w:vMerge w:val="restart"/>
          </w:tcPr>
          <w:p w:rsidR="00B22262" w:rsidRPr="001A219E" w:rsidRDefault="00B22262" w:rsidP="001A219E">
            <w:pPr>
              <w:keepLines/>
              <w:spacing w:before="40" w:after="40" w:line="200" w:lineRule="atLeast"/>
              <w:rPr>
                <w:rFonts w:eastAsia="Times New Roman"/>
                <w:iCs/>
                <w:szCs w:val="17"/>
                <w:lang w:val="en-AU" w:eastAsia="en-US"/>
              </w:rPr>
            </w:pPr>
            <w:r w:rsidRPr="001A219E">
              <w:rPr>
                <w:rFonts w:eastAsia="Times New Roman"/>
                <w:iCs/>
                <w:szCs w:val="17"/>
                <w:lang w:val="en-AU" w:eastAsia="en-US"/>
              </w:rPr>
              <w:t xml:space="preserve">$20.3 m </w:t>
            </w:r>
          </w:p>
          <w:p w:rsidR="00B22262" w:rsidRPr="00982C79" w:rsidRDefault="00B22262" w:rsidP="001A219E">
            <w:pPr>
              <w:keepLines/>
              <w:spacing w:before="40" w:after="40" w:line="200" w:lineRule="atLeast"/>
              <w:rPr>
                <w:rFonts w:eastAsia="Times New Roman"/>
                <w:iCs/>
                <w:szCs w:val="17"/>
                <w:lang w:val="en-AU" w:eastAsia="en-US"/>
              </w:rPr>
            </w:pPr>
            <w:r w:rsidRPr="00982C79">
              <w:rPr>
                <w:rFonts w:eastAsia="Times New Roman"/>
                <w:iCs/>
                <w:szCs w:val="17"/>
                <w:lang w:val="en-AU" w:eastAsia="en-US"/>
              </w:rPr>
              <w:t xml:space="preserve">2011-17 </w:t>
            </w:r>
          </w:p>
        </w:tc>
        <w:tc>
          <w:tcPr>
            <w:tcW w:w="416" w:type="pct"/>
          </w:tcPr>
          <w:p w:rsidR="00B22262" w:rsidRPr="00982C79" w:rsidRDefault="00B22262"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2015 AQC</w:t>
            </w:r>
          </w:p>
        </w:tc>
        <w:tc>
          <w:tcPr>
            <w:tcW w:w="418" w:type="pct"/>
            <w:shd w:val="clear" w:color="auto" w:fill="FFFF00"/>
            <w:noWrap/>
            <w:vAlign w:val="center"/>
          </w:tcPr>
          <w:p w:rsidR="00B22262" w:rsidRPr="00982C79" w:rsidRDefault="00B22262" w:rsidP="00DE38B8">
            <w:pPr>
              <w:jc w:val="center"/>
              <w:rPr>
                <w:lang w:val="en-AU"/>
              </w:rPr>
            </w:pPr>
            <w:r w:rsidRPr="00982C79">
              <w:rPr>
                <w:lang w:val="en-AU"/>
              </w:rPr>
              <w:t>4</w:t>
            </w:r>
          </w:p>
        </w:tc>
        <w:tc>
          <w:tcPr>
            <w:tcW w:w="415" w:type="pct"/>
            <w:shd w:val="clear" w:color="auto" w:fill="33CC33"/>
            <w:noWrap/>
            <w:vAlign w:val="center"/>
          </w:tcPr>
          <w:p w:rsidR="00B22262" w:rsidRPr="00982C79" w:rsidRDefault="00B22262" w:rsidP="00DE38B8">
            <w:pPr>
              <w:jc w:val="center"/>
              <w:rPr>
                <w:lang w:val="en-AU"/>
              </w:rPr>
            </w:pPr>
            <w:r w:rsidRPr="00982C79">
              <w:rPr>
                <w:lang w:val="en-AU"/>
              </w:rPr>
              <w:t>5</w:t>
            </w:r>
          </w:p>
        </w:tc>
        <w:tc>
          <w:tcPr>
            <w:tcW w:w="418" w:type="pct"/>
            <w:shd w:val="clear" w:color="auto" w:fill="33CC33"/>
            <w:noWrap/>
            <w:vAlign w:val="center"/>
          </w:tcPr>
          <w:p w:rsidR="00B22262" w:rsidRPr="00982C79" w:rsidRDefault="00B22262" w:rsidP="00DE38B8">
            <w:pPr>
              <w:jc w:val="center"/>
              <w:rPr>
                <w:lang w:val="en-AU"/>
              </w:rPr>
            </w:pPr>
            <w:r w:rsidRPr="00982C79">
              <w:rPr>
                <w:lang w:val="en-AU"/>
              </w:rPr>
              <w:t>5</w:t>
            </w:r>
          </w:p>
        </w:tc>
        <w:tc>
          <w:tcPr>
            <w:tcW w:w="415" w:type="pct"/>
            <w:shd w:val="clear" w:color="auto" w:fill="FFFF00"/>
            <w:noWrap/>
            <w:vAlign w:val="center"/>
          </w:tcPr>
          <w:p w:rsidR="00B22262" w:rsidRPr="00982C79" w:rsidRDefault="00B22262" w:rsidP="00DE38B8">
            <w:pPr>
              <w:jc w:val="center"/>
              <w:rPr>
                <w:lang w:val="en-AU"/>
              </w:rPr>
            </w:pPr>
            <w:r w:rsidRPr="00982C79">
              <w:rPr>
                <w:lang w:val="en-AU"/>
              </w:rPr>
              <w:t>4</w:t>
            </w:r>
          </w:p>
        </w:tc>
        <w:tc>
          <w:tcPr>
            <w:tcW w:w="418" w:type="pct"/>
            <w:shd w:val="clear" w:color="auto" w:fill="FF9900"/>
            <w:noWrap/>
            <w:vAlign w:val="center"/>
          </w:tcPr>
          <w:p w:rsidR="00B22262" w:rsidRPr="00982C79" w:rsidRDefault="00B22262" w:rsidP="00DE38B8">
            <w:pPr>
              <w:jc w:val="center"/>
              <w:rPr>
                <w:lang w:val="en-AU"/>
              </w:rPr>
            </w:pPr>
            <w:r w:rsidRPr="00982C79">
              <w:rPr>
                <w:lang w:val="en-AU"/>
              </w:rPr>
              <w:t>3</w:t>
            </w:r>
          </w:p>
        </w:tc>
        <w:tc>
          <w:tcPr>
            <w:tcW w:w="415" w:type="pct"/>
            <w:shd w:val="clear" w:color="auto" w:fill="FFFF00"/>
            <w:noWrap/>
            <w:vAlign w:val="center"/>
          </w:tcPr>
          <w:p w:rsidR="00B22262" w:rsidRPr="00982C79" w:rsidRDefault="00B22262" w:rsidP="00DE38B8">
            <w:pPr>
              <w:jc w:val="center"/>
              <w:rPr>
                <w:lang w:val="en-AU"/>
              </w:rPr>
            </w:pPr>
            <w:r w:rsidRPr="00982C79">
              <w:rPr>
                <w:lang w:val="en-AU"/>
              </w:rPr>
              <w:t>4</w:t>
            </w:r>
          </w:p>
        </w:tc>
        <w:tc>
          <w:tcPr>
            <w:tcW w:w="412" w:type="pct"/>
            <w:shd w:val="clear" w:color="auto" w:fill="FFFF00"/>
            <w:vAlign w:val="center"/>
          </w:tcPr>
          <w:p w:rsidR="00B22262" w:rsidRPr="00982C79" w:rsidRDefault="00B22262" w:rsidP="00DE38B8">
            <w:pPr>
              <w:jc w:val="center"/>
              <w:rPr>
                <w:lang w:val="en-AU"/>
              </w:rPr>
            </w:pPr>
            <w:r w:rsidRPr="00982C79">
              <w:rPr>
                <w:lang w:val="en-AU"/>
              </w:rPr>
              <w:t>4</w:t>
            </w:r>
          </w:p>
        </w:tc>
      </w:tr>
      <w:tr w:rsidR="00B22262" w:rsidRPr="00982C79" w:rsidTr="003D7AB7">
        <w:trPr>
          <w:cnfStyle w:val="000000010000" w:firstRow="0" w:lastRow="0" w:firstColumn="0" w:lastColumn="0" w:oddVBand="0" w:evenVBand="0" w:oddHBand="0" w:evenHBand="1" w:firstRowFirstColumn="0" w:firstRowLastColumn="0" w:lastRowFirstColumn="0" w:lastRowLastColumn="0"/>
          <w:trHeight w:val="284"/>
        </w:trPr>
        <w:tc>
          <w:tcPr>
            <w:tcW w:w="907" w:type="pct"/>
            <w:vMerge/>
            <w:tcBorders>
              <w:bottom w:val="single" w:sz="8" w:space="0" w:color="000000" w:themeColor="text1"/>
            </w:tcBorders>
          </w:tcPr>
          <w:p w:rsidR="00B22262" w:rsidRPr="00982C79" w:rsidRDefault="00B22262" w:rsidP="00DE38B8">
            <w:pPr>
              <w:keepLines/>
              <w:spacing w:before="40" w:after="40" w:line="200" w:lineRule="atLeast"/>
              <w:rPr>
                <w:rFonts w:eastAsia="Times New Roman"/>
                <w:iCs/>
                <w:szCs w:val="17"/>
                <w:lang w:val="en-AU" w:eastAsia="en-US"/>
              </w:rPr>
            </w:pPr>
          </w:p>
        </w:tc>
        <w:tc>
          <w:tcPr>
            <w:tcW w:w="659" w:type="pct"/>
            <w:vMerge/>
            <w:tcBorders>
              <w:bottom w:val="single" w:sz="8" w:space="0" w:color="000000" w:themeColor="text1"/>
            </w:tcBorders>
          </w:tcPr>
          <w:p w:rsidR="00B22262" w:rsidRPr="00982C79" w:rsidRDefault="00B22262" w:rsidP="00DE38B8">
            <w:pPr>
              <w:keepLines/>
              <w:spacing w:before="40" w:after="40" w:line="200" w:lineRule="atLeast"/>
              <w:rPr>
                <w:rFonts w:eastAsia="Times New Roman"/>
                <w:iCs/>
                <w:szCs w:val="17"/>
                <w:lang w:val="en-AU" w:eastAsia="en-US"/>
              </w:rPr>
            </w:pPr>
          </w:p>
        </w:tc>
        <w:tc>
          <w:tcPr>
            <w:tcW w:w="416" w:type="pct"/>
            <w:tcBorders>
              <w:bottom w:val="single" w:sz="8" w:space="0" w:color="000000" w:themeColor="text1"/>
            </w:tcBorders>
          </w:tcPr>
          <w:p w:rsidR="00B22262" w:rsidRPr="00982C79" w:rsidRDefault="00B22262"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2014 AQC</w:t>
            </w:r>
          </w:p>
        </w:tc>
        <w:tc>
          <w:tcPr>
            <w:tcW w:w="418" w:type="pct"/>
            <w:tcBorders>
              <w:bottom w:val="single" w:sz="8" w:space="0" w:color="000000" w:themeColor="text1"/>
            </w:tcBorders>
            <w:shd w:val="clear" w:color="auto" w:fill="33CC33"/>
            <w:noWrap/>
            <w:vAlign w:val="center"/>
          </w:tcPr>
          <w:p w:rsidR="00B22262" w:rsidRPr="00982C79" w:rsidRDefault="00B22262" w:rsidP="00DE38B8">
            <w:pPr>
              <w:jc w:val="center"/>
              <w:rPr>
                <w:lang w:val="en-AU"/>
              </w:rPr>
            </w:pPr>
            <w:r w:rsidRPr="00982C79">
              <w:rPr>
                <w:lang w:val="en-AU"/>
              </w:rPr>
              <w:t>5</w:t>
            </w:r>
          </w:p>
        </w:tc>
        <w:tc>
          <w:tcPr>
            <w:tcW w:w="415" w:type="pct"/>
            <w:tcBorders>
              <w:bottom w:val="single" w:sz="8" w:space="0" w:color="000000" w:themeColor="text1"/>
            </w:tcBorders>
            <w:shd w:val="clear" w:color="auto" w:fill="33CC33"/>
            <w:noWrap/>
            <w:vAlign w:val="center"/>
          </w:tcPr>
          <w:p w:rsidR="00B22262" w:rsidRPr="00982C79" w:rsidRDefault="00B22262" w:rsidP="00DE38B8">
            <w:pPr>
              <w:jc w:val="center"/>
              <w:rPr>
                <w:lang w:val="en-AU"/>
              </w:rPr>
            </w:pPr>
            <w:r w:rsidRPr="00982C79">
              <w:rPr>
                <w:lang w:val="en-AU"/>
              </w:rPr>
              <w:t>5</w:t>
            </w:r>
          </w:p>
        </w:tc>
        <w:tc>
          <w:tcPr>
            <w:tcW w:w="418" w:type="pct"/>
            <w:tcBorders>
              <w:bottom w:val="single" w:sz="8" w:space="0" w:color="000000" w:themeColor="text1"/>
            </w:tcBorders>
            <w:shd w:val="clear" w:color="auto" w:fill="33CC33"/>
            <w:noWrap/>
            <w:vAlign w:val="center"/>
          </w:tcPr>
          <w:p w:rsidR="00B22262" w:rsidRPr="00982C79" w:rsidRDefault="00B22262" w:rsidP="00DE38B8">
            <w:pPr>
              <w:jc w:val="center"/>
              <w:rPr>
                <w:lang w:val="en-AU"/>
              </w:rPr>
            </w:pPr>
            <w:r w:rsidRPr="00982C79">
              <w:rPr>
                <w:lang w:val="en-AU"/>
              </w:rPr>
              <w:t>5</w:t>
            </w:r>
          </w:p>
        </w:tc>
        <w:tc>
          <w:tcPr>
            <w:tcW w:w="415" w:type="pct"/>
            <w:tcBorders>
              <w:bottom w:val="single" w:sz="8" w:space="0" w:color="000000" w:themeColor="text1"/>
            </w:tcBorders>
            <w:shd w:val="clear" w:color="auto" w:fill="33CC33"/>
            <w:noWrap/>
            <w:vAlign w:val="center"/>
          </w:tcPr>
          <w:p w:rsidR="00B22262" w:rsidRPr="00982C79" w:rsidRDefault="00B22262" w:rsidP="00DE38B8">
            <w:pPr>
              <w:jc w:val="center"/>
              <w:rPr>
                <w:lang w:val="en-AU"/>
              </w:rPr>
            </w:pPr>
            <w:r w:rsidRPr="00982C79">
              <w:rPr>
                <w:lang w:val="en-AU"/>
              </w:rPr>
              <w:t>5</w:t>
            </w:r>
          </w:p>
        </w:tc>
        <w:tc>
          <w:tcPr>
            <w:tcW w:w="418" w:type="pct"/>
            <w:tcBorders>
              <w:bottom w:val="single" w:sz="8" w:space="0" w:color="000000" w:themeColor="text1"/>
            </w:tcBorders>
            <w:shd w:val="clear" w:color="auto" w:fill="FFFF00"/>
            <w:noWrap/>
            <w:vAlign w:val="center"/>
          </w:tcPr>
          <w:p w:rsidR="00B22262" w:rsidRPr="00982C79" w:rsidRDefault="00B22262" w:rsidP="00DE38B8">
            <w:pPr>
              <w:jc w:val="center"/>
              <w:rPr>
                <w:lang w:val="en-AU"/>
              </w:rPr>
            </w:pPr>
            <w:r w:rsidRPr="00982C79">
              <w:rPr>
                <w:lang w:val="en-AU"/>
              </w:rPr>
              <w:t>4</w:t>
            </w:r>
          </w:p>
        </w:tc>
        <w:tc>
          <w:tcPr>
            <w:tcW w:w="415" w:type="pct"/>
            <w:tcBorders>
              <w:bottom w:val="single" w:sz="8" w:space="0" w:color="000000" w:themeColor="text1"/>
            </w:tcBorders>
            <w:shd w:val="clear" w:color="auto" w:fill="FFFF00"/>
            <w:noWrap/>
            <w:vAlign w:val="center"/>
          </w:tcPr>
          <w:p w:rsidR="00B22262" w:rsidRPr="00982C79" w:rsidRDefault="00B22262" w:rsidP="00DE38B8">
            <w:pPr>
              <w:jc w:val="center"/>
              <w:rPr>
                <w:lang w:val="en-AU"/>
              </w:rPr>
            </w:pPr>
            <w:r w:rsidRPr="00982C79">
              <w:rPr>
                <w:lang w:val="en-AU"/>
              </w:rPr>
              <w:t>4</w:t>
            </w:r>
          </w:p>
        </w:tc>
        <w:tc>
          <w:tcPr>
            <w:tcW w:w="412" w:type="pct"/>
            <w:tcBorders>
              <w:bottom w:val="single" w:sz="8" w:space="0" w:color="000000" w:themeColor="text1"/>
            </w:tcBorders>
            <w:shd w:val="clear" w:color="auto" w:fill="FFFF00"/>
            <w:vAlign w:val="center"/>
          </w:tcPr>
          <w:p w:rsidR="00B22262" w:rsidRPr="00982C79" w:rsidRDefault="00B22262" w:rsidP="00DE38B8">
            <w:pPr>
              <w:jc w:val="center"/>
              <w:rPr>
                <w:lang w:val="en-AU"/>
              </w:rPr>
            </w:pPr>
            <w:r w:rsidRPr="00982C79">
              <w:rPr>
                <w:lang w:val="en-AU"/>
              </w:rPr>
              <w:t>4</w:t>
            </w:r>
          </w:p>
        </w:tc>
      </w:tr>
      <w:tr w:rsidR="00B22262" w:rsidRPr="00982C79" w:rsidTr="003D7AB7">
        <w:trPr>
          <w:cnfStyle w:val="000000010000" w:firstRow="0" w:lastRow="0" w:firstColumn="0" w:lastColumn="0" w:oddVBand="0" w:evenVBand="0" w:oddHBand="0" w:evenHBand="1" w:firstRowFirstColumn="0" w:firstRowLastColumn="0" w:lastRowFirstColumn="0" w:lastRowLastColumn="0"/>
          <w:trHeight w:val="284"/>
        </w:trPr>
        <w:tc>
          <w:tcPr>
            <w:tcW w:w="907" w:type="pct"/>
            <w:vMerge w:val="restart"/>
            <w:tcBorders>
              <w:top w:val="single" w:sz="8" w:space="0" w:color="000000" w:themeColor="text1"/>
            </w:tcBorders>
          </w:tcPr>
          <w:p w:rsidR="00B22262" w:rsidRPr="00982C79" w:rsidRDefault="00B22262"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Support for UXO Action in Laos</w:t>
            </w:r>
          </w:p>
        </w:tc>
        <w:tc>
          <w:tcPr>
            <w:tcW w:w="659" w:type="pct"/>
            <w:vMerge w:val="restart"/>
            <w:tcBorders>
              <w:top w:val="single" w:sz="8" w:space="0" w:color="000000" w:themeColor="text1"/>
            </w:tcBorders>
          </w:tcPr>
          <w:p w:rsidR="00B22262" w:rsidRPr="00982C79" w:rsidRDefault="00B22262"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$9 million</w:t>
            </w:r>
          </w:p>
          <w:p w:rsidR="00B22262" w:rsidRPr="00982C79" w:rsidRDefault="00B22262"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2011-2016</w:t>
            </w:r>
          </w:p>
        </w:tc>
        <w:tc>
          <w:tcPr>
            <w:tcW w:w="416" w:type="pct"/>
            <w:tcBorders>
              <w:top w:val="single" w:sz="8" w:space="0" w:color="000000" w:themeColor="text1"/>
            </w:tcBorders>
          </w:tcPr>
          <w:p w:rsidR="00B22262" w:rsidRPr="00982C79" w:rsidRDefault="00B22262"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2015 AQC</w:t>
            </w:r>
          </w:p>
        </w:tc>
        <w:tc>
          <w:tcPr>
            <w:tcW w:w="418" w:type="pct"/>
            <w:tcBorders>
              <w:top w:val="single" w:sz="8" w:space="0" w:color="000000" w:themeColor="text1"/>
            </w:tcBorders>
            <w:shd w:val="clear" w:color="auto" w:fill="FF9900"/>
            <w:noWrap/>
            <w:vAlign w:val="center"/>
          </w:tcPr>
          <w:p w:rsidR="00B22262" w:rsidRPr="00982C79" w:rsidRDefault="00B22262" w:rsidP="00DE38B8">
            <w:pPr>
              <w:jc w:val="center"/>
              <w:rPr>
                <w:lang w:val="en-AU"/>
              </w:rPr>
            </w:pPr>
            <w:r w:rsidRPr="00982C79">
              <w:rPr>
                <w:lang w:val="en-AU"/>
              </w:rPr>
              <w:t>3</w:t>
            </w:r>
          </w:p>
        </w:tc>
        <w:tc>
          <w:tcPr>
            <w:tcW w:w="415" w:type="pct"/>
            <w:tcBorders>
              <w:top w:val="single" w:sz="8" w:space="0" w:color="000000" w:themeColor="text1"/>
            </w:tcBorders>
            <w:shd w:val="clear" w:color="auto" w:fill="FFFF00"/>
            <w:noWrap/>
            <w:vAlign w:val="center"/>
          </w:tcPr>
          <w:p w:rsidR="00B22262" w:rsidRPr="00982C79" w:rsidRDefault="00B22262" w:rsidP="00DE38B8">
            <w:pPr>
              <w:jc w:val="center"/>
              <w:rPr>
                <w:lang w:val="en-AU"/>
              </w:rPr>
            </w:pPr>
            <w:r w:rsidRPr="00982C79">
              <w:rPr>
                <w:lang w:val="en-AU"/>
              </w:rPr>
              <w:t>4</w:t>
            </w:r>
          </w:p>
        </w:tc>
        <w:tc>
          <w:tcPr>
            <w:tcW w:w="418" w:type="pct"/>
            <w:tcBorders>
              <w:top w:val="single" w:sz="8" w:space="0" w:color="000000" w:themeColor="text1"/>
            </w:tcBorders>
            <w:shd w:val="clear" w:color="auto" w:fill="FF9900"/>
            <w:noWrap/>
            <w:vAlign w:val="center"/>
          </w:tcPr>
          <w:p w:rsidR="00B22262" w:rsidRPr="00982C79" w:rsidRDefault="00B22262" w:rsidP="00DE38B8">
            <w:pPr>
              <w:jc w:val="center"/>
              <w:rPr>
                <w:lang w:val="en-AU"/>
              </w:rPr>
            </w:pPr>
            <w:r w:rsidRPr="00982C79">
              <w:rPr>
                <w:lang w:val="en-AU"/>
              </w:rPr>
              <w:t>3</w:t>
            </w:r>
          </w:p>
        </w:tc>
        <w:tc>
          <w:tcPr>
            <w:tcW w:w="415" w:type="pct"/>
            <w:tcBorders>
              <w:top w:val="single" w:sz="8" w:space="0" w:color="000000" w:themeColor="text1"/>
            </w:tcBorders>
            <w:shd w:val="clear" w:color="auto" w:fill="FFFF00"/>
            <w:noWrap/>
            <w:vAlign w:val="center"/>
          </w:tcPr>
          <w:p w:rsidR="00B22262" w:rsidRPr="00982C79" w:rsidRDefault="00B22262" w:rsidP="00DE38B8">
            <w:pPr>
              <w:jc w:val="center"/>
              <w:rPr>
                <w:lang w:val="en-AU"/>
              </w:rPr>
            </w:pPr>
            <w:r w:rsidRPr="00982C79">
              <w:rPr>
                <w:lang w:val="en-AU"/>
              </w:rPr>
              <w:t>4</w:t>
            </w:r>
          </w:p>
        </w:tc>
        <w:tc>
          <w:tcPr>
            <w:tcW w:w="418" w:type="pct"/>
            <w:tcBorders>
              <w:top w:val="single" w:sz="8" w:space="0" w:color="000000" w:themeColor="text1"/>
            </w:tcBorders>
            <w:shd w:val="clear" w:color="auto" w:fill="FFFF00"/>
            <w:noWrap/>
            <w:vAlign w:val="center"/>
          </w:tcPr>
          <w:p w:rsidR="00B22262" w:rsidRPr="00982C79" w:rsidRDefault="00B22262" w:rsidP="00DE38B8">
            <w:pPr>
              <w:jc w:val="center"/>
              <w:rPr>
                <w:lang w:val="en-AU"/>
              </w:rPr>
            </w:pPr>
            <w:r w:rsidRPr="00982C79">
              <w:rPr>
                <w:lang w:val="en-AU"/>
              </w:rPr>
              <w:t>4</w:t>
            </w:r>
          </w:p>
        </w:tc>
        <w:tc>
          <w:tcPr>
            <w:tcW w:w="415" w:type="pct"/>
            <w:tcBorders>
              <w:top w:val="single" w:sz="8" w:space="0" w:color="000000" w:themeColor="text1"/>
            </w:tcBorders>
            <w:shd w:val="clear" w:color="auto" w:fill="33CC33"/>
            <w:noWrap/>
            <w:vAlign w:val="center"/>
          </w:tcPr>
          <w:p w:rsidR="00B22262" w:rsidRPr="00982C79" w:rsidRDefault="00B22262" w:rsidP="00DE38B8">
            <w:pPr>
              <w:jc w:val="center"/>
              <w:rPr>
                <w:lang w:val="en-AU"/>
              </w:rPr>
            </w:pPr>
            <w:r w:rsidRPr="00982C79">
              <w:rPr>
                <w:lang w:val="en-AU"/>
              </w:rPr>
              <w:t>5</w:t>
            </w:r>
          </w:p>
        </w:tc>
        <w:tc>
          <w:tcPr>
            <w:tcW w:w="412" w:type="pct"/>
            <w:tcBorders>
              <w:top w:val="single" w:sz="8" w:space="0" w:color="000000" w:themeColor="text1"/>
            </w:tcBorders>
            <w:shd w:val="clear" w:color="auto" w:fill="FFFF00"/>
            <w:vAlign w:val="center"/>
          </w:tcPr>
          <w:p w:rsidR="00B22262" w:rsidRPr="00982C79" w:rsidRDefault="00B22262" w:rsidP="00DE38B8">
            <w:pPr>
              <w:jc w:val="center"/>
              <w:rPr>
                <w:lang w:val="en-AU"/>
              </w:rPr>
            </w:pPr>
            <w:r w:rsidRPr="00982C79">
              <w:rPr>
                <w:lang w:val="en-AU"/>
              </w:rPr>
              <w:t>4</w:t>
            </w:r>
          </w:p>
        </w:tc>
      </w:tr>
      <w:tr w:rsidR="00B22262" w:rsidRPr="00982C79" w:rsidTr="003D7AB7">
        <w:trPr>
          <w:cnfStyle w:val="000000010000" w:firstRow="0" w:lastRow="0" w:firstColumn="0" w:lastColumn="0" w:oddVBand="0" w:evenVBand="0" w:oddHBand="0" w:evenHBand="1" w:firstRowFirstColumn="0" w:firstRowLastColumn="0" w:lastRowFirstColumn="0" w:lastRowLastColumn="0"/>
          <w:trHeight w:val="284"/>
        </w:trPr>
        <w:tc>
          <w:tcPr>
            <w:tcW w:w="907" w:type="pct"/>
            <w:vMerge/>
            <w:tcBorders>
              <w:bottom w:val="single" w:sz="8" w:space="0" w:color="000000" w:themeColor="text1"/>
            </w:tcBorders>
          </w:tcPr>
          <w:p w:rsidR="00B22262" w:rsidRPr="00982C79" w:rsidRDefault="00B22262" w:rsidP="00DE38B8">
            <w:pPr>
              <w:keepLines/>
              <w:spacing w:before="40" w:after="40" w:line="200" w:lineRule="atLeast"/>
              <w:rPr>
                <w:rFonts w:eastAsia="Times New Roman"/>
                <w:iCs/>
                <w:szCs w:val="17"/>
                <w:lang w:val="en-AU" w:eastAsia="en-US"/>
              </w:rPr>
            </w:pPr>
          </w:p>
        </w:tc>
        <w:tc>
          <w:tcPr>
            <w:tcW w:w="659" w:type="pct"/>
            <w:vMerge/>
            <w:tcBorders>
              <w:bottom w:val="single" w:sz="8" w:space="0" w:color="000000" w:themeColor="text1"/>
            </w:tcBorders>
          </w:tcPr>
          <w:p w:rsidR="00B22262" w:rsidRPr="00982C79" w:rsidRDefault="00B22262" w:rsidP="00DE38B8">
            <w:pPr>
              <w:keepLines/>
              <w:spacing w:before="40" w:after="40" w:line="200" w:lineRule="atLeast"/>
              <w:rPr>
                <w:rFonts w:eastAsia="Times New Roman"/>
                <w:iCs/>
                <w:szCs w:val="17"/>
                <w:lang w:val="en-AU" w:eastAsia="en-US"/>
              </w:rPr>
            </w:pPr>
          </w:p>
        </w:tc>
        <w:tc>
          <w:tcPr>
            <w:tcW w:w="416" w:type="pct"/>
            <w:tcBorders>
              <w:bottom w:val="single" w:sz="8" w:space="0" w:color="000000" w:themeColor="text1"/>
            </w:tcBorders>
          </w:tcPr>
          <w:p w:rsidR="00B22262" w:rsidRPr="00982C79" w:rsidRDefault="00B22262"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2014 AQC</w:t>
            </w:r>
          </w:p>
        </w:tc>
        <w:tc>
          <w:tcPr>
            <w:tcW w:w="418" w:type="pct"/>
            <w:tcBorders>
              <w:bottom w:val="single" w:sz="8" w:space="0" w:color="000000" w:themeColor="text1"/>
            </w:tcBorders>
            <w:shd w:val="clear" w:color="auto" w:fill="33CC33"/>
            <w:noWrap/>
            <w:vAlign w:val="center"/>
          </w:tcPr>
          <w:p w:rsidR="00B22262" w:rsidRPr="00982C79" w:rsidRDefault="00B22262" w:rsidP="00DE38B8">
            <w:pPr>
              <w:jc w:val="center"/>
              <w:rPr>
                <w:lang w:val="en-AU"/>
              </w:rPr>
            </w:pPr>
            <w:r w:rsidRPr="00982C79">
              <w:rPr>
                <w:lang w:val="en-AU"/>
              </w:rPr>
              <w:t>5</w:t>
            </w:r>
          </w:p>
        </w:tc>
        <w:tc>
          <w:tcPr>
            <w:tcW w:w="415" w:type="pct"/>
            <w:tcBorders>
              <w:bottom w:val="single" w:sz="8" w:space="0" w:color="000000" w:themeColor="text1"/>
            </w:tcBorders>
            <w:shd w:val="clear" w:color="auto" w:fill="FF9900"/>
            <w:noWrap/>
            <w:vAlign w:val="center"/>
          </w:tcPr>
          <w:p w:rsidR="00B22262" w:rsidRPr="00982C79" w:rsidRDefault="00B22262" w:rsidP="00DE38B8">
            <w:pPr>
              <w:jc w:val="center"/>
              <w:rPr>
                <w:lang w:val="en-AU"/>
              </w:rPr>
            </w:pPr>
            <w:r w:rsidRPr="00982C79">
              <w:rPr>
                <w:lang w:val="en-AU"/>
              </w:rPr>
              <w:t>3</w:t>
            </w:r>
          </w:p>
        </w:tc>
        <w:tc>
          <w:tcPr>
            <w:tcW w:w="418" w:type="pct"/>
            <w:tcBorders>
              <w:bottom w:val="single" w:sz="8" w:space="0" w:color="000000" w:themeColor="text1"/>
            </w:tcBorders>
            <w:shd w:val="clear" w:color="auto" w:fill="FF9900"/>
            <w:noWrap/>
            <w:vAlign w:val="center"/>
          </w:tcPr>
          <w:p w:rsidR="00B22262" w:rsidRPr="00982C79" w:rsidRDefault="00B22262" w:rsidP="00DE38B8">
            <w:pPr>
              <w:jc w:val="center"/>
              <w:rPr>
                <w:lang w:val="en-AU"/>
              </w:rPr>
            </w:pPr>
            <w:r w:rsidRPr="00982C79">
              <w:rPr>
                <w:lang w:val="en-AU"/>
              </w:rPr>
              <w:t>3</w:t>
            </w:r>
          </w:p>
        </w:tc>
        <w:tc>
          <w:tcPr>
            <w:tcW w:w="415" w:type="pct"/>
            <w:tcBorders>
              <w:bottom w:val="single" w:sz="8" w:space="0" w:color="000000" w:themeColor="text1"/>
            </w:tcBorders>
            <w:shd w:val="clear" w:color="auto" w:fill="33CC33"/>
            <w:noWrap/>
            <w:vAlign w:val="center"/>
          </w:tcPr>
          <w:p w:rsidR="00B22262" w:rsidRPr="00982C79" w:rsidRDefault="00B22262" w:rsidP="00DE38B8">
            <w:pPr>
              <w:jc w:val="center"/>
              <w:rPr>
                <w:lang w:val="en-AU"/>
              </w:rPr>
            </w:pPr>
            <w:r w:rsidRPr="00982C79">
              <w:rPr>
                <w:lang w:val="en-AU"/>
              </w:rPr>
              <w:t>5</w:t>
            </w:r>
          </w:p>
        </w:tc>
        <w:tc>
          <w:tcPr>
            <w:tcW w:w="418" w:type="pct"/>
            <w:tcBorders>
              <w:bottom w:val="single" w:sz="8" w:space="0" w:color="000000" w:themeColor="text1"/>
            </w:tcBorders>
            <w:shd w:val="clear" w:color="auto" w:fill="FFFF00"/>
            <w:noWrap/>
            <w:vAlign w:val="center"/>
          </w:tcPr>
          <w:p w:rsidR="00B22262" w:rsidRPr="00982C79" w:rsidRDefault="00B22262" w:rsidP="00DE38B8">
            <w:pPr>
              <w:jc w:val="center"/>
              <w:rPr>
                <w:lang w:val="en-AU"/>
              </w:rPr>
            </w:pPr>
            <w:r w:rsidRPr="00982C79">
              <w:rPr>
                <w:lang w:val="en-AU"/>
              </w:rPr>
              <w:t>4</w:t>
            </w:r>
          </w:p>
        </w:tc>
        <w:tc>
          <w:tcPr>
            <w:tcW w:w="415" w:type="pct"/>
            <w:tcBorders>
              <w:bottom w:val="single" w:sz="8" w:space="0" w:color="000000" w:themeColor="text1"/>
            </w:tcBorders>
            <w:shd w:val="clear" w:color="auto" w:fill="FFFF00"/>
            <w:noWrap/>
            <w:vAlign w:val="center"/>
          </w:tcPr>
          <w:p w:rsidR="00B22262" w:rsidRPr="00982C79" w:rsidRDefault="00B22262" w:rsidP="00DE38B8">
            <w:pPr>
              <w:jc w:val="center"/>
              <w:rPr>
                <w:lang w:val="en-AU"/>
              </w:rPr>
            </w:pPr>
            <w:r w:rsidRPr="00982C79">
              <w:rPr>
                <w:lang w:val="en-AU"/>
              </w:rPr>
              <w:t>4</w:t>
            </w:r>
          </w:p>
        </w:tc>
        <w:tc>
          <w:tcPr>
            <w:tcW w:w="412" w:type="pct"/>
            <w:tcBorders>
              <w:bottom w:val="single" w:sz="8" w:space="0" w:color="000000" w:themeColor="text1"/>
            </w:tcBorders>
            <w:shd w:val="clear" w:color="auto" w:fill="FFFF00"/>
            <w:vAlign w:val="center"/>
          </w:tcPr>
          <w:p w:rsidR="00B22262" w:rsidRPr="00982C79" w:rsidRDefault="00B22262" w:rsidP="00DE38B8">
            <w:pPr>
              <w:jc w:val="center"/>
              <w:rPr>
                <w:lang w:val="en-AU"/>
              </w:rPr>
            </w:pPr>
            <w:r w:rsidRPr="00982C79">
              <w:rPr>
                <w:lang w:val="en-AU"/>
              </w:rPr>
              <w:t>4</w:t>
            </w:r>
          </w:p>
        </w:tc>
      </w:tr>
      <w:tr w:rsidR="00B22262" w:rsidRPr="00982C79" w:rsidTr="003D7AB7">
        <w:trPr>
          <w:cnfStyle w:val="000000010000" w:firstRow="0" w:lastRow="0" w:firstColumn="0" w:lastColumn="0" w:oddVBand="0" w:evenVBand="0" w:oddHBand="0" w:evenHBand="1" w:firstRowFirstColumn="0" w:firstRowLastColumn="0" w:lastRowFirstColumn="0" w:lastRowLastColumn="0"/>
          <w:trHeight w:val="284"/>
        </w:trPr>
        <w:tc>
          <w:tcPr>
            <w:tcW w:w="907" w:type="pct"/>
            <w:vMerge w:val="restart"/>
            <w:tcBorders>
              <w:top w:val="single" w:sz="8" w:space="0" w:color="000000" w:themeColor="text1"/>
            </w:tcBorders>
          </w:tcPr>
          <w:p w:rsidR="00B22262" w:rsidRPr="00982C79" w:rsidRDefault="00B22262"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Basic Education School Meals &amp; WATSAN Program</w:t>
            </w:r>
          </w:p>
        </w:tc>
        <w:tc>
          <w:tcPr>
            <w:tcW w:w="659" w:type="pct"/>
            <w:vMerge w:val="restart"/>
            <w:tcBorders>
              <w:top w:val="single" w:sz="8" w:space="0" w:color="000000" w:themeColor="text1"/>
            </w:tcBorders>
          </w:tcPr>
          <w:p w:rsidR="00B22262" w:rsidRPr="00982C79" w:rsidRDefault="00B22262"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$22.1</w:t>
            </w:r>
          </w:p>
          <w:p w:rsidR="00B22262" w:rsidRPr="00982C79" w:rsidRDefault="00B22262"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2012-2018</w:t>
            </w:r>
          </w:p>
        </w:tc>
        <w:tc>
          <w:tcPr>
            <w:tcW w:w="416" w:type="pct"/>
            <w:tcBorders>
              <w:top w:val="single" w:sz="8" w:space="0" w:color="000000" w:themeColor="text1"/>
            </w:tcBorders>
          </w:tcPr>
          <w:p w:rsidR="00B22262" w:rsidRPr="00982C79" w:rsidRDefault="00B22262"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2015 AQC</w:t>
            </w:r>
          </w:p>
        </w:tc>
        <w:tc>
          <w:tcPr>
            <w:tcW w:w="418" w:type="pct"/>
            <w:tcBorders>
              <w:top w:val="single" w:sz="8" w:space="0" w:color="000000" w:themeColor="text1"/>
            </w:tcBorders>
            <w:shd w:val="clear" w:color="auto" w:fill="FFFF00"/>
            <w:noWrap/>
          </w:tcPr>
          <w:p w:rsidR="00B22262" w:rsidRPr="00982C79" w:rsidRDefault="00B22262" w:rsidP="00DE38B8">
            <w:pPr>
              <w:keepLines/>
              <w:spacing w:before="40" w:after="40" w:line="200" w:lineRule="atLeast"/>
              <w:jc w:val="center"/>
              <w:rPr>
                <w:rFonts w:eastAsia="Times New Roman"/>
                <w:iCs/>
                <w:szCs w:val="17"/>
                <w:lang w:val="en-AU" w:eastAsia="en-US"/>
              </w:rPr>
            </w:pPr>
            <w:r w:rsidRPr="00982C79">
              <w:rPr>
                <w:rFonts w:eastAsia="Times New Roman"/>
                <w:iCs/>
                <w:szCs w:val="17"/>
                <w:lang w:val="en-AU" w:eastAsia="en-US"/>
              </w:rPr>
              <w:t>4</w:t>
            </w:r>
          </w:p>
        </w:tc>
        <w:tc>
          <w:tcPr>
            <w:tcW w:w="415" w:type="pct"/>
            <w:tcBorders>
              <w:top w:val="single" w:sz="8" w:space="0" w:color="000000" w:themeColor="text1"/>
            </w:tcBorders>
            <w:shd w:val="clear" w:color="auto" w:fill="FF9900"/>
            <w:noWrap/>
          </w:tcPr>
          <w:p w:rsidR="00B22262" w:rsidRPr="00982C79" w:rsidRDefault="00B22262" w:rsidP="00DE38B8">
            <w:pPr>
              <w:keepLines/>
              <w:spacing w:before="40" w:after="40" w:line="200" w:lineRule="atLeast"/>
              <w:jc w:val="center"/>
              <w:rPr>
                <w:rFonts w:eastAsia="Times New Roman"/>
                <w:iCs/>
                <w:szCs w:val="17"/>
                <w:lang w:val="en-AU" w:eastAsia="en-US"/>
              </w:rPr>
            </w:pPr>
            <w:r w:rsidRPr="00982C79">
              <w:rPr>
                <w:rFonts w:eastAsia="Times New Roman"/>
                <w:iCs/>
                <w:szCs w:val="17"/>
                <w:lang w:val="en-AU" w:eastAsia="en-US"/>
              </w:rPr>
              <w:t>3</w:t>
            </w:r>
          </w:p>
        </w:tc>
        <w:tc>
          <w:tcPr>
            <w:tcW w:w="418" w:type="pct"/>
            <w:tcBorders>
              <w:top w:val="single" w:sz="8" w:space="0" w:color="000000" w:themeColor="text1"/>
            </w:tcBorders>
            <w:shd w:val="clear" w:color="auto" w:fill="FFFF00"/>
            <w:noWrap/>
          </w:tcPr>
          <w:p w:rsidR="00B22262" w:rsidRPr="00982C79" w:rsidRDefault="00B22262" w:rsidP="00DE38B8">
            <w:pPr>
              <w:keepLines/>
              <w:spacing w:before="40" w:after="40" w:line="200" w:lineRule="atLeast"/>
              <w:jc w:val="center"/>
              <w:rPr>
                <w:rFonts w:eastAsia="Times New Roman"/>
                <w:iCs/>
                <w:szCs w:val="17"/>
                <w:lang w:val="en-AU" w:eastAsia="en-US"/>
              </w:rPr>
            </w:pPr>
            <w:r w:rsidRPr="00982C79">
              <w:rPr>
                <w:rFonts w:eastAsia="Times New Roman"/>
                <w:iCs/>
                <w:szCs w:val="17"/>
                <w:lang w:val="en-AU" w:eastAsia="en-US"/>
              </w:rPr>
              <w:t>4</w:t>
            </w:r>
          </w:p>
        </w:tc>
        <w:tc>
          <w:tcPr>
            <w:tcW w:w="415" w:type="pct"/>
            <w:tcBorders>
              <w:top w:val="single" w:sz="8" w:space="0" w:color="000000" w:themeColor="text1"/>
            </w:tcBorders>
            <w:shd w:val="clear" w:color="auto" w:fill="FFFF00"/>
            <w:noWrap/>
          </w:tcPr>
          <w:p w:rsidR="00B22262" w:rsidRPr="00982C79" w:rsidRDefault="00B22262" w:rsidP="00DE38B8">
            <w:pPr>
              <w:keepLines/>
              <w:spacing w:before="40" w:after="40" w:line="200" w:lineRule="atLeast"/>
              <w:jc w:val="center"/>
              <w:rPr>
                <w:rFonts w:eastAsia="Times New Roman"/>
                <w:iCs/>
                <w:szCs w:val="17"/>
                <w:lang w:val="en-AU" w:eastAsia="en-US"/>
              </w:rPr>
            </w:pPr>
            <w:r w:rsidRPr="00982C79">
              <w:rPr>
                <w:rFonts w:eastAsia="Times New Roman"/>
                <w:iCs/>
                <w:szCs w:val="17"/>
                <w:lang w:val="en-AU" w:eastAsia="en-US"/>
              </w:rPr>
              <w:t>4</w:t>
            </w:r>
          </w:p>
        </w:tc>
        <w:tc>
          <w:tcPr>
            <w:tcW w:w="418" w:type="pct"/>
            <w:tcBorders>
              <w:top w:val="single" w:sz="8" w:space="0" w:color="000000" w:themeColor="text1"/>
            </w:tcBorders>
            <w:shd w:val="clear" w:color="auto" w:fill="FF9900"/>
            <w:noWrap/>
          </w:tcPr>
          <w:p w:rsidR="00B22262" w:rsidRPr="00982C79" w:rsidRDefault="00B22262" w:rsidP="00DE38B8">
            <w:pPr>
              <w:keepLines/>
              <w:spacing w:before="40" w:after="40" w:line="200" w:lineRule="atLeast"/>
              <w:jc w:val="center"/>
              <w:rPr>
                <w:rFonts w:eastAsia="Times New Roman"/>
                <w:iCs/>
                <w:szCs w:val="17"/>
                <w:lang w:val="en-AU" w:eastAsia="en-US"/>
              </w:rPr>
            </w:pPr>
            <w:r w:rsidRPr="00982C79">
              <w:rPr>
                <w:rFonts w:eastAsia="Times New Roman"/>
                <w:iCs/>
                <w:szCs w:val="17"/>
                <w:lang w:val="en-AU" w:eastAsia="en-US"/>
              </w:rPr>
              <w:t>3</w:t>
            </w:r>
          </w:p>
        </w:tc>
        <w:tc>
          <w:tcPr>
            <w:tcW w:w="415" w:type="pct"/>
            <w:tcBorders>
              <w:top w:val="single" w:sz="8" w:space="0" w:color="000000" w:themeColor="text1"/>
            </w:tcBorders>
            <w:shd w:val="clear" w:color="auto" w:fill="FFFF00"/>
            <w:noWrap/>
          </w:tcPr>
          <w:p w:rsidR="00B22262" w:rsidRPr="00982C79" w:rsidRDefault="00B22262" w:rsidP="00DE38B8">
            <w:pPr>
              <w:keepLines/>
              <w:spacing w:before="40" w:after="40" w:line="200" w:lineRule="atLeast"/>
              <w:jc w:val="center"/>
              <w:rPr>
                <w:rFonts w:eastAsia="Times New Roman"/>
                <w:iCs/>
                <w:szCs w:val="17"/>
                <w:lang w:val="en-AU" w:eastAsia="en-US"/>
              </w:rPr>
            </w:pPr>
            <w:r w:rsidRPr="00982C79">
              <w:rPr>
                <w:rFonts w:eastAsia="Times New Roman"/>
                <w:iCs/>
                <w:szCs w:val="17"/>
                <w:lang w:val="en-AU" w:eastAsia="en-US"/>
              </w:rPr>
              <w:t>4</w:t>
            </w:r>
          </w:p>
        </w:tc>
        <w:tc>
          <w:tcPr>
            <w:tcW w:w="412" w:type="pct"/>
            <w:tcBorders>
              <w:top w:val="single" w:sz="8" w:space="0" w:color="000000" w:themeColor="text1"/>
            </w:tcBorders>
            <w:shd w:val="clear" w:color="auto" w:fill="FFFF00"/>
          </w:tcPr>
          <w:p w:rsidR="00B22262" w:rsidRPr="00982C79" w:rsidRDefault="00B22262" w:rsidP="00DE38B8">
            <w:pPr>
              <w:keepLines/>
              <w:spacing w:before="40" w:after="40" w:line="200" w:lineRule="atLeast"/>
              <w:jc w:val="center"/>
              <w:rPr>
                <w:rFonts w:eastAsia="Times New Roman"/>
                <w:iCs/>
                <w:szCs w:val="17"/>
                <w:lang w:val="en-AU" w:eastAsia="en-US"/>
              </w:rPr>
            </w:pPr>
            <w:r w:rsidRPr="00982C79">
              <w:rPr>
                <w:rFonts w:eastAsia="Times New Roman"/>
                <w:iCs/>
                <w:szCs w:val="17"/>
                <w:lang w:val="en-AU" w:eastAsia="en-US"/>
              </w:rPr>
              <w:t>4</w:t>
            </w:r>
          </w:p>
        </w:tc>
      </w:tr>
      <w:tr w:rsidR="00B22262" w:rsidRPr="00982C79" w:rsidTr="003D7AB7">
        <w:trPr>
          <w:cnfStyle w:val="000000010000" w:firstRow="0" w:lastRow="0" w:firstColumn="0" w:lastColumn="0" w:oddVBand="0" w:evenVBand="0" w:oddHBand="0" w:evenHBand="1" w:firstRowFirstColumn="0" w:firstRowLastColumn="0" w:lastRowFirstColumn="0" w:lastRowLastColumn="0"/>
          <w:trHeight w:val="284"/>
        </w:trPr>
        <w:tc>
          <w:tcPr>
            <w:tcW w:w="907" w:type="pct"/>
            <w:vMerge/>
            <w:tcBorders>
              <w:bottom w:val="single" w:sz="8" w:space="0" w:color="000000" w:themeColor="text1"/>
            </w:tcBorders>
          </w:tcPr>
          <w:p w:rsidR="00B22262" w:rsidRPr="00982C79" w:rsidRDefault="00B22262" w:rsidP="00DE38B8">
            <w:pPr>
              <w:keepLines/>
              <w:spacing w:before="40" w:after="40" w:line="200" w:lineRule="atLeast"/>
              <w:rPr>
                <w:rFonts w:eastAsia="Times New Roman"/>
                <w:iCs/>
                <w:szCs w:val="17"/>
                <w:lang w:val="en-AU" w:eastAsia="en-US"/>
              </w:rPr>
            </w:pPr>
          </w:p>
        </w:tc>
        <w:tc>
          <w:tcPr>
            <w:tcW w:w="659" w:type="pct"/>
            <w:vMerge/>
            <w:tcBorders>
              <w:bottom w:val="single" w:sz="8" w:space="0" w:color="000000" w:themeColor="text1"/>
            </w:tcBorders>
          </w:tcPr>
          <w:p w:rsidR="00B22262" w:rsidRPr="00982C79" w:rsidRDefault="00B22262" w:rsidP="00DE38B8">
            <w:pPr>
              <w:keepLines/>
              <w:spacing w:before="40" w:after="40" w:line="200" w:lineRule="atLeast"/>
              <w:rPr>
                <w:rFonts w:eastAsia="Times New Roman"/>
                <w:iCs/>
                <w:szCs w:val="17"/>
                <w:lang w:val="en-AU" w:eastAsia="en-US"/>
              </w:rPr>
            </w:pPr>
          </w:p>
        </w:tc>
        <w:tc>
          <w:tcPr>
            <w:tcW w:w="416" w:type="pct"/>
            <w:tcBorders>
              <w:bottom w:val="single" w:sz="8" w:space="0" w:color="000000" w:themeColor="text1"/>
            </w:tcBorders>
          </w:tcPr>
          <w:p w:rsidR="00B22262" w:rsidRPr="00982C79" w:rsidRDefault="00B22262"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2014 AQC</w:t>
            </w:r>
          </w:p>
        </w:tc>
        <w:tc>
          <w:tcPr>
            <w:tcW w:w="418" w:type="pct"/>
            <w:tcBorders>
              <w:bottom w:val="single" w:sz="8" w:space="0" w:color="000000" w:themeColor="text1"/>
            </w:tcBorders>
            <w:shd w:val="clear" w:color="auto" w:fill="FFFF00"/>
            <w:noWrap/>
          </w:tcPr>
          <w:p w:rsidR="00B22262" w:rsidRPr="00982C79" w:rsidRDefault="00B22262" w:rsidP="00DE38B8">
            <w:pPr>
              <w:keepLines/>
              <w:spacing w:before="40" w:after="40" w:line="200" w:lineRule="atLeast"/>
              <w:jc w:val="center"/>
              <w:rPr>
                <w:rFonts w:eastAsia="Times New Roman"/>
                <w:iCs/>
                <w:szCs w:val="17"/>
                <w:lang w:val="en-AU" w:eastAsia="en-US"/>
              </w:rPr>
            </w:pPr>
            <w:r w:rsidRPr="00982C79">
              <w:rPr>
                <w:rFonts w:eastAsia="Times New Roman"/>
                <w:iCs/>
                <w:szCs w:val="17"/>
                <w:lang w:val="en-AU" w:eastAsia="en-US"/>
              </w:rPr>
              <w:t>4</w:t>
            </w:r>
          </w:p>
        </w:tc>
        <w:tc>
          <w:tcPr>
            <w:tcW w:w="415" w:type="pct"/>
            <w:tcBorders>
              <w:bottom w:val="single" w:sz="8" w:space="0" w:color="000000" w:themeColor="text1"/>
            </w:tcBorders>
            <w:shd w:val="clear" w:color="auto" w:fill="FF9900"/>
            <w:noWrap/>
          </w:tcPr>
          <w:p w:rsidR="00B22262" w:rsidRPr="00982C79" w:rsidRDefault="00B22262" w:rsidP="00DE38B8">
            <w:pPr>
              <w:keepLines/>
              <w:spacing w:before="40" w:after="40" w:line="200" w:lineRule="atLeast"/>
              <w:jc w:val="center"/>
              <w:rPr>
                <w:rFonts w:eastAsia="Times New Roman"/>
                <w:iCs/>
                <w:szCs w:val="17"/>
                <w:lang w:val="en-AU" w:eastAsia="en-US"/>
              </w:rPr>
            </w:pPr>
            <w:r w:rsidRPr="00982C79">
              <w:rPr>
                <w:rFonts w:eastAsia="Times New Roman"/>
                <w:iCs/>
                <w:szCs w:val="17"/>
                <w:lang w:val="en-AU" w:eastAsia="en-US"/>
              </w:rPr>
              <w:t>3</w:t>
            </w:r>
          </w:p>
        </w:tc>
        <w:tc>
          <w:tcPr>
            <w:tcW w:w="418" w:type="pct"/>
            <w:tcBorders>
              <w:bottom w:val="single" w:sz="8" w:space="0" w:color="000000" w:themeColor="text1"/>
            </w:tcBorders>
            <w:shd w:val="clear" w:color="auto" w:fill="FFFF00"/>
            <w:noWrap/>
          </w:tcPr>
          <w:p w:rsidR="00B22262" w:rsidRPr="00982C79" w:rsidRDefault="00B22262" w:rsidP="00DE38B8">
            <w:pPr>
              <w:keepLines/>
              <w:spacing w:before="40" w:after="40" w:line="200" w:lineRule="atLeast"/>
              <w:jc w:val="center"/>
              <w:rPr>
                <w:rFonts w:eastAsia="Times New Roman"/>
                <w:iCs/>
                <w:szCs w:val="17"/>
                <w:lang w:val="en-AU" w:eastAsia="en-US"/>
              </w:rPr>
            </w:pPr>
            <w:r w:rsidRPr="00982C79">
              <w:rPr>
                <w:rFonts w:eastAsia="Times New Roman"/>
                <w:iCs/>
                <w:szCs w:val="17"/>
                <w:lang w:val="en-AU" w:eastAsia="en-US"/>
              </w:rPr>
              <w:t>4</w:t>
            </w:r>
          </w:p>
        </w:tc>
        <w:tc>
          <w:tcPr>
            <w:tcW w:w="415" w:type="pct"/>
            <w:tcBorders>
              <w:bottom w:val="single" w:sz="8" w:space="0" w:color="000000" w:themeColor="text1"/>
            </w:tcBorders>
            <w:shd w:val="clear" w:color="auto" w:fill="FF9900"/>
            <w:noWrap/>
          </w:tcPr>
          <w:p w:rsidR="00B22262" w:rsidRPr="00982C79" w:rsidRDefault="00B22262" w:rsidP="00DE38B8">
            <w:pPr>
              <w:keepLines/>
              <w:spacing w:before="40" w:after="40" w:line="200" w:lineRule="atLeast"/>
              <w:jc w:val="center"/>
              <w:rPr>
                <w:rFonts w:eastAsia="Times New Roman"/>
                <w:iCs/>
                <w:szCs w:val="17"/>
                <w:lang w:val="en-AU" w:eastAsia="en-US"/>
              </w:rPr>
            </w:pPr>
            <w:r w:rsidRPr="00982C79">
              <w:rPr>
                <w:rFonts w:eastAsia="Times New Roman"/>
                <w:iCs/>
                <w:szCs w:val="17"/>
                <w:lang w:val="en-AU" w:eastAsia="en-US"/>
              </w:rPr>
              <w:t>3</w:t>
            </w:r>
          </w:p>
        </w:tc>
        <w:tc>
          <w:tcPr>
            <w:tcW w:w="418" w:type="pct"/>
            <w:tcBorders>
              <w:bottom w:val="single" w:sz="8" w:space="0" w:color="000000" w:themeColor="text1"/>
            </w:tcBorders>
            <w:shd w:val="clear" w:color="auto" w:fill="FF9900"/>
            <w:noWrap/>
          </w:tcPr>
          <w:p w:rsidR="00B22262" w:rsidRPr="00982C79" w:rsidRDefault="00B22262" w:rsidP="00DE38B8">
            <w:pPr>
              <w:keepLines/>
              <w:spacing w:before="40" w:after="40" w:line="200" w:lineRule="atLeast"/>
              <w:jc w:val="center"/>
              <w:rPr>
                <w:rFonts w:eastAsia="Times New Roman"/>
                <w:iCs/>
                <w:szCs w:val="17"/>
                <w:lang w:val="en-AU" w:eastAsia="en-US"/>
              </w:rPr>
            </w:pPr>
            <w:r w:rsidRPr="00982C79">
              <w:rPr>
                <w:rFonts w:eastAsia="Times New Roman"/>
                <w:iCs/>
                <w:szCs w:val="17"/>
                <w:lang w:val="en-AU" w:eastAsia="en-US"/>
              </w:rPr>
              <w:t>3</w:t>
            </w:r>
          </w:p>
        </w:tc>
        <w:tc>
          <w:tcPr>
            <w:tcW w:w="415" w:type="pct"/>
            <w:tcBorders>
              <w:bottom w:val="single" w:sz="8" w:space="0" w:color="000000" w:themeColor="text1"/>
            </w:tcBorders>
            <w:shd w:val="clear" w:color="auto" w:fill="FFFF00"/>
            <w:noWrap/>
          </w:tcPr>
          <w:p w:rsidR="00B22262" w:rsidRPr="00982C79" w:rsidRDefault="00B22262" w:rsidP="00DE38B8">
            <w:pPr>
              <w:keepLines/>
              <w:spacing w:before="40" w:after="40" w:line="200" w:lineRule="atLeast"/>
              <w:jc w:val="center"/>
              <w:rPr>
                <w:rFonts w:eastAsia="Times New Roman"/>
                <w:iCs/>
                <w:szCs w:val="17"/>
                <w:lang w:val="en-AU" w:eastAsia="en-US"/>
              </w:rPr>
            </w:pPr>
            <w:r w:rsidRPr="00982C79">
              <w:rPr>
                <w:rFonts w:eastAsia="Times New Roman"/>
                <w:iCs/>
                <w:szCs w:val="17"/>
                <w:lang w:val="en-AU" w:eastAsia="en-US"/>
              </w:rPr>
              <w:t>4</w:t>
            </w:r>
          </w:p>
        </w:tc>
        <w:tc>
          <w:tcPr>
            <w:tcW w:w="412" w:type="pct"/>
            <w:tcBorders>
              <w:bottom w:val="single" w:sz="8" w:space="0" w:color="000000" w:themeColor="text1"/>
            </w:tcBorders>
            <w:shd w:val="clear" w:color="auto" w:fill="FFFF00"/>
          </w:tcPr>
          <w:p w:rsidR="00B22262" w:rsidRPr="00982C79" w:rsidRDefault="00B22262" w:rsidP="00DE38B8">
            <w:pPr>
              <w:keepLines/>
              <w:spacing w:before="40" w:after="40" w:line="200" w:lineRule="atLeast"/>
              <w:jc w:val="center"/>
              <w:rPr>
                <w:rFonts w:eastAsia="Times New Roman"/>
                <w:iCs/>
                <w:szCs w:val="17"/>
                <w:lang w:val="en-AU" w:eastAsia="en-US"/>
              </w:rPr>
            </w:pPr>
            <w:r w:rsidRPr="00982C79">
              <w:rPr>
                <w:rFonts w:eastAsia="Times New Roman"/>
                <w:iCs/>
                <w:szCs w:val="17"/>
                <w:lang w:val="en-AU" w:eastAsia="en-US"/>
              </w:rPr>
              <w:t>4</w:t>
            </w:r>
          </w:p>
        </w:tc>
      </w:tr>
      <w:tr w:rsidR="00B22262" w:rsidRPr="00982C79" w:rsidTr="003D7AB7">
        <w:trPr>
          <w:cnfStyle w:val="000000010000" w:firstRow="0" w:lastRow="0" w:firstColumn="0" w:lastColumn="0" w:oddVBand="0" w:evenVBand="0" w:oddHBand="0" w:evenHBand="1" w:firstRowFirstColumn="0" w:firstRowLastColumn="0" w:lastRowFirstColumn="0" w:lastRowLastColumn="0"/>
          <w:trHeight w:val="284"/>
        </w:trPr>
        <w:tc>
          <w:tcPr>
            <w:tcW w:w="907" w:type="pct"/>
            <w:vMerge w:val="restart"/>
            <w:tcBorders>
              <w:top w:val="single" w:sz="8" w:space="0" w:color="000000" w:themeColor="text1"/>
            </w:tcBorders>
          </w:tcPr>
          <w:p w:rsidR="00B22262" w:rsidRPr="00982C79" w:rsidRDefault="00B22262"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Trade Development Facility II</w:t>
            </w:r>
          </w:p>
        </w:tc>
        <w:tc>
          <w:tcPr>
            <w:tcW w:w="659" w:type="pct"/>
            <w:vMerge w:val="restart"/>
            <w:tcBorders>
              <w:top w:val="single" w:sz="8" w:space="0" w:color="000000" w:themeColor="text1"/>
            </w:tcBorders>
          </w:tcPr>
          <w:p w:rsidR="00B22262" w:rsidRPr="00982C79" w:rsidRDefault="00B22262"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$9.1 million</w:t>
            </w:r>
          </w:p>
          <w:p w:rsidR="00B22262" w:rsidRPr="00982C79" w:rsidRDefault="00B22262"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2013-2019</w:t>
            </w:r>
          </w:p>
        </w:tc>
        <w:tc>
          <w:tcPr>
            <w:tcW w:w="416" w:type="pct"/>
            <w:tcBorders>
              <w:top w:val="single" w:sz="8" w:space="0" w:color="000000" w:themeColor="text1"/>
            </w:tcBorders>
          </w:tcPr>
          <w:p w:rsidR="00B22262" w:rsidRPr="00982C79" w:rsidRDefault="00B22262"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2015 AQC</w:t>
            </w:r>
          </w:p>
        </w:tc>
        <w:tc>
          <w:tcPr>
            <w:tcW w:w="418" w:type="pct"/>
            <w:tcBorders>
              <w:top w:val="single" w:sz="8" w:space="0" w:color="000000" w:themeColor="text1"/>
            </w:tcBorders>
            <w:shd w:val="clear" w:color="auto" w:fill="33CC33"/>
            <w:noWrap/>
            <w:vAlign w:val="center"/>
          </w:tcPr>
          <w:p w:rsidR="00B22262" w:rsidRPr="00982C79" w:rsidRDefault="00B22262" w:rsidP="00DE38B8">
            <w:pPr>
              <w:jc w:val="center"/>
              <w:rPr>
                <w:lang w:val="en-AU"/>
              </w:rPr>
            </w:pPr>
            <w:r w:rsidRPr="00982C79">
              <w:rPr>
                <w:lang w:val="en-AU"/>
              </w:rPr>
              <w:t>5</w:t>
            </w:r>
          </w:p>
        </w:tc>
        <w:tc>
          <w:tcPr>
            <w:tcW w:w="415" w:type="pct"/>
            <w:tcBorders>
              <w:top w:val="single" w:sz="8" w:space="0" w:color="000000" w:themeColor="text1"/>
            </w:tcBorders>
            <w:shd w:val="clear" w:color="auto" w:fill="FFFF00"/>
            <w:noWrap/>
            <w:vAlign w:val="center"/>
          </w:tcPr>
          <w:p w:rsidR="00B22262" w:rsidRPr="00982C79" w:rsidRDefault="00B22262" w:rsidP="00DE38B8">
            <w:pPr>
              <w:jc w:val="center"/>
              <w:rPr>
                <w:lang w:val="en-AU"/>
              </w:rPr>
            </w:pPr>
            <w:r w:rsidRPr="00982C79">
              <w:rPr>
                <w:lang w:val="en-AU"/>
              </w:rPr>
              <w:t>4</w:t>
            </w:r>
          </w:p>
        </w:tc>
        <w:tc>
          <w:tcPr>
            <w:tcW w:w="418" w:type="pct"/>
            <w:tcBorders>
              <w:top w:val="single" w:sz="8" w:space="0" w:color="000000" w:themeColor="text1"/>
            </w:tcBorders>
            <w:shd w:val="clear" w:color="auto" w:fill="FFFF00"/>
            <w:noWrap/>
            <w:vAlign w:val="center"/>
          </w:tcPr>
          <w:p w:rsidR="00B22262" w:rsidRPr="00982C79" w:rsidRDefault="00B22262" w:rsidP="00DE38B8">
            <w:pPr>
              <w:jc w:val="center"/>
              <w:rPr>
                <w:lang w:val="en-AU"/>
              </w:rPr>
            </w:pPr>
            <w:r w:rsidRPr="00982C79">
              <w:rPr>
                <w:lang w:val="en-AU"/>
              </w:rPr>
              <w:t>4</w:t>
            </w:r>
          </w:p>
        </w:tc>
        <w:tc>
          <w:tcPr>
            <w:tcW w:w="415" w:type="pct"/>
            <w:tcBorders>
              <w:top w:val="single" w:sz="8" w:space="0" w:color="000000" w:themeColor="text1"/>
            </w:tcBorders>
            <w:shd w:val="clear" w:color="auto" w:fill="FFFF00"/>
            <w:noWrap/>
            <w:vAlign w:val="center"/>
          </w:tcPr>
          <w:p w:rsidR="00B22262" w:rsidRPr="00982C79" w:rsidRDefault="00B22262" w:rsidP="00DE38B8">
            <w:pPr>
              <w:jc w:val="center"/>
              <w:rPr>
                <w:lang w:val="en-AU"/>
              </w:rPr>
            </w:pPr>
            <w:r w:rsidRPr="00982C79">
              <w:rPr>
                <w:lang w:val="en-AU"/>
              </w:rPr>
              <w:t>4</w:t>
            </w:r>
          </w:p>
        </w:tc>
        <w:tc>
          <w:tcPr>
            <w:tcW w:w="418" w:type="pct"/>
            <w:tcBorders>
              <w:top w:val="single" w:sz="8" w:space="0" w:color="000000" w:themeColor="text1"/>
            </w:tcBorders>
            <w:shd w:val="clear" w:color="auto" w:fill="FFFF00"/>
            <w:noWrap/>
            <w:vAlign w:val="center"/>
          </w:tcPr>
          <w:p w:rsidR="00B22262" w:rsidRPr="00982C79" w:rsidRDefault="00B22262" w:rsidP="00DE38B8">
            <w:pPr>
              <w:jc w:val="center"/>
              <w:rPr>
                <w:lang w:val="en-AU"/>
              </w:rPr>
            </w:pPr>
            <w:r w:rsidRPr="00982C79">
              <w:rPr>
                <w:lang w:val="en-AU"/>
              </w:rPr>
              <w:t>4</w:t>
            </w:r>
          </w:p>
        </w:tc>
        <w:tc>
          <w:tcPr>
            <w:tcW w:w="415" w:type="pct"/>
            <w:tcBorders>
              <w:top w:val="single" w:sz="8" w:space="0" w:color="000000" w:themeColor="text1"/>
            </w:tcBorders>
            <w:shd w:val="clear" w:color="auto" w:fill="FFFF00"/>
            <w:noWrap/>
            <w:vAlign w:val="center"/>
          </w:tcPr>
          <w:p w:rsidR="00B22262" w:rsidRPr="00982C79" w:rsidRDefault="00B22262" w:rsidP="00DE38B8">
            <w:pPr>
              <w:jc w:val="center"/>
              <w:rPr>
                <w:lang w:val="en-AU"/>
              </w:rPr>
            </w:pPr>
            <w:r w:rsidRPr="00982C79">
              <w:rPr>
                <w:lang w:val="en-AU"/>
              </w:rPr>
              <w:t>4</w:t>
            </w:r>
          </w:p>
        </w:tc>
        <w:tc>
          <w:tcPr>
            <w:tcW w:w="412" w:type="pct"/>
            <w:tcBorders>
              <w:top w:val="single" w:sz="8" w:space="0" w:color="000000" w:themeColor="text1"/>
            </w:tcBorders>
            <w:shd w:val="clear" w:color="auto" w:fill="FFFF00"/>
            <w:vAlign w:val="center"/>
          </w:tcPr>
          <w:p w:rsidR="00B22262" w:rsidRPr="00982C79" w:rsidRDefault="00B22262" w:rsidP="00DE38B8">
            <w:pPr>
              <w:jc w:val="center"/>
              <w:rPr>
                <w:lang w:val="en-AU"/>
              </w:rPr>
            </w:pPr>
            <w:r w:rsidRPr="00982C79">
              <w:rPr>
                <w:lang w:val="en-AU"/>
              </w:rPr>
              <w:t>4</w:t>
            </w:r>
          </w:p>
        </w:tc>
      </w:tr>
      <w:tr w:rsidR="00B22262" w:rsidRPr="00982C79" w:rsidTr="003D7AB7">
        <w:trPr>
          <w:cnfStyle w:val="000000010000" w:firstRow="0" w:lastRow="0" w:firstColumn="0" w:lastColumn="0" w:oddVBand="0" w:evenVBand="0" w:oddHBand="0" w:evenHBand="1" w:firstRowFirstColumn="0" w:firstRowLastColumn="0" w:lastRowFirstColumn="0" w:lastRowLastColumn="0"/>
          <w:trHeight w:val="284"/>
        </w:trPr>
        <w:tc>
          <w:tcPr>
            <w:tcW w:w="907" w:type="pct"/>
            <w:vMerge/>
            <w:tcBorders>
              <w:bottom w:val="single" w:sz="8" w:space="0" w:color="000000" w:themeColor="text1"/>
            </w:tcBorders>
          </w:tcPr>
          <w:p w:rsidR="00B22262" w:rsidRPr="00982C79" w:rsidRDefault="00B22262" w:rsidP="00DE38B8">
            <w:pPr>
              <w:keepLines/>
              <w:spacing w:before="40" w:after="40" w:line="200" w:lineRule="atLeast"/>
              <w:rPr>
                <w:rFonts w:eastAsia="Times New Roman"/>
                <w:iCs/>
                <w:szCs w:val="17"/>
                <w:lang w:val="en-AU" w:eastAsia="en-US"/>
              </w:rPr>
            </w:pPr>
          </w:p>
        </w:tc>
        <w:tc>
          <w:tcPr>
            <w:tcW w:w="659" w:type="pct"/>
            <w:vMerge/>
            <w:tcBorders>
              <w:bottom w:val="single" w:sz="8" w:space="0" w:color="000000" w:themeColor="text1"/>
            </w:tcBorders>
          </w:tcPr>
          <w:p w:rsidR="00B22262" w:rsidRPr="00982C79" w:rsidRDefault="00B22262" w:rsidP="00DE38B8">
            <w:pPr>
              <w:keepLines/>
              <w:spacing w:before="40" w:after="40" w:line="200" w:lineRule="atLeast"/>
              <w:rPr>
                <w:rFonts w:eastAsia="Times New Roman"/>
                <w:iCs/>
                <w:szCs w:val="17"/>
                <w:lang w:val="en-AU" w:eastAsia="en-US"/>
              </w:rPr>
            </w:pPr>
          </w:p>
        </w:tc>
        <w:tc>
          <w:tcPr>
            <w:tcW w:w="416" w:type="pct"/>
            <w:tcBorders>
              <w:bottom w:val="single" w:sz="8" w:space="0" w:color="000000" w:themeColor="text1"/>
            </w:tcBorders>
          </w:tcPr>
          <w:p w:rsidR="00B22262" w:rsidRPr="00982C79" w:rsidRDefault="00B22262"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2014 AQC</w:t>
            </w:r>
          </w:p>
        </w:tc>
        <w:tc>
          <w:tcPr>
            <w:tcW w:w="418" w:type="pct"/>
            <w:tcBorders>
              <w:bottom w:val="single" w:sz="8" w:space="0" w:color="000000" w:themeColor="text1"/>
            </w:tcBorders>
            <w:shd w:val="clear" w:color="auto" w:fill="33CC33"/>
            <w:noWrap/>
            <w:vAlign w:val="center"/>
          </w:tcPr>
          <w:p w:rsidR="00B22262" w:rsidRPr="00982C79" w:rsidRDefault="00B22262" w:rsidP="00DE38B8">
            <w:pPr>
              <w:jc w:val="center"/>
              <w:rPr>
                <w:lang w:val="en-AU"/>
              </w:rPr>
            </w:pPr>
            <w:r w:rsidRPr="00982C79">
              <w:rPr>
                <w:lang w:val="en-AU"/>
              </w:rPr>
              <w:t>5</w:t>
            </w:r>
          </w:p>
        </w:tc>
        <w:tc>
          <w:tcPr>
            <w:tcW w:w="415" w:type="pct"/>
            <w:tcBorders>
              <w:bottom w:val="single" w:sz="8" w:space="0" w:color="000000" w:themeColor="text1"/>
            </w:tcBorders>
            <w:shd w:val="clear" w:color="auto" w:fill="FFFF00"/>
            <w:noWrap/>
            <w:vAlign w:val="center"/>
          </w:tcPr>
          <w:p w:rsidR="00B22262" w:rsidRPr="00982C79" w:rsidRDefault="00B22262" w:rsidP="00DE38B8">
            <w:pPr>
              <w:jc w:val="center"/>
              <w:rPr>
                <w:lang w:val="en-AU"/>
              </w:rPr>
            </w:pPr>
            <w:r w:rsidRPr="00982C79">
              <w:rPr>
                <w:lang w:val="en-AU"/>
              </w:rPr>
              <w:t>4</w:t>
            </w:r>
          </w:p>
        </w:tc>
        <w:tc>
          <w:tcPr>
            <w:tcW w:w="418" w:type="pct"/>
            <w:tcBorders>
              <w:bottom w:val="single" w:sz="8" w:space="0" w:color="000000" w:themeColor="text1"/>
            </w:tcBorders>
            <w:shd w:val="clear" w:color="auto" w:fill="FFFF00"/>
            <w:noWrap/>
            <w:vAlign w:val="center"/>
          </w:tcPr>
          <w:p w:rsidR="00B22262" w:rsidRPr="00982C79" w:rsidRDefault="00B22262" w:rsidP="00DE38B8">
            <w:pPr>
              <w:jc w:val="center"/>
              <w:rPr>
                <w:lang w:val="en-AU"/>
              </w:rPr>
            </w:pPr>
            <w:r w:rsidRPr="00982C79">
              <w:rPr>
                <w:lang w:val="en-AU"/>
              </w:rPr>
              <w:t>4</w:t>
            </w:r>
          </w:p>
        </w:tc>
        <w:tc>
          <w:tcPr>
            <w:tcW w:w="415" w:type="pct"/>
            <w:tcBorders>
              <w:bottom w:val="single" w:sz="8" w:space="0" w:color="000000" w:themeColor="text1"/>
            </w:tcBorders>
            <w:shd w:val="clear" w:color="auto" w:fill="FFFF00"/>
            <w:noWrap/>
            <w:vAlign w:val="center"/>
          </w:tcPr>
          <w:p w:rsidR="00B22262" w:rsidRPr="00982C79" w:rsidRDefault="00B22262" w:rsidP="00DE38B8">
            <w:pPr>
              <w:jc w:val="center"/>
              <w:rPr>
                <w:lang w:val="en-AU"/>
              </w:rPr>
            </w:pPr>
            <w:r w:rsidRPr="00982C79">
              <w:rPr>
                <w:lang w:val="en-AU"/>
              </w:rPr>
              <w:t>4</w:t>
            </w:r>
          </w:p>
        </w:tc>
        <w:tc>
          <w:tcPr>
            <w:tcW w:w="418" w:type="pct"/>
            <w:tcBorders>
              <w:bottom w:val="single" w:sz="8" w:space="0" w:color="000000" w:themeColor="text1"/>
            </w:tcBorders>
            <w:shd w:val="clear" w:color="auto" w:fill="FFFF00"/>
            <w:noWrap/>
            <w:vAlign w:val="center"/>
          </w:tcPr>
          <w:p w:rsidR="00B22262" w:rsidRPr="00982C79" w:rsidRDefault="00B22262" w:rsidP="00DE38B8">
            <w:pPr>
              <w:jc w:val="center"/>
              <w:rPr>
                <w:lang w:val="en-AU"/>
              </w:rPr>
            </w:pPr>
            <w:r w:rsidRPr="00982C79">
              <w:rPr>
                <w:lang w:val="en-AU"/>
              </w:rPr>
              <w:t>4</w:t>
            </w:r>
          </w:p>
        </w:tc>
        <w:tc>
          <w:tcPr>
            <w:tcW w:w="415" w:type="pct"/>
            <w:tcBorders>
              <w:bottom w:val="single" w:sz="8" w:space="0" w:color="000000" w:themeColor="text1"/>
            </w:tcBorders>
            <w:shd w:val="clear" w:color="auto" w:fill="FFFF00"/>
            <w:noWrap/>
            <w:vAlign w:val="center"/>
          </w:tcPr>
          <w:p w:rsidR="00B22262" w:rsidRPr="00982C79" w:rsidRDefault="00B22262" w:rsidP="00DE38B8">
            <w:pPr>
              <w:jc w:val="center"/>
              <w:rPr>
                <w:lang w:val="en-AU"/>
              </w:rPr>
            </w:pPr>
            <w:r w:rsidRPr="00982C79">
              <w:rPr>
                <w:lang w:val="en-AU"/>
              </w:rPr>
              <w:t>4</w:t>
            </w:r>
          </w:p>
        </w:tc>
        <w:tc>
          <w:tcPr>
            <w:tcW w:w="412" w:type="pct"/>
            <w:tcBorders>
              <w:bottom w:val="single" w:sz="8" w:space="0" w:color="000000" w:themeColor="text1"/>
            </w:tcBorders>
            <w:shd w:val="clear" w:color="auto" w:fill="FFFF00"/>
            <w:vAlign w:val="center"/>
          </w:tcPr>
          <w:p w:rsidR="00B22262" w:rsidRPr="00982C79" w:rsidRDefault="00B22262" w:rsidP="00DE38B8">
            <w:pPr>
              <w:jc w:val="center"/>
              <w:rPr>
                <w:lang w:val="en-AU"/>
              </w:rPr>
            </w:pPr>
            <w:r w:rsidRPr="00982C79">
              <w:rPr>
                <w:lang w:val="en-AU"/>
              </w:rPr>
              <w:t>4</w:t>
            </w:r>
          </w:p>
        </w:tc>
      </w:tr>
      <w:tr w:rsidR="00B22262" w:rsidRPr="00982C79" w:rsidTr="003D7AB7">
        <w:trPr>
          <w:cnfStyle w:val="000000010000" w:firstRow="0" w:lastRow="0" w:firstColumn="0" w:lastColumn="0" w:oddVBand="0" w:evenVBand="0" w:oddHBand="0" w:evenHBand="1" w:firstRowFirstColumn="0" w:firstRowLastColumn="0" w:lastRowFirstColumn="0" w:lastRowLastColumn="0"/>
          <w:trHeight w:val="284"/>
        </w:trPr>
        <w:tc>
          <w:tcPr>
            <w:tcW w:w="907" w:type="pct"/>
            <w:vMerge w:val="restart"/>
            <w:tcBorders>
              <w:top w:val="single" w:sz="8" w:space="0" w:color="000000" w:themeColor="text1"/>
            </w:tcBorders>
          </w:tcPr>
          <w:p w:rsidR="00B22262" w:rsidRPr="00982C79" w:rsidRDefault="00B22262"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Laos Australia Rural Livelihoods Program</w:t>
            </w:r>
          </w:p>
        </w:tc>
        <w:tc>
          <w:tcPr>
            <w:tcW w:w="659" w:type="pct"/>
            <w:vMerge w:val="restart"/>
            <w:tcBorders>
              <w:top w:val="single" w:sz="8" w:space="0" w:color="000000" w:themeColor="text1"/>
            </w:tcBorders>
          </w:tcPr>
          <w:p w:rsidR="00B22262" w:rsidRPr="00982C79" w:rsidRDefault="00B22262"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$33.2 million</w:t>
            </w:r>
          </w:p>
          <w:p w:rsidR="00B22262" w:rsidRPr="00982C79" w:rsidRDefault="00B22262"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2012-2017</w:t>
            </w:r>
          </w:p>
        </w:tc>
        <w:tc>
          <w:tcPr>
            <w:tcW w:w="416" w:type="pct"/>
            <w:tcBorders>
              <w:top w:val="single" w:sz="8" w:space="0" w:color="000000" w:themeColor="text1"/>
            </w:tcBorders>
          </w:tcPr>
          <w:p w:rsidR="00B22262" w:rsidRPr="00982C79" w:rsidRDefault="00B22262"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2015 AQC</w:t>
            </w:r>
          </w:p>
        </w:tc>
        <w:tc>
          <w:tcPr>
            <w:tcW w:w="418" w:type="pct"/>
            <w:tcBorders>
              <w:top w:val="single" w:sz="8" w:space="0" w:color="000000" w:themeColor="text1"/>
            </w:tcBorders>
            <w:shd w:val="clear" w:color="auto" w:fill="FF9900"/>
            <w:noWrap/>
            <w:vAlign w:val="center"/>
          </w:tcPr>
          <w:p w:rsidR="00B22262" w:rsidRPr="00982C79" w:rsidRDefault="00B22262" w:rsidP="00DE38B8">
            <w:pPr>
              <w:jc w:val="center"/>
              <w:rPr>
                <w:lang w:val="en-AU"/>
              </w:rPr>
            </w:pPr>
            <w:r w:rsidRPr="00982C79">
              <w:rPr>
                <w:lang w:val="en-AU"/>
              </w:rPr>
              <w:t>3</w:t>
            </w:r>
          </w:p>
        </w:tc>
        <w:tc>
          <w:tcPr>
            <w:tcW w:w="415" w:type="pct"/>
            <w:tcBorders>
              <w:top w:val="single" w:sz="8" w:space="0" w:color="000000" w:themeColor="text1"/>
            </w:tcBorders>
            <w:shd w:val="clear" w:color="auto" w:fill="FFFF00"/>
            <w:noWrap/>
            <w:vAlign w:val="center"/>
          </w:tcPr>
          <w:p w:rsidR="00B22262" w:rsidRPr="00982C79" w:rsidRDefault="00B22262" w:rsidP="00DE38B8">
            <w:pPr>
              <w:jc w:val="center"/>
              <w:rPr>
                <w:lang w:val="en-AU"/>
              </w:rPr>
            </w:pPr>
            <w:r w:rsidRPr="00982C79">
              <w:rPr>
                <w:lang w:val="en-AU"/>
              </w:rPr>
              <w:t>4</w:t>
            </w:r>
          </w:p>
        </w:tc>
        <w:tc>
          <w:tcPr>
            <w:tcW w:w="418" w:type="pct"/>
            <w:tcBorders>
              <w:top w:val="single" w:sz="8" w:space="0" w:color="000000" w:themeColor="text1"/>
            </w:tcBorders>
            <w:shd w:val="clear" w:color="auto" w:fill="FF9900"/>
            <w:noWrap/>
            <w:vAlign w:val="center"/>
          </w:tcPr>
          <w:p w:rsidR="00B22262" w:rsidRPr="00982C79" w:rsidRDefault="00B22262" w:rsidP="00DE38B8">
            <w:pPr>
              <w:jc w:val="center"/>
              <w:rPr>
                <w:lang w:val="en-AU"/>
              </w:rPr>
            </w:pPr>
            <w:r w:rsidRPr="00982C79">
              <w:rPr>
                <w:lang w:val="en-AU"/>
              </w:rPr>
              <w:t>3</w:t>
            </w:r>
          </w:p>
        </w:tc>
        <w:tc>
          <w:tcPr>
            <w:tcW w:w="415" w:type="pct"/>
            <w:tcBorders>
              <w:top w:val="single" w:sz="8" w:space="0" w:color="000000" w:themeColor="text1"/>
            </w:tcBorders>
            <w:shd w:val="clear" w:color="auto" w:fill="FFFF00"/>
            <w:noWrap/>
            <w:vAlign w:val="center"/>
          </w:tcPr>
          <w:p w:rsidR="00B22262" w:rsidRPr="00982C79" w:rsidRDefault="00B22262" w:rsidP="00DE38B8">
            <w:pPr>
              <w:jc w:val="center"/>
              <w:rPr>
                <w:lang w:val="en-AU"/>
              </w:rPr>
            </w:pPr>
            <w:r w:rsidRPr="00982C79">
              <w:rPr>
                <w:lang w:val="en-AU"/>
              </w:rPr>
              <w:t>4</w:t>
            </w:r>
          </w:p>
        </w:tc>
        <w:tc>
          <w:tcPr>
            <w:tcW w:w="418" w:type="pct"/>
            <w:tcBorders>
              <w:top w:val="single" w:sz="8" w:space="0" w:color="000000" w:themeColor="text1"/>
            </w:tcBorders>
            <w:shd w:val="clear" w:color="auto" w:fill="FFFF00"/>
            <w:noWrap/>
            <w:vAlign w:val="center"/>
          </w:tcPr>
          <w:p w:rsidR="00B22262" w:rsidRPr="00982C79" w:rsidRDefault="00B22262" w:rsidP="00DE38B8">
            <w:pPr>
              <w:jc w:val="center"/>
              <w:rPr>
                <w:lang w:val="en-AU"/>
              </w:rPr>
            </w:pPr>
            <w:r w:rsidRPr="00982C79">
              <w:rPr>
                <w:lang w:val="en-AU"/>
              </w:rPr>
              <w:t>4</w:t>
            </w:r>
          </w:p>
        </w:tc>
        <w:tc>
          <w:tcPr>
            <w:tcW w:w="415" w:type="pct"/>
            <w:tcBorders>
              <w:top w:val="single" w:sz="8" w:space="0" w:color="000000" w:themeColor="text1"/>
            </w:tcBorders>
            <w:shd w:val="clear" w:color="auto" w:fill="33CC33"/>
            <w:noWrap/>
            <w:vAlign w:val="center"/>
          </w:tcPr>
          <w:p w:rsidR="00B22262" w:rsidRPr="00982C79" w:rsidRDefault="00B22262" w:rsidP="00DE38B8">
            <w:pPr>
              <w:jc w:val="center"/>
              <w:rPr>
                <w:lang w:val="en-AU"/>
              </w:rPr>
            </w:pPr>
            <w:r w:rsidRPr="00982C79">
              <w:rPr>
                <w:lang w:val="en-AU"/>
              </w:rPr>
              <w:t>5</w:t>
            </w:r>
          </w:p>
        </w:tc>
        <w:tc>
          <w:tcPr>
            <w:tcW w:w="412" w:type="pct"/>
            <w:tcBorders>
              <w:top w:val="single" w:sz="8" w:space="0" w:color="000000" w:themeColor="text1"/>
            </w:tcBorders>
            <w:shd w:val="clear" w:color="auto" w:fill="FFFF00"/>
            <w:vAlign w:val="center"/>
          </w:tcPr>
          <w:p w:rsidR="00B22262" w:rsidRPr="00982C79" w:rsidRDefault="00B22262" w:rsidP="00DE38B8">
            <w:pPr>
              <w:jc w:val="center"/>
              <w:rPr>
                <w:lang w:val="en-AU"/>
              </w:rPr>
            </w:pPr>
            <w:r w:rsidRPr="00982C79">
              <w:rPr>
                <w:lang w:val="en-AU"/>
              </w:rPr>
              <w:t>4</w:t>
            </w:r>
          </w:p>
        </w:tc>
      </w:tr>
      <w:tr w:rsidR="00B22262" w:rsidRPr="00982C79" w:rsidTr="003D7AB7">
        <w:trPr>
          <w:cnfStyle w:val="000000010000" w:firstRow="0" w:lastRow="0" w:firstColumn="0" w:lastColumn="0" w:oddVBand="0" w:evenVBand="0" w:oddHBand="0" w:evenHBand="1" w:firstRowFirstColumn="0" w:firstRowLastColumn="0" w:lastRowFirstColumn="0" w:lastRowLastColumn="0"/>
          <w:trHeight w:val="284"/>
        </w:trPr>
        <w:tc>
          <w:tcPr>
            <w:tcW w:w="907" w:type="pct"/>
            <w:vMerge/>
            <w:tcBorders>
              <w:bottom w:val="single" w:sz="8" w:space="0" w:color="000000" w:themeColor="text1"/>
            </w:tcBorders>
          </w:tcPr>
          <w:p w:rsidR="00B22262" w:rsidRPr="00982C79" w:rsidRDefault="00B22262" w:rsidP="00DE38B8">
            <w:pPr>
              <w:keepLines/>
              <w:spacing w:before="40" w:after="40" w:line="200" w:lineRule="atLeast"/>
              <w:rPr>
                <w:rFonts w:eastAsia="Times New Roman"/>
                <w:iCs/>
                <w:szCs w:val="17"/>
                <w:lang w:val="en-AU" w:eastAsia="en-US"/>
              </w:rPr>
            </w:pPr>
          </w:p>
        </w:tc>
        <w:tc>
          <w:tcPr>
            <w:tcW w:w="659" w:type="pct"/>
            <w:vMerge/>
            <w:tcBorders>
              <w:bottom w:val="single" w:sz="8" w:space="0" w:color="000000" w:themeColor="text1"/>
            </w:tcBorders>
          </w:tcPr>
          <w:p w:rsidR="00B22262" w:rsidRPr="00982C79" w:rsidRDefault="00B22262" w:rsidP="00DE38B8">
            <w:pPr>
              <w:keepLines/>
              <w:spacing w:before="40" w:after="40" w:line="200" w:lineRule="atLeast"/>
              <w:rPr>
                <w:rFonts w:eastAsia="Times New Roman"/>
                <w:iCs/>
                <w:szCs w:val="17"/>
                <w:lang w:val="en-AU" w:eastAsia="en-US"/>
              </w:rPr>
            </w:pPr>
          </w:p>
        </w:tc>
        <w:tc>
          <w:tcPr>
            <w:tcW w:w="416" w:type="pct"/>
            <w:tcBorders>
              <w:bottom w:val="single" w:sz="8" w:space="0" w:color="000000" w:themeColor="text1"/>
            </w:tcBorders>
          </w:tcPr>
          <w:p w:rsidR="00B22262" w:rsidRPr="00982C79" w:rsidRDefault="00B22262"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2014 AQC</w:t>
            </w:r>
          </w:p>
        </w:tc>
        <w:tc>
          <w:tcPr>
            <w:tcW w:w="418" w:type="pct"/>
            <w:tcBorders>
              <w:bottom w:val="single" w:sz="8" w:space="0" w:color="000000" w:themeColor="text1"/>
            </w:tcBorders>
            <w:shd w:val="clear" w:color="auto" w:fill="33CC33"/>
            <w:noWrap/>
            <w:vAlign w:val="center"/>
          </w:tcPr>
          <w:p w:rsidR="00B22262" w:rsidRPr="00982C79" w:rsidRDefault="00B22262" w:rsidP="00DE38B8">
            <w:pPr>
              <w:jc w:val="center"/>
              <w:rPr>
                <w:lang w:val="en-AU"/>
              </w:rPr>
            </w:pPr>
            <w:r w:rsidRPr="00982C79">
              <w:rPr>
                <w:lang w:val="en-AU"/>
              </w:rPr>
              <w:t>5</w:t>
            </w:r>
          </w:p>
        </w:tc>
        <w:tc>
          <w:tcPr>
            <w:tcW w:w="415" w:type="pct"/>
            <w:tcBorders>
              <w:bottom w:val="single" w:sz="8" w:space="0" w:color="000000" w:themeColor="text1"/>
            </w:tcBorders>
            <w:shd w:val="clear" w:color="auto" w:fill="FF9900"/>
            <w:noWrap/>
            <w:vAlign w:val="center"/>
          </w:tcPr>
          <w:p w:rsidR="00B22262" w:rsidRPr="00982C79" w:rsidRDefault="00B22262" w:rsidP="00DE38B8">
            <w:pPr>
              <w:jc w:val="center"/>
              <w:rPr>
                <w:lang w:val="en-AU"/>
              </w:rPr>
            </w:pPr>
            <w:r w:rsidRPr="00982C79">
              <w:rPr>
                <w:lang w:val="en-AU"/>
              </w:rPr>
              <w:t>3</w:t>
            </w:r>
          </w:p>
        </w:tc>
        <w:tc>
          <w:tcPr>
            <w:tcW w:w="418" w:type="pct"/>
            <w:tcBorders>
              <w:bottom w:val="single" w:sz="8" w:space="0" w:color="000000" w:themeColor="text1"/>
            </w:tcBorders>
            <w:shd w:val="clear" w:color="auto" w:fill="FF9900"/>
            <w:noWrap/>
            <w:vAlign w:val="center"/>
          </w:tcPr>
          <w:p w:rsidR="00B22262" w:rsidRPr="00982C79" w:rsidRDefault="00B22262" w:rsidP="00DE38B8">
            <w:pPr>
              <w:jc w:val="center"/>
              <w:rPr>
                <w:lang w:val="en-AU"/>
              </w:rPr>
            </w:pPr>
            <w:r w:rsidRPr="00982C79">
              <w:rPr>
                <w:lang w:val="en-AU"/>
              </w:rPr>
              <w:t>3</w:t>
            </w:r>
          </w:p>
        </w:tc>
        <w:tc>
          <w:tcPr>
            <w:tcW w:w="415" w:type="pct"/>
            <w:tcBorders>
              <w:bottom w:val="single" w:sz="8" w:space="0" w:color="000000" w:themeColor="text1"/>
            </w:tcBorders>
            <w:shd w:val="clear" w:color="auto" w:fill="33CC33"/>
            <w:noWrap/>
            <w:vAlign w:val="center"/>
          </w:tcPr>
          <w:p w:rsidR="00B22262" w:rsidRPr="00982C79" w:rsidRDefault="00B22262" w:rsidP="00DE38B8">
            <w:pPr>
              <w:jc w:val="center"/>
              <w:rPr>
                <w:lang w:val="en-AU"/>
              </w:rPr>
            </w:pPr>
            <w:r w:rsidRPr="00982C79">
              <w:rPr>
                <w:lang w:val="en-AU"/>
              </w:rPr>
              <w:t>5</w:t>
            </w:r>
          </w:p>
        </w:tc>
        <w:tc>
          <w:tcPr>
            <w:tcW w:w="418" w:type="pct"/>
            <w:tcBorders>
              <w:bottom w:val="single" w:sz="8" w:space="0" w:color="000000" w:themeColor="text1"/>
            </w:tcBorders>
            <w:shd w:val="clear" w:color="auto" w:fill="FFFF00"/>
            <w:noWrap/>
            <w:vAlign w:val="center"/>
          </w:tcPr>
          <w:p w:rsidR="00B22262" w:rsidRPr="00982C79" w:rsidRDefault="00B22262" w:rsidP="00DE38B8">
            <w:pPr>
              <w:jc w:val="center"/>
              <w:rPr>
                <w:lang w:val="en-AU"/>
              </w:rPr>
            </w:pPr>
            <w:r w:rsidRPr="00982C79">
              <w:rPr>
                <w:lang w:val="en-AU"/>
              </w:rPr>
              <w:t>4</w:t>
            </w:r>
          </w:p>
        </w:tc>
        <w:tc>
          <w:tcPr>
            <w:tcW w:w="415" w:type="pct"/>
            <w:tcBorders>
              <w:bottom w:val="single" w:sz="8" w:space="0" w:color="000000" w:themeColor="text1"/>
            </w:tcBorders>
            <w:shd w:val="clear" w:color="auto" w:fill="FFFF00"/>
            <w:noWrap/>
            <w:vAlign w:val="center"/>
          </w:tcPr>
          <w:p w:rsidR="00B22262" w:rsidRPr="00982C79" w:rsidRDefault="00B22262" w:rsidP="00DE38B8">
            <w:pPr>
              <w:jc w:val="center"/>
              <w:rPr>
                <w:lang w:val="en-AU"/>
              </w:rPr>
            </w:pPr>
            <w:r w:rsidRPr="00982C79">
              <w:rPr>
                <w:lang w:val="en-AU"/>
              </w:rPr>
              <w:t>4</w:t>
            </w:r>
          </w:p>
        </w:tc>
        <w:tc>
          <w:tcPr>
            <w:tcW w:w="412" w:type="pct"/>
            <w:tcBorders>
              <w:bottom w:val="single" w:sz="8" w:space="0" w:color="000000" w:themeColor="text1"/>
            </w:tcBorders>
            <w:shd w:val="clear" w:color="auto" w:fill="FFFF00"/>
            <w:vAlign w:val="center"/>
          </w:tcPr>
          <w:p w:rsidR="00B22262" w:rsidRPr="00982C79" w:rsidRDefault="00B22262" w:rsidP="00DE38B8">
            <w:pPr>
              <w:jc w:val="center"/>
              <w:rPr>
                <w:lang w:val="en-AU"/>
              </w:rPr>
            </w:pPr>
            <w:r w:rsidRPr="00982C79">
              <w:rPr>
                <w:lang w:val="en-AU"/>
              </w:rPr>
              <w:t>4</w:t>
            </w:r>
          </w:p>
        </w:tc>
      </w:tr>
      <w:tr w:rsidR="00B22262" w:rsidRPr="00982C79" w:rsidTr="003D7AB7">
        <w:trPr>
          <w:cnfStyle w:val="000000010000" w:firstRow="0" w:lastRow="0" w:firstColumn="0" w:lastColumn="0" w:oddVBand="0" w:evenVBand="0" w:oddHBand="0" w:evenHBand="1" w:firstRowFirstColumn="0" w:firstRowLastColumn="0" w:lastRowFirstColumn="0" w:lastRowLastColumn="0"/>
          <w:trHeight w:val="284"/>
        </w:trPr>
        <w:tc>
          <w:tcPr>
            <w:tcW w:w="907" w:type="pct"/>
            <w:vMerge w:val="restart"/>
            <w:tcBorders>
              <w:top w:val="single" w:sz="8" w:space="0" w:color="000000" w:themeColor="text1"/>
            </w:tcBorders>
          </w:tcPr>
          <w:p w:rsidR="00B22262" w:rsidRPr="00982C79" w:rsidRDefault="00B22262"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Laos Australia Institute (including Australia Awards)</w:t>
            </w:r>
          </w:p>
        </w:tc>
        <w:tc>
          <w:tcPr>
            <w:tcW w:w="659" w:type="pct"/>
            <w:vMerge w:val="restart"/>
            <w:tcBorders>
              <w:top w:val="single" w:sz="8" w:space="0" w:color="000000" w:themeColor="text1"/>
            </w:tcBorders>
          </w:tcPr>
          <w:p w:rsidR="00B22262" w:rsidRPr="00982C79" w:rsidRDefault="00B22262"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LAI: $14.8 million</w:t>
            </w:r>
          </w:p>
          <w:p w:rsidR="00B22262" w:rsidRPr="00982C79" w:rsidRDefault="00B22262"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2012 to 2017</w:t>
            </w:r>
          </w:p>
          <w:p w:rsidR="00B22262" w:rsidRPr="00982C79" w:rsidRDefault="00B22262"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AA: $18.9 million</w:t>
            </w:r>
          </w:p>
          <w:p w:rsidR="00B22262" w:rsidRPr="00982C79" w:rsidRDefault="00B22262"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2015-16 onwards</w:t>
            </w:r>
          </w:p>
        </w:tc>
        <w:tc>
          <w:tcPr>
            <w:tcW w:w="416" w:type="pct"/>
            <w:tcBorders>
              <w:top w:val="single" w:sz="8" w:space="0" w:color="000000" w:themeColor="text1"/>
            </w:tcBorders>
          </w:tcPr>
          <w:p w:rsidR="00B22262" w:rsidRPr="00982C79" w:rsidRDefault="00B22262"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2015 AQC</w:t>
            </w:r>
          </w:p>
        </w:tc>
        <w:tc>
          <w:tcPr>
            <w:tcW w:w="418" w:type="pct"/>
            <w:tcBorders>
              <w:top w:val="single" w:sz="8" w:space="0" w:color="000000" w:themeColor="text1"/>
            </w:tcBorders>
            <w:shd w:val="clear" w:color="auto" w:fill="33CC33"/>
            <w:noWrap/>
            <w:vAlign w:val="center"/>
          </w:tcPr>
          <w:p w:rsidR="00B22262" w:rsidRPr="00982C79" w:rsidRDefault="00B22262" w:rsidP="00DE38B8">
            <w:pPr>
              <w:jc w:val="center"/>
              <w:rPr>
                <w:lang w:val="en-AU"/>
              </w:rPr>
            </w:pPr>
            <w:r w:rsidRPr="00982C79">
              <w:rPr>
                <w:lang w:val="en-AU"/>
              </w:rPr>
              <w:t>5</w:t>
            </w:r>
          </w:p>
        </w:tc>
        <w:tc>
          <w:tcPr>
            <w:tcW w:w="415" w:type="pct"/>
            <w:tcBorders>
              <w:top w:val="single" w:sz="8" w:space="0" w:color="000000" w:themeColor="text1"/>
            </w:tcBorders>
            <w:shd w:val="clear" w:color="auto" w:fill="FF9900"/>
            <w:noWrap/>
            <w:vAlign w:val="center"/>
          </w:tcPr>
          <w:p w:rsidR="00B22262" w:rsidRPr="00982C79" w:rsidRDefault="00B22262" w:rsidP="00DE38B8">
            <w:pPr>
              <w:jc w:val="center"/>
              <w:rPr>
                <w:lang w:val="en-AU"/>
              </w:rPr>
            </w:pPr>
            <w:r w:rsidRPr="00982C79">
              <w:rPr>
                <w:lang w:val="en-AU"/>
              </w:rPr>
              <w:t>3</w:t>
            </w:r>
          </w:p>
        </w:tc>
        <w:tc>
          <w:tcPr>
            <w:tcW w:w="418" w:type="pct"/>
            <w:tcBorders>
              <w:top w:val="single" w:sz="8" w:space="0" w:color="000000" w:themeColor="text1"/>
            </w:tcBorders>
            <w:shd w:val="clear" w:color="auto" w:fill="FFFF00"/>
            <w:noWrap/>
            <w:vAlign w:val="center"/>
          </w:tcPr>
          <w:p w:rsidR="00B22262" w:rsidRPr="00982C79" w:rsidRDefault="00B22262" w:rsidP="00DE38B8">
            <w:pPr>
              <w:jc w:val="center"/>
              <w:rPr>
                <w:lang w:val="en-AU"/>
              </w:rPr>
            </w:pPr>
            <w:r w:rsidRPr="00982C79">
              <w:rPr>
                <w:lang w:val="en-AU"/>
              </w:rPr>
              <w:t>4</w:t>
            </w:r>
          </w:p>
        </w:tc>
        <w:tc>
          <w:tcPr>
            <w:tcW w:w="415" w:type="pct"/>
            <w:tcBorders>
              <w:top w:val="single" w:sz="8" w:space="0" w:color="000000" w:themeColor="text1"/>
            </w:tcBorders>
            <w:shd w:val="clear" w:color="auto" w:fill="FFFF00"/>
            <w:noWrap/>
            <w:vAlign w:val="center"/>
          </w:tcPr>
          <w:p w:rsidR="00B22262" w:rsidRPr="00982C79" w:rsidRDefault="00B22262" w:rsidP="00DE38B8">
            <w:pPr>
              <w:jc w:val="center"/>
              <w:rPr>
                <w:lang w:val="en-AU"/>
              </w:rPr>
            </w:pPr>
            <w:r w:rsidRPr="00982C79">
              <w:rPr>
                <w:lang w:val="en-AU"/>
              </w:rPr>
              <w:t>4</w:t>
            </w:r>
          </w:p>
        </w:tc>
        <w:tc>
          <w:tcPr>
            <w:tcW w:w="418" w:type="pct"/>
            <w:tcBorders>
              <w:top w:val="single" w:sz="8" w:space="0" w:color="000000" w:themeColor="text1"/>
            </w:tcBorders>
            <w:shd w:val="clear" w:color="auto" w:fill="FFFF00"/>
            <w:noWrap/>
            <w:vAlign w:val="center"/>
          </w:tcPr>
          <w:p w:rsidR="00B22262" w:rsidRPr="00982C79" w:rsidRDefault="00B22262" w:rsidP="00DE38B8">
            <w:pPr>
              <w:jc w:val="center"/>
              <w:rPr>
                <w:lang w:val="en-AU"/>
              </w:rPr>
            </w:pPr>
            <w:r w:rsidRPr="00982C79">
              <w:rPr>
                <w:lang w:val="en-AU"/>
              </w:rPr>
              <w:t>4</w:t>
            </w:r>
          </w:p>
        </w:tc>
        <w:tc>
          <w:tcPr>
            <w:tcW w:w="415" w:type="pct"/>
            <w:tcBorders>
              <w:top w:val="single" w:sz="8" w:space="0" w:color="000000" w:themeColor="text1"/>
            </w:tcBorders>
            <w:shd w:val="clear" w:color="auto" w:fill="FFFF00"/>
            <w:noWrap/>
            <w:vAlign w:val="center"/>
          </w:tcPr>
          <w:p w:rsidR="00B22262" w:rsidRPr="00982C79" w:rsidRDefault="00B22262" w:rsidP="00DE38B8">
            <w:pPr>
              <w:jc w:val="center"/>
              <w:rPr>
                <w:lang w:val="en-AU"/>
              </w:rPr>
            </w:pPr>
            <w:r w:rsidRPr="00982C79">
              <w:rPr>
                <w:lang w:val="en-AU"/>
              </w:rPr>
              <w:t>4</w:t>
            </w:r>
          </w:p>
        </w:tc>
        <w:tc>
          <w:tcPr>
            <w:tcW w:w="412" w:type="pct"/>
            <w:tcBorders>
              <w:top w:val="single" w:sz="8" w:space="0" w:color="000000" w:themeColor="text1"/>
            </w:tcBorders>
            <w:shd w:val="clear" w:color="auto" w:fill="33CC33"/>
            <w:vAlign w:val="center"/>
          </w:tcPr>
          <w:p w:rsidR="00B22262" w:rsidRPr="00982C79" w:rsidRDefault="00B22262" w:rsidP="00DE38B8">
            <w:pPr>
              <w:jc w:val="center"/>
              <w:rPr>
                <w:lang w:val="en-AU"/>
              </w:rPr>
            </w:pPr>
            <w:r w:rsidRPr="00982C79">
              <w:rPr>
                <w:lang w:val="en-AU"/>
              </w:rPr>
              <w:t>5</w:t>
            </w:r>
          </w:p>
        </w:tc>
      </w:tr>
      <w:tr w:rsidR="00B22262" w:rsidRPr="00982C79" w:rsidTr="003D7AB7">
        <w:trPr>
          <w:cnfStyle w:val="000000010000" w:firstRow="0" w:lastRow="0" w:firstColumn="0" w:lastColumn="0" w:oddVBand="0" w:evenVBand="0" w:oddHBand="0" w:evenHBand="1" w:firstRowFirstColumn="0" w:firstRowLastColumn="0" w:lastRowFirstColumn="0" w:lastRowLastColumn="0"/>
          <w:trHeight w:val="284"/>
        </w:trPr>
        <w:tc>
          <w:tcPr>
            <w:tcW w:w="907" w:type="pct"/>
            <w:vMerge/>
            <w:tcBorders>
              <w:bottom w:val="single" w:sz="8" w:space="0" w:color="000000" w:themeColor="text1"/>
            </w:tcBorders>
          </w:tcPr>
          <w:p w:rsidR="00B22262" w:rsidRPr="00982C79" w:rsidRDefault="00B22262" w:rsidP="00DE38B8">
            <w:pPr>
              <w:keepLines/>
              <w:spacing w:before="40" w:after="40" w:line="200" w:lineRule="atLeast"/>
              <w:rPr>
                <w:rFonts w:eastAsia="Times New Roman"/>
                <w:iCs/>
                <w:szCs w:val="17"/>
                <w:lang w:val="en-AU" w:eastAsia="en-US"/>
              </w:rPr>
            </w:pPr>
          </w:p>
        </w:tc>
        <w:tc>
          <w:tcPr>
            <w:tcW w:w="659" w:type="pct"/>
            <w:vMerge/>
            <w:tcBorders>
              <w:bottom w:val="single" w:sz="8" w:space="0" w:color="000000" w:themeColor="text1"/>
            </w:tcBorders>
          </w:tcPr>
          <w:p w:rsidR="00B22262" w:rsidRPr="00982C79" w:rsidRDefault="00B22262" w:rsidP="00DE38B8">
            <w:pPr>
              <w:keepLines/>
              <w:spacing w:before="40" w:after="40" w:line="200" w:lineRule="atLeast"/>
              <w:rPr>
                <w:rFonts w:eastAsia="Times New Roman"/>
                <w:iCs/>
                <w:szCs w:val="17"/>
                <w:lang w:val="en-AU" w:eastAsia="en-US"/>
              </w:rPr>
            </w:pPr>
          </w:p>
        </w:tc>
        <w:tc>
          <w:tcPr>
            <w:tcW w:w="416" w:type="pct"/>
            <w:tcBorders>
              <w:bottom w:val="single" w:sz="8" w:space="0" w:color="000000" w:themeColor="text1"/>
            </w:tcBorders>
          </w:tcPr>
          <w:p w:rsidR="00B22262" w:rsidRPr="00982C79" w:rsidRDefault="00B22262"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2014 AQC</w:t>
            </w:r>
          </w:p>
        </w:tc>
        <w:tc>
          <w:tcPr>
            <w:tcW w:w="418" w:type="pct"/>
            <w:tcBorders>
              <w:bottom w:val="single" w:sz="8" w:space="0" w:color="000000" w:themeColor="text1"/>
            </w:tcBorders>
            <w:shd w:val="clear" w:color="auto" w:fill="33CC33"/>
            <w:noWrap/>
          </w:tcPr>
          <w:p w:rsidR="00B22262" w:rsidRPr="00982C79" w:rsidRDefault="00B22262" w:rsidP="00DE38B8">
            <w:pPr>
              <w:jc w:val="center"/>
              <w:rPr>
                <w:lang w:val="en-AU"/>
              </w:rPr>
            </w:pPr>
            <w:r w:rsidRPr="00982C79">
              <w:rPr>
                <w:lang w:val="en-AU"/>
              </w:rPr>
              <w:t>6</w:t>
            </w:r>
          </w:p>
        </w:tc>
        <w:tc>
          <w:tcPr>
            <w:tcW w:w="415" w:type="pct"/>
            <w:tcBorders>
              <w:bottom w:val="single" w:sz="8" w:space="0" w:color="000000" w:themeColor="text1"/>
            </w:tcBorders>
            <w:shd w:val="clear" w:color="auto" w:fill="FFFF00"/>
            <w:noWrap/>
          </w:tcPr>
          <w:p w:rsidR="00B22262" w:rsidRPr="00982C79" w:rsidRDefault="00B22262" w:rsidP="00DE38B8">
            <w:pPr>
              <w:jc w:val="center"/>
              <w:rPr>
                <w:lang w:val="en-AU"/>
              </w:rPr>
            </w:pPr>
            <w:r w:rsidRPr="00982C79">
              <w:rPr>
                <w:lang w:val="en-AU"/>
              </w:rPr>
              <w:t>4</w:t>
            </w:r>
          </w:p>
        </w:tc>
        <w:tc>
          <w:tcPr>
            <w:tcW w:w="418" w:type="pct"/>
            <w:tcBorders>
              <w:bottom w:val="single" w:sz="8" w:space="0" w:color="000000" w:themeColor="text1"/>
            </w:tcBorders>
            <w:shd w:val="clear" w:color="auto" w:fill="FFFF00"/>
            <w:noWrap/>
          </w:tcPr>
          <w:p w:rsidR="00B22262" w:rsidRPr="00982C79" w:rsidRDefault="00B22262" w:rsidP="00DE38B8">
            <w:pPr>
              <w:jc w:val="center"/>
              <w:rPr>
                <w:lang w:val="en-AU"/>
              </w:rPr>
            </w:pPr>
            <w:r w:rsidRPr="00982C79">
              <w:rPr>
                <w:lang w:val="en-AU"/>
              </w:rPr>
              <w:t>4</w:t>
            </w:r>
          </w:p>
        </w:tc>
        <w:tc>
          <w:tcPr>
            <w:tcW w:w="415" w:type="pct"/>
            <w:tcBorders>
              <w:bottom w:val="single" w:sz="8" w:space="0" w:color="000000" w:themeColor="text1"/>
            </w:tcBorders>
            <w:shd w:val="clear" w:color="auto" w:fill="33CC33"/>
            <w:noWrap/>
          </w:tcPr>
          <w:p w:rsidR="00B22262" w:rsidRPr="00982C79" w:rsidRDefault="00B22262" w:rsidP="00DE38B8">
            <w:pPr>
              <w:jc w:val="center"/>
              <w:rPr>
                <w:lang w:val="en-AU"/>
              </w:rPr>
            </w:pPr>
            <w:r w:rsidRPr="00982C79">
              <w:rPr>
                <w:lang w:val="en-AU"/>
              </w:rPr>
              <w:t>5</w:t>
            </w:r>
          </w:p>
        </w:tc>
        <w:tc>
          <w:tcPr>
            <w:tcW w:w="418" w:type="pct"/>
            <w:tcBorders>
              <w:bottom w:val="single" w:sz="8" w:space="0" w:color="000000" w:themeColor="text1"/>
            </w:tcBorders>
            <w:shd w:val="clear" w:color="auto" w:fill="FFFF00"/>
            <w:noWrap/>
          </w:tcPr>
          <w:p w:rsidR="00B22262" w:rsidRPr="00982C79" w:rsidRDefault="00B22262" w:rsidP="00DE38B8">
            <w:pPr>
              <w:jc w:val="center"/>
              <w:rPr>
                <w:lang w:val="en-AU"/>
              </w:rPr>
            </w:pPr>
            <w:r w:rsidRPr="00982C79">
              <w:rPr>
                <w:lang w:val="en-AU"/>
              </w:rPr>
              <w:t>4</w:t>
            </w:r>
          </w:p>
        </w:tc>
        <w:tc>
          <w:tcPr>
            <w:tcW w:w="415" w:type="pct"/>
            <w:tcBorders>
              <w:bottom w:val="single" w:sz="8" w:space="0" w:color="000000" w:themeColor="text1"/>
            </w:tcBorders>
            <w:shd w:val="clear" w:color="auto" w:fill="FFFF00"/>
            <w:noWrap/>
          </w:tcPr>
          <w:p w:rsidR="00B22262" w:rsidRPr="00982C79" w:rsidRDefault="00B22262" w:rsidP="00DE38B8">
            <w:pPr>
              <w:jc w:val="center"/>
              <w:rPr>
                <w:lang w:val="en-AU"/>
              </w:rPr>
            </w:pPr>
            <w:r w:rsidRPr="00982C79">
              <w:rPr>
                <w:lang w:val="en-AU"/>
              </w:rPr>
              <w:t>4</w:t>
            </w:r>
          </w:p>
        </w:tc>
        <w:tc>
          <w:tcPr>
            <w:tcW w:w="412" w:type="pct"/>
            <w:tcBorders>
              <w:bottom w:val="single" w:sz="8" w:space="0" w:color="000000" w:themeColor="text1"/>
            </w:tcBorders>
            <w:shd w:val="clear" w:color="auto" w:fill="33CC33"/>
          </w:tcPr>
          <w:p w:rsidR="00B22262" w:rsidRPr="00982C79" w:rsidRDefault="00B22262" w:rsidP="00DE38B8">
            <w:pPr>
              <w:jc w:val="center"/>
              <w:rPr>
                <w:lang w:val="en-AU"/>
              </w:rPr>
            </w:pPr>
            <w:r w:rsidRPr="00982C79">
              <w:rPr>
                <w:lang w:val="en-AU"/>
              </w:rPr>
              <w:t>5</w:t>
            </w:r>
          </w:p>
        </w:tc>
      </w:tr>
    </w:tbl>
    <w:p w:rsidR="00FA7676" w:rsidRPr="00982C79" w:rsidRDefault="00FA7676">
      <w:pPr>
        <w:rPr>
          <w:lang w:val="en-AU"/>
        </w:rPr>
      </w:pPr>
    </w:p>
    <w:tbl>
      <w:tblPr>
        <w:tblStyle w:val="APPR"/>
        <w:tblW w:w="5000" w:type="pct"/>
        <w:tblLook w:val="0000" w:firstRow="0" w:lastRow="0" w:firstColumn="0" w:lastColumn="0" w:noHBand="0" w:noVBand="0"/>
      </w:tblPr>
      <w:tblGrid>
        <w:gridCol w:w="2638"/>
        <w:gridCol w:w="1913"/>
        <w:gridCol w:w="1218"/>
        <w:gridCol w:w="1224"/>
        <w:gridCol w:w="1215"/>
        <w:gridCol w:w="1224"/>
        <w:gridCol w:w="1215"/>
        <w:gridCol w:w="1224"/>
        <w:gridCol w:w="1215"/>
        <w:gridCol w:w="1221"/>
      </w:tblGrid>
      <w:tr w:rsidR="00FA7676" w:rsidRPr="00982C79" w:rsidTr="00DE38B8">
        <w:trPr>
          <w:cnfStyle w:val="000000010000" w:firstRow="0" w:lastRow="0" w:firstColumn="0" w:lastColumn="0" w:oddVBand="0" w:evenVBand="0" w:oddHBand="0" w:evenHBand="1" w:firstRowFirstColumn="0" w:firstRowLastColumn="0" w:lastRowFirstColumn="0" w:lastRowLastColumn="0"/>
          <w:trHeight w:val="1413"/>
        </w:trPr>
        <w:tc>
          <w:tcPr>
            <w:tcW w:w="907" w:type="pct"/>
          </w:tcPr>
          <w:p w:rsidR="00FA7676" w:rsidRPr="00982C79" w:rsidRDefault="00FA7676" w:rsidP="00DE38B8">
            <w:pPr>
              <w:keepLines/>
              <w:spacing w:before="80" w:after="80" w:line="200" w:lineRule="atLeast"/>
              <w:rPr>
                <w:rFonts w:ascii="Franklin Gothic Medium" w:eastAsia="Times New Roman" w:hAnsi="Franklin Gothic Medium"/>
                <w:b/>
                <w:iCs/>
                <w:szCs w:val="17"/>
                <w:lang w:val="en-AU" w:eastAsia="en-US"/>
              </w:rPr>
            </w:pPr>
            <w:r w:rsidRPr="00982C79">
              <w:rPr>
                <w:rFonts w:ascii="Franklin Gothic Medium" w:eastAsia="Times New Roman" w:hAnsi="Franklin Gothic Medium"/>
                <w:b/>
                <w:iCs/>
                <w:noProof/>
                <w:szCs w:val="17"/>
                <w:lang w:val="en-AU"/>
              </w:rPr>
              <w:lastRenderedPageBreak/>
              <w:drawing>
                <wp:anchor distT="0" distB="0" distL="114300" distR="114300" simplePos="0" relativeHeight="251678720" behindDoc="0" locked="0" layoutInCell="1" allowOverlap="1" wp14:anchorId="5949F524" wp14:editId="054E59D9">
                  <wp:simplePos x="0" y="0"/>
                  <wp:positionH relativeFrom="column">
                    <wp:posOffset>0</wp:posOffset>
                  </wp:positionH>
                  <wp:positionV relativeFrom="paragraph">
                    <wp:posOffset>0</wp:posOffset>
                  </wp:positionV>
                  <wp:extent cx="1857375" cy="228600"/>
                  <wp:effectExtent l="0" t="0" r="9525" b="0"/>
                  <wp:wrapNone/>
                  <wp:docPr id="4" name="Picture 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2C79">
              <w:rPr>
                <w:rFonts w:ascii="Franklin Gothic Medium" w:eastAsia="Times New Roman" w:hAnsi="Franklin Gothic Medium"/>
                <w:b/>
                <w:iCs/>
                <w:szCs w:val="17"/>
                <w:lang w:val="en-AU" w:eastAsia="en-US"/>
              </w:rPr>
              <w:t>Investment name</w:t>
            </w:r>
          </w:p>
        </w:tc>
        <w:tc>
          <w:tcPr>
            <w:tcW w:w="659" w:type="pct"/>
            <w:textDirection w:val="btLr"/>
          </w:tcPr>
          <w:p w:rsidR="00FA7676" w:rsidRPr="00982C79" w:rsidRDefault="00FA7676" w:rsidP="00DE38B8">
            <w:pPr>
              <w:keepLines/>
              <w:spacing w:before="80" w:after="80" w:line="200" w:lineRule="atLeast"/>
              <w:rPr>
                <w:rFonts w:ascii="Franklin Gothic Medium" w:eastAsia="Times New Roman" w:hAnsi="Franklin Gothic Medium"/>
                <w:b/>
                <w:iCs/>
                <w:szCs w:val="17"/>
                <w:lang w:val="en-AU" w:eastAsia="en-US"/>
              </w:rPr>
            </w:pPr>
            <w:r w:rsidRPr="00982C79">
              <w:rPr>
                <w:rFonts w:ascii="Franklin Gothic Medium" w:eastAsia="Times New Roman" w:hAnsi="Franklin Gothic Medium"/>
                <w:b/>
                <w:iCs/>
                <w:szCs w:val="17"/>
                <w:lang w:val="en-AU" w:eastAsia="en-US"/>
              </w:rPr>
              <w:t>Approved budget and duration</w:t>
            </w:r>
          </w:p>
        </w:tc>
        <w:tc>
          <w:tcPr>
            <w:tcW w:w="416" w:type="pct"/>
            <w:textDirection w:val="btLr"/>
          </w:tcPr>
          <w:p w:rsidR="00FA7676" w:rsidRPr="00982C79" w:rsidRDefault="00FA7676" w:rsidP="00DE38B8">
            <w:pPr>
              <w:keepLines/>
              <w:spacing w:before="80" w:after="80" w:line="200" w:lineRule="atLeast"/>
              <w:rPr>
                <w:rFonts w:ascii="Franklin Gothic Medium" w:eastAsia="Times New Roman" w:hAnsi="Franklin Gothic Medium"/>
                <w:b/>
                <w:iCs/>
                <w:szCs w:val="17"/>
                <w:lang w:val="en-AU" w:eastAsia="en-US"/>
              </w:rPr>
            </w:pPr>
            <w:r w:rsidRPr="00982C79">
              <w:rPr>
                <w:rFonts w:ascii="Franklin Gothic Medium" w:eastAsia="Times New Roman" w:hAnsi="Franklin Gothic Medium"/>
                <w:b/>
                <w:iCs/>
                <w:szCs w:val="17"/>
                <w:lang w:val="en-AU" w:eastAsia="en-US"/>
              </w:rPr>
              <w:t>year on year</w:t>
            </w:r>
          </w:p>
        </w:tc>
        <w:tc>
          <w:tcPr>
            <w:tcW w:w="418" w:type="pct"/>
            <w:textDirection w:val="btLr"/>
          </w:tcPr>
          <w:p w:rsidR="00FA7676" w:rsidRPr="00982C79" w:rsidRDefault="00FA7676" w:rsidP="00DE38B8">
            <w:pPr>
              <w:keepLines/>
              <w:spacing w:before="80" w:after="80" w:line="200" w:lineRule="atLeast"/>
              <w:rPr>
                <w:rFonts w:ascii="Franklin Gothic Medium" w:eastAsia="Times New Roman" w:hAnsi="Franklin Gothic Medium"/>
                <w:b/>
                <w:iCs/>
                <w:szCs w:val="17"/>
                <w:lang w:val="en-AU" w:eastAsia="en-US"/>
              </w:rPr>
            </w:pPr>
            <w:r w:rsidRPr="00982C79">
              <w:rPr>
                <w:rFonts w:ascii="Franklin Gothic Medium" w:eastAsia="Times New Roman" w:hAnsi="Franklin Gothic Medium"/>
                <w:b/>
                <w:iCs/>
                <w:szCs w:val="17"/>
                <w:lang w:val="en-AU" w:eastAsia="en-US"/>
              </w:rPr>
              <w:t>Relevance</w:t>
            </w:r>
          </w:p>
        </w:tc>
        <w:tc>
          <w:tcPr>
            <w:tcW w:w="415" w:type="pct"/>
            <w:textDirection w:val="btLr"/>
          </w:tcPr>
          <w:p w:rsidR="00FA7676" w:rsidRPr="00982C79" w:rsidRDefault="00FA7676" w:rsidP="00DE38B8">
            <w:pPr>
              <w:keepLines/>
              <w:spacing w:before="80" w:after="80" w:line="200" w:lineRule="atLeast"/>
              <w:rPr>
                <w:rFonts w:ascii="Franklin Gothic Medium" w:eastAsia="Times New Roman" w:hAnsi="Franklin Gothic Medium"/>
                <w:b/>
                <w:iCs/>
                <w:szCs w:val="17"/>
                <w:lang w:val="en-AU" w:eastAsia="en-US"/>
              </w:rPr>
            </w:pPr>
            <w:r w:rsidRPr="00982C79">
              <w:rPr>
                <w:rFonts w:ascii="Franklin Gothic Medium" w:eastAsia="Times New Roman" w:hAnsi="Franklin Gothic Medium"/>
                <w:b/>
                <w:iCs/>
                <w:szCs w:val="17"/>
                <w:lang w:val="en-AU" w:eastAsia="en-US"/>
              </w:rPr>
              <w:t>Effectiveness</w:t>
            </w:r>
          </w:p>
        </w:tc>
        <w:tc>
          <w:tcPr>
            <w:tcW w:w="418" w:type="pct"/>
            <w:textDirection w:val="btLr"/>
          </w:tcPr>
          <w:p w:rsidR="00FA7676" w:rsidRPr="00982C79" w:rsidRDefault="00FA7676" w:rsidP="00DE38B8">
            <w:pPr>
              <w:keepLines/>
              <w:spacing w:before="80" w:after="80" w:line="200" w:lineRule="atLeast"/>
              <w:rPr>
                <w:rFonts w:ascii="Franklin Gothic Medium" w:eastAsia="Times New Roman" w:hAnsi="Franklin Gothic Medium"/>
                <w:b/>
                <w:iCs/>
                <w:szCs w:val="17"/>
                <w:lang w:val="en-AU" w:eastAsia="en-US"/>
              </w:rPr>
            </w:pPr>
            <w:r w:rsidRPr="00982C79">
              <w:rPr>
                <w:rFonts w:ascii="Franklin Gothic Medium" w:eastAsia="Times New Roman" w:hAnsi="Franklin Gothic Medium"/>
                <w:b/>
                <w:iCs/>
                <w:szCs w:val="17"/>
                <w:lang w:val="en-AU" w:eastAsia="en-US"/>
              </w:rPr>
              <w:t>Efficiency</w:t>
            </w:r>
          </w:p>
        </w:tc>
        <w:tc>
          <w:tcPr>
            <w:tcW w:w="415" w:type="pct"/>
            <w:textDirection w:val="btLr"/>
          </w:tcPr>
          <w:p w:rsidR="00FA7676" w:rsidRPr="00982C79" w:rsidRDefault="00FA7676" w:rsidP="00DE38B8">
            <w:pPr>
              <w:keepLines/>
              <w:spacing w:before="80" w:after="80" w:line="200" w:lineRule="atLeast"/>
              <w:rPr>
                <w:rFonts w:ascii="Franklin Gothic Medium" w:eastAsia="Times New Roman" w:hAnsi="Franklin Gothic Medium"/>
                <w:b/>
                <w:iCs/>
                <w:szCs w:val="17"/>
                <w:lang w:val="en-AU" w:eastAsia="en-US"/>
              </w:rPr>
            </w:pPr>
            <w:r w:rsidRPr="00982C79">
              <w:rPr>
                <w:rFonts w:ascii="Franklin Gothic Medium" w:eastAsia="Times New Roman" w:hAnsi="Franklin Gothic Medium"/>
                <w:b/>
                <w:iCs/>
                <w:szCs w:val="17"/>
                <w:lang w:val="en-AU" w:eastAsia="en-US"/>
              </w:rPr>
              <w:t>Monitoring and Evaluation</w:t>
            </w:r>
          </w:p>
        </w:tc>
        <w:tc>
          <w:tcPr>
            <w:tcW w:w="418" w:type="pct"/>
            <w:textDirection w:val="btLr"/>
          </w:tcPr>
          <w:p w:rsidR="00FA7676" w:rsidRPr="00982C79" w:rsidRDefault="00FA7676" w:rsidP="00DE38B8">
            <w:pPr>
              <w:keepLines/>
              <w:spacing w:before="80" w:after="80" w:line="200" w:lineRule="atLeast"/>
              <w:rPr>
                <w:rFonts w:ascii="Franklin Gothic Medium" w:eastAsia="Times New Roman" w:hAnsi="Franklin Gothic Medium"/>
                <w:b/>
                <w:iCs/>
                <w:szCs w:val="17"/>
                <w:lang w:val="en-AU" w:eastAsia="en-US"/>
              </w:rPr>
            </w:pPr>
            <w:r w:rsidRPr="00982C79">
              <w:rPr>
                <w:rFonts w:ascii="Franklin Gothic Medium" w:eastAsia="Times New Roman" w:hAnsi="Franklin Gothic Medium"/>
                <w:b/>
                <w:iCs/>
                <w:szCs w:val="17"/>
                <w:lang w:val="en-AU" w:eastAsia="en-US"/>
              </w:rPr>
              <w:t>Sustainability</w:t>
            </w:r>
          </w:p>
        </w:tc>
        <w:tc>
          <w:tcPr>
            <w:tcW w:w="415" w:type="pct"/>
            <w:textDirection w:val="btLr"/>
          </w:tcPr>
          <w:p w:rsidR="00FA7676" w:rsidRPr="00982C79" w:rsidRDefault="00FA7676" w:rsidP="00DE38B8">
            <w:pPr>
              <w:keepLines/>
              <w:spacing w:before="80" w:after="80" w:line="200" w:lineRule="atLeast"/>
              <w:rPr>
                <w:rFonts w:ascii="Franklin Gothic Medium" w:eastAsia="Times New Roman" w:hAnsi="Franklin Gothic Medium"/>
                <w:b/>
                <w:iCs/>
                <w:szCs w:val="17"/>
                <w:lang w:val="en-AU" w:eastAsia="en-US"/>
              </w:rPr>
            </w:pPr>
            <w:r w:rsidRPr="00982C79">
              <w:rPr>
                <w:rFonts w:ascii="Franklin Gothic Medium" w:eastAsia="Times New Roman" w:hAnsi="Franklin Gothic Medium"/>
                <w:b/>
                <w:iCs/>
                <w:szCs w:val="17"/>
                <w:lang w:val="en-AU" w:eastAsia="en-US"/>
              </w:rPr>
              <w:t>Gender equality</w:t>
            </w:r>
          </w:p>
        </w:tc>
        <w:tc>
          <w:tcPr>
            <w:tcW w:w="412" w:type="pct"/>
            <w:textDirection w:val="btLr"/>
          </w:tcPr>
          <w:p w:rsidR="00FA7676" w:rsidRPr="00982C79" w:rsidRDefault="00FA7676" w:rsidP="00DE38B8">
            <w:pPr>
              <w:keepLines/>
              <w:spacing w:before="80" w:after="80" w:line="200" w:lineRule="atLeast"/>
              <w:rPr>
                <w:rFonts w:ascii="Franklin Gothic Medium" w:eastAsia="Times New Roman" w:hAnsi="Franklin Gothic Medium"/>
                <w:b/>
                <w:iCs/>
                <w:szCs w:val="17"/>
                <w:lang w:val="en-AU" w:eastAsia="en-US"/>
              </w:rPr>
            </w:pPr>
            <w:r w:rsidRPr="00982C79">
              <w:rPr>
                <w:rFonts w:ascii="Franklin Gothic Medium" w:eastAsia="Times New Roman" w:hAnsi="Franklin Gothic Medium"/>
                <w:b/>
                <w:iCs/>
                <w:szCs w:val="17"/>
                <w:lang w:val="en-AU" w:eastAsia="en-US"/>
              </w:rPr>
              <w:t>Risks  and Safeguards</w:t>
            </w:r>
          </w:p>
        </w:tc>
      </w:tr>
      <w:tr w:rsidR="00B22262" w:rsidRPr="00982C79" w:rsidTr="003D7AB7">
        <w:trPr>
          <w:cnfStyle w:val="000000010000" w:firstRow="0" w:lastRow="0" w:firstColumn="0" w:lastColumn="0" w:oddVBand="0" w:evenVBand="0" w:oddHBand="0" w:evenHBand="1" w:firstRowFirstColumn="0" w:firstRowLastColumn="0" w:lastRowFirstColumn="0" w:lastRowLastColumn="0"/>
          <w:trHeight w:val="284"/>
        </w:trPr>
        <w:tc>
          <w:tcPr>
            <w:tcW w:w="907" w:type="pct"/>
            <w:vMerge w:val="restart"/>
            <w:tcBorders>
              <w:top w:val="single" w:sz="8" w:space="0" w:color="000000" w:themeColor="text1"/>
            </w:tcBorders>
          </w:tcPr>
          <w:p w:rsidR="00B22262" w:rsidRPr="00982C79" w:rsidRDefault="00B22262"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Laos Australia Development Learning Facility</w:t>
            </w:r>
          </w:p>
        </w:tc>
        <w:tc>
          <w:tcPr>
            <w:tcW w:w="659" w:type="pct"/>
            <w:vMerge w:val="restart"/>
            <w:tcBorders>
              <w:top w:val="single" w:sz="8" w:space="0" w:color="000000" w:themeColor="text1"/>
            </w:tcBorders>
          </w:tcPr>
          <w:p w:rsidR="00B22262" w:rsidRPr="00982C79" w:rsidRDefault="00B22262"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$10.6 million</w:t>
            </w:r>
          </w:p>
          <w:p w:rsidR="00B22262" w:rsidRPr="00982C79" w:rsidRDefault="00B22262"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2014-2020</w:t>
            </w:r>
          </w:p>
        </w:tc>
        <w:tc>
          <w:tcPr>
            <w:tcW w:w="416" w:type="pct"/>
            <w:tcBorders>
              <w:top w:val="single" w:sz="8" w:space="0" w:color="000000" w:themeColor="text1"/>
            </w:tcBorders>
          </w:tcPr>
          <w:p w:rsidR="00B22262" w:rsidRPr="00982C79" w:rsidRDefault="00B22262"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2015 AQC</w:t>
            </w:r>
          </w:p>
        </w:tc>
        <w:tc>
          <w:tcPr>
            <w:tcW w:w="418" w:type="pct"/>
            <w:tcBorders>
              <w:top w:val="single" w:sz="8" w:space="0" w:color="000000" w:themeColor="text1"/>
            </w:tcBorders>
            <w:shd w:val="clear" w:color="auto" w:fill="33CC33"/>
            <w:noWrap/>
            <w:vAlign w:val="center"/>
          </w:tcPr>
          <w:p w:rsidR="00B22262" w:rsidRPr="00982C79" w:rsidRDefault="00B22262" w:rsidP="00DE38B8">
            <w:pPr>
              <w:jc w:val="center"/>
              <w:rPr>
                <w:lang w:val="en-AU"/>
              </w:rPr>
            </w:pPr>
            <w:r w:rsidRPr="00982C79">
              <w:rPr>
                <w:lang w:val="en-AU"/>
              </w:rPr>
              <w:t>5</w:t>
            </w:r>
          </w:p>
        </w:tc>
        <w:tc>
          <w:tcPr>
            <w:tcW w:w="415" w:type="pct"/>
            <w:tcBorders>
              <w:top w:val="single" w:sz="8" w:space="0" w:color="000000" w:themeColor="text1"/>
            </w:tcBorders>
            <w:shd w:val="clear" w:color="auto" w:fill="33CC33"/>
            <w:noWrap/>
            <w:vAlign w:val="center"/>
          </w:tcPr>
          <w:p w:rsidR="00B22262" w:rsidRPr="00982C79" w:rsidRDefault="00B22262" w:rsidP="00DE38B8">
            <w:pPr>
              <w:jc w:val="center"/>
              <w:rPr>
                <w:lang w:val="en-AU"/>
              </w:rPr>
            </w:pPr>
            <w:r w:rsidRPr="00982C79">
              <w:rPr>
                <w:lang w:val="en-AU"/>
              </w:rPr>
              <w:t>5</w:t>
            </w:r>
          </w:p>
        </w:tc>
        <w:tc>
          <w:tcPr>
            <w:tcW w:w="418" w:type="pct"/>
            <w:tcBorders>
              <w:top w:val="single" w:sz="8" w:space="0" w:color="000000" w:themeColor="text1"/>
            </w:tcBorders>
            <w:shd w:val="clear" w:color="auto" w:fill="33CC33"/>
            <w:noWrap/>
            <w:vAlign w:val="center"/>
          </w:tcPr>
          <w:p w:rsidR="00B22262" w:rsidRPr="00982C79" w:rsidRDefault="00B22262" w:rsidP="00DE38B8">
            <w:pPr>
              <w:jc w:val="center"/>
              <w:rPr>
                <w:lang w:val="en-AU"/>
              </w:rPr>
            </w:pPr>
            <w:r w:rsidRPr="00982C79">
              <w:rPr>
                <w:lang w:val="en-AU"/>
              </w:rPr>
              <w:t>5</w:t>
            </w:r>
          </w:p>
        </w:tc>
        <w:tc>
          <w:tcPr>
            <w:tcW w:w="415" w:type="pct"/>
            <w:tcBorders>
              <w:top w:val="single" w:sz="8" w:space="0" w:color="000000" w:themeColor="text1"/>
            </w:tcBorders>
            <w:shd w:val="clear" w:color="auto" w:fill="FFFF00"/>
            <w:noWrap/>
            <w:vAlign w:val="center"/>
          </w:tcPr>
          <w:p w:rsidR="00B22262" w:rsidRPr="00982C79" w:rsidRDefault="00B22262" w:rsidP="00DE38B8">
            <w:pPr>
              <w:jc w:val="center"/>
              <w:rPr>
                <w:lang w:val="en-AU"/>
              </w:rPr>
            </w:pPr>
            <w:r w:rsidRPr="00982C79">
              <w:rPr>
                <w:lang w:val="en-AU"/>
              </w:rPr>
              <w:t>4</w:t>
            </w:r>
          </w:p>
        </w:tc>
        <w:tc>
          <w:tcPr>
            <w:tcW w:w="418" w:type="pct"/>
            <w:tcBorders>
              <w:top w:val="single" w:sz="8" w:space="0" w:color="000000" w:themeColor="text1"/>
            </w:tcBorders>
            <w:shd w:val="clear" w:color="auto" w:fill="FFFF00"/>
            <w:noWrap/>
            <w:vAlign w:val="center"/>
          </w:tcPr>
          <w:p w:rsidR="00B22262" w:rsidRPr="00982C79" w:rsidRDefault="00B22262" w:rsidP="00DE38B8">
            <w:pPr>
              <w:jc w:val="center"/>
              <w:rPr>
                <w:lang w:val="en-AU"/>
              </w:rPr>
            </w:pPr>
            <w:r w:rsidRPr="00982C79">
              <w:rPr>
                <w:lang w:val="en-AU"/>
              </w:rPr>
              <w:t>4</w:t>
            </w:r>
          </w:p>
        </w:tc>
        <w:tc>
          <w:tcPr>
            <w:tcW w:w="415" w:type="pct"/>
            <w:tcBorders>
              <w:top w:val="single" w:sz="8" w:space="0" w:color="000000" w:themeColor="text1"/>
            </w:tcBorders>
            <w:shd w:val="clear" w:color="auto" w:fill="FFFF00"/>
            <w:noWrap/>
            <w:vAlign w:val="center"/>
          </w:tcPr>
          <w:p w:rsidR="00B22262" w:rsidRPr="00982C79" w:rsidRDefault="00B22262" w:rsidP="00DE38B8">
            <w:pPr>
              <w:jc w:val="center"/>
              <w:rPr>
                <w:lang w:val="en-AU"/>
              </w:rPr>
            </w:pPr>
            <w:r w:rsidRPr="00982C79">
              <w:rPr>
                <w:lang w:val="en-AU"/>
              </w:rPr>
              <w:t>4</w:t>
            </w:r>
          </w:p>
        </w:tc>
        <w:tc>
          <w:tcPr>
            <w:tcW w:w="412" w:type="pct"/>
            <w:tcBorders>
              <w:top w:val="single" w:sz="8" w:space="0" w:color="000000" w:themeColor="text1"/>
            </w:tcBorders>
            <w:shd w:val="clear" w:color="auto" w:fill="33CC33"/>
            <w:vAlign w:val="center"/>
          </w:tcPr>
          <w:p w:rsidR="00B22262" w:rsidRPr="00982C79" w:rsidRDefault="00B22262" w:rsidP="00DE38B8">
            <w:pPr>
              <w:jc w:val="center"/>
              <w:rPr>
                <w:lang w:val="en-AU"/>
              </w:rPr>
            </w:pPr>
            <w:r w:rsidRPr="00982C79">
              <w:rPr>
                <w:lang w:val="en-AU"/>
              </w:rPr>
              <w:t>5</w:t>
            </w:r>
          </w:p>
        </w:tc>
      </w:tr>
      <w:tr w:rsidR="00B22262" w:rsidRPr="00982C79" w:rsidTr="00FA7676">
        <w:trPr>
          <w:cnfStyle w:val="000000010000" w:firstRow="0" w:lastRow="0" w:firstColumn="0" w:lastColumn="0" w:oddVBand="0" w:evenVBand="0" w:oddHBand="0" w:evenHBand="1" w:firstRowFirstColumn="0" w:firstRowLastColumn="0" w:lastRowFirstColumn="0" w:lastRowLastColumn="0"/>
          <w:trHeight w:val="284"/>
        </w:trPr>
        <w:tc>
          <w:tcPr>
            <w:tcW w:w="907" w:type="pct"/>
            <w:vMerge/>
            <w:tcBorders>
              <w:bottom w:val="single" w:sz="8" w:space="0" w:color="000000" w:themeColor="text1"/>
            </w:tcBorders>
          </w:tcPr>
          <w:p w:rsidR="00B22262" w:rsidRPr="00982C79" w:rsidRDefault="00B22262" w:rsidP="00DE38B8">
            <w:pPr>
              <w:keepLines/>
              <w:spacing w:before="40" w:after="40" w:line="200" w:lineRule="atLeast"/>
              <w:rPr>
                <w:rFonts w:eastAsia="Times New Roman"/>
                <w:iCs/>
                <w:szCs w:val="17"/>
                <w:lang w:val="en-AU" w:eastAsia="en-US"/>
              </w:rPr>
            </w:pPr>
          </w:p>
        </w:tc>
        <w:tc>
          <w:tcPr>
            <w:tcW w:w="659" w:type="pct"/>
            <w:vMerge/>
            <w:tcBorders>
              <w:bottom w:val="single" w:sz="8" w:space="0" w:color="000000" w:themeColor="text1"/>
            </w:tcBorders>
          </w:tcPr>
          <w:p w:rsidR="00B22262" w:rsidRPr="00982C79" w:rsidRDefault="00B22262" w:rsidP="00DE38B8">
            <w:pPr>
              <w:keepLines/>
              <w:spacing w:before="40" w:after="40" w:line="200" w:lineRule="atLeast"/>
              <w:rPr>
                <w:rFonts w:eastAsia="Times New Roman"/>
                <w:iCs/>
                <w:szCs w:val="17"/>
                <w:lang w:val="en-AU" w:eastAsia="en-US"/>
              </w:rPr>
            </w:pPr>
          </w:p>
        </w:tc>
        <w:tc>
          <w:tcPr>
            <w:tcW w:w="416" w:type="pct"/>
            <w:tcBorders>
              <w:bottom w:val="single" w:sz="8" w:space="0" w:color="000000" w:themeColor="text1"/>
            </w:tcBorders>
          </w:tcPr>
          <w:p w:rsidR="00B22262" w:rsidRPr="00982C79" w:rsidRDefault="00B22262"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2014 AQC</w:t>
            </w:r>
          </w:p>
        </w:tc>
        <w:tc>
          <w:tcPr>
            <w:tcW w:w="418" w:type="pct"/>
            <w:tcBorders>
              <w:bottom w:val="single" w:sz="8" w:space="0" w:color="000000" w:themeColor="text1"/>
            </w:tcBorders>
            <w:noWrap/>
            <w:vAlign w:val="center"/>
          </w:tcPr>
          <w:p w:rsidR="00B22262" w:rsidRPr="00982C79" w:rsidRDefault="00B22262" w:rsidP="00DE38B8">
            <w:pPr>
              <w:jc w:val="center"/>
              <w:rPr>
                <w:lang w:val="en-AU"/>
              </w:rPr>
            </w:pPr>
            <w:r w:rsidRPr="00982C79">
              <w:rPr>
                <w:rFonts w:eastAsia="Times New Roman"/>
                <w:iCs/>
                <w:szCs w:val="17"/>
                <w:lang w:val="en-AU" w:eastAsia="en-US"/>
              </w:rPr>
              <w:t>na</w:t>
            </w:r>
          </w:p>
        </w:tc>
        <w:tc>
          <w:tcPr>
            <w:tcW w:w="415" w:type="pct"/>
            <w:tcBorders>
              <w:bottom w:val="single" w:sz="8" w:space="0" w:color="000000" w:themeColor="text1"/>
            </w:tcBorders>
            <w:noWrap/>
            <w:vAlign w:val="center"/>
          </w:tcPr>
          <w:p w:rsidR="00B22262" w:rsidRPr="00982C79" w:rsidRDefault="00B22262" w:rsidP="00DE38B8">
            <w:pPr>
              <w:jc w:val="center"/>
              <w:rPr>
                <w:lang w:val="en-AU"/>
              </w:rPr>
            </w:pPr>
            <w:r w:rsidRPr="00982C79">
              <w:rPr>
                <w:rFonts w:eastAsia="Times New Roman"/>
                <w:iCs/>
                <w:szCs w:val="17"/>
                <w:lang w:val="en-AU" w:eastAsia="en-US"/>
              </w:rPr>
              <w:t>Na</w:t>
            </w:r>
          </w:p>
        </w:tc>
        <w:tc>
          <w:tcPr>
            <w:tcW w:w="418" w:type="pct"/>
            <w:tcBorders>
              <w:bottom w:val="single" w:sz="8" w:space="0" w:color="000000" w:themeColor="text1"/>
            </w:tcBorders>
            <w:noWrap/>
            <w:vAlign w:val="center"/>
          </w:tcPr>
          <w:p w:rsidR="00B22262" w:rsidRPr="00982C79" w:rsidRDefault="00B22262" w:rsidP="00DE38B8">
            <w:pPr>
              <w:jc w:val="center"/>
              <w:rPr>
                <w:lang w:val="en-AU"/>
              </w:rPr>
            </w:pPr>
            <w:r w:rsidRPr="00982C79">
              <w:rPr>
                <w:rFonts w:eastAsia="Times New Roman"/>
                <w:iCs/>
                <w:szCs w:val="17"/>
                <w:lang w:val="en-AU" w:eastAsia="en-US"/>
              </w:rPr>
              <w:t>na</w:t>
            </w:r>
          </w:p>
        </w:tc>
        <w:tc>
          <w:tcPr>
            <w:tcW w:w="415" w:type="pct"/>
            <w:tcBorders>
              <w:bottom w:val="single" w:sz="8" w:space="0" w:color="000000" w:themeColor="text1"/>
            </w:tcBorders>
            <w:noWrap/>
            <w:vAlign w:val="center"/>
          </w:tcPr>
          <w:p w:rsidR="00B22262" w:rsidRPr="00982C79" w:rsidRDefault="00B22262" w:rsidP="00DE38B8">
            <w:pPr>
              <w:jc w:val="center"/>
              <w:rPr>
                <w:lang w:val="en-AU"/>
              </w:rPr>
            </w:pPr>
            <w:r w:rsidRPr="00982C79">
              <w:rPr>
                <w:rFonts w:eastAsia="Times New Roman"/>
                <w:iCs/>
                <w:szCs w:val="17"/>
                <w:lang w:val="en-AU" w:eastAsia="en-US"/>
              </w:rPr>
              <w:t>na</w:t>
            </w:r>
          </w:p>
        </w:tc>
        <w:tc>
          <w:tcPr>
            <w:tcW w:w="418" w:type="pct"/>
            <w:tcBorders>
              <w:bottom w:val="single" w:sz="8" w:space="0" w:color="000000" w:themeColor="text1"/>
            </w:tcBorders>
            <w:noWrap/>
            <w:vAlign w:val="center"/>
          </w:tcPr>
          <w:p w:rsidR="00B22262" w:rsidRPr="00982C79" w:rsidRDefault="00B22262" w:rsidP="00DE38B8">
            <w:pPr>
              <w:jc w:val="center"/>
              <w:rPr>
                <w:lang w:val="en-AU"/>
              </w:rPr>
            </w:pPr>
            <w:r w:rsidRPr="00982C79">
              <w:rPr>
                <w:rFonts w:eastAsia="Times New Roman"/>
                <w:iCs/>
                <w:szCs w:val="17"/>
                <w:lang w:val="en-AU" w:eastAsia="en-US"/>
              </w:rPr>
              <w:t>na</w:t>
            </w:r>
          </w:p>
        </w:tc>
        <w:tc>
          <w:tcPr>
            <w:tcW w:w="415" w:type="pct"/>
            <w:tcBorders>
              <w:bottom w:val="single" w:sz="8" w:space="0" w:color="000000" w:themeColor="text1"/>
            </w:tcBorders>
            <w:noWrap/>
            <w:vAlign w:val="center"/>
          </w:tcPr>
          <w:p w:rsidR="00B22262" w:rsidRPr="00982C79" w:rsidRDefault="00B22262" w:rsidP="00DE38B8">
            <w:pPr>
              <w:jc w:val="center"/>
              <w:rPr>
                <w:lang w:val="en-AU"/>
              </w:rPr>
            </w:pPr>
            <w:r w:rsidRPr="00982C79">
              <w:rPr>
                <w:rFonts w:eastAsia="Times New Roman"/>
                <w:iCs/>
                <w:szCs w:val="17"/>
                <w:lang w:val="en-AU" w:eastAsia="en-US"/>
              </w:rPr>
              <w:t>na</w:t>
            </w:r>
          </w:p>
        </w:tc>
        <w:tc>
          <w:tcPr>
            <w:tcW w:w="412" w:type="pct"/>
            <w:tcBorders>
              <w:bottom w:val="single" w:sz="8" w:space="0" w:color="000000" w:themeColor="text1"/>
            </w:tcBorders>
            <w:vAlign w:val="center"/>
          </w:tcPr>
          <w:p w:rsidR="00B22262" w:rsidRPr="00982C79" w:rsidRDefault="00B22262" w:rsidP="00DE38B8">
            <w:pPr>
              <w:jc w:val="center"/>
              <w:rPr>
                <w:lang w:val="en-AU"/>
              </w:rPr>
            </w:pPr>
            <w:r w:rsidRPr="00982C79">
              <w:rPr>
                <w:rFonts w:eastAsia="Times New Roman"/>
                <w:iCs/>
                <w:szCs w:val="17"/>
                <w:lang w:val="en-AU" w:eastAsia="en-US"/>
              </w:rPr>
              <w:t>na</w:t>
            </w:r>
          </w:p>
        </w:tc>
      </w:tr>
      <w:tr w:rsidR="00B22262" w:rsidRPr="00982C79" w:rsidTr="003D7AB7">
        <w:trPr>
          <w:cnfStyle w:val="000000010000" w:firstRow="0" w:lastRow="0" w:firstColumn="0" w:lastColumn="0" w:oddVBand="0" w:evenVBand="0" w:oddHBand="0" w:evenHBand="1" w:firstRowFirstColumn="0" w:firstRowLastColumn="0" w:lastRowFirstColumn="0" w:lastRowLastColumn="0"/>
          <w:trHeight w:val="284"/>
        </w:trPr>
        <w:tc>
          <w:tcPr>
            <w:tcW w:w="907" w:type="pct"/>
            <w:vMerge w:val="restart"/>
            <w:tcBorders>
              <w:top w:val="single" w:sz="8" w:space="0" w:color="000000" w:themeColor="text1"/>
            </w:tcBorders>
          </w:tcPr>
          <w:p w:rsidR="00B22262" w:rsidRPr="00982C79" w:rsidRDefault="00B22262"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Basic Education Quality &amp; Access in Laos</w:t>
            </w:r>
          </w:p>
        </w:tc>
        <w:tc>
          <w:tcPr>
            <w:tcW w:w="659" w:type="pct"/>
            <w:vMerge w:val="restart"/>
            <w:tcBorders>
              <w:top w:val="single" w:sz="8" w:space="0" w:color="000000" w:themeColor="text1"/>
            </w:tcBorders>
          </w:tcPr>
          <w:p w:rsidR="00B22262" w:rsidRPr="00982C79" w:rsidRDefault="00B22262"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$65 million</w:t>
            </w:r>
          </w:p>
          <w:p w:rsidR="00B22262" w:rsidRPr="00982C79" w:rsidRDefault="00B22262"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2016-2019</w:t>
            </w:r>
          </w:p>
        </w:tc>
        <w:tc>
          <w:tcPr>
            <w:tcW w:w="416" w:type="pct"/>
            <w:tcBorders>
              <w:top w:val="single" w:sz="8" w:space="0" w:color="000000" w:themeColor="text1"/>
            </w:tcBorders>
          </w:tcPr>
          <w:p w:rsidR="00B22262" w:rsidRPr="00982C79" w:rsidRDefault="00B22262"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2015 AQC</w:t>
            </w:r>
          </w:p>
        </w:tc>
        <w:tc>
          <w:tcPr>
            <w:tcW w:w="418" w:type="pct"/>
            <w:tcBorders>
              <w:top w:val="single" w:sz="8" w:space="0" w:color="000000" w:themeColor="text1"/>
            </w:tcBorders>
            <w:shd w:val="clear" w:color="auto" w:fill="33CC33"/>
            <w:noWrap/>
            <w:vAlign w:val="center"/>
          </w:tcPr>
          <w:p w:rsidR="00B22262" w:rsidRPr="00982C79" w:rsidRDefault="00B22262" w:rsidP="00DE38B8">
            <w:pPr>
              <w:jc w:val="center"/>
              <w:rPr>
                <w:lang w:val="en-AU"/>
              </w:rPr>
            </w:pPr>
            <w:r w:rsidRPr="00982C79">
              <w:rPr>
                <w:lang w:val="en-AU"/>
              </w:rPr>
              <w:t>5</w:t>
            </w:r>
          </w:p>
        </w:tc>
        <w:tc>
          <w:tcPr>
            <w:tcW w:w="415" w:type="pct"/>
            <w:tcBorders>
              <w:top w:val="single" w:sz="8" w:space="0" w:color="000000" w:themeColor="text1"/>
            </w:tcBorders>
            <w:shd w:val="clear" w:color="auto" w:fill="33CC33"/>
            <w:noWrap/>
            <w:vAlign w:val="center"/>
          </w:tcPr>
          <w:p w:rsidR="00B22262" w:rsidRPr="00982C79" w:rsidRDefault="00B22262" w:rsidP="00DE38B8">
            <w:pPr>
              <w:jc w:val="center"/>
              <w:rPr>
                <w:lang w:val="en-AU"/>
              </w:rPr>
            </w:pPr>
            <w:r w:rsidRPr="00982C79">
              <w:rPr>
                <w:lang w:val="en-AU"/>
              </w:rPr>
              <w:t>5</w:t>
            </w:r>
          </w:p>
        </w:tc>
        <w:tc>
          <w:tcPr>
            <w:tcW w:w="418" w:type="pct"/>
            <w:tcBorders>
              <w:top w:val="single" w:sz="8" w:space="0" w:color="000000" w:themeColor="text1"/>
            </w:tcBorders>
            <w:shd w:val="clear" w:color="auto" w:fill="33CC33"/>
            <w:noWrap/>
            <w:vAlign w:val="center"/>
          </w:tcPr>
          <w:p w:rsidR="00B22262" w:rsidRPr="00982C79" w:rsidRDefault="00B22262" w:rsidP="00DE38B8">
            <w:pPr>
              <w:jc w:val="center"/>
              <w:rPr>
                <w:lang w:val="en-AU"/>
              </w:rPr>
            </w:pPr>
            <w:r w:rsidRPr="00982C79">
              <w:rPr>
                <w:lang w:val="en-AU"/>
              </w:rPr>
              <w:t>5</w:t>
            </w:r>
          </w:p>
        </w:tc>
        <w:tc>
          <w:tcPr>
            <w:tcW w:w="415" w:type="pct"/>
            <w:tcBorders>
              <w:top w:val="single" w:sz="8" w:space="0" w:color="000000" w:themeColor="text1"/>
            </w:tcBorders>
            <w:shd w:val="clear" w:color="auto" w:fill="FFFF00"/>
            <w:noWrap/>
            <w:vAlign w:val="center"/>
          </w:tcPr>
          <w:p w:rsidR="00B22262" w:rsidRPr="00982C79" w:rsidRDefault="00B22262" w:rsidP="00DE38B8">
            <w:pPr>
              <w:jc w:val="center"/>
              <w:rPr>
                <w:lang w:val="en-AU"/>
              </w:rPr>
            </w:pPr>
            <w:r w:rsidRPr="00982C79">
              <w:rPr>
                <w:lang w:val="en-AU"/>
              </w:rPr>
              <w:t>4</w:t>
            </w:r>
          </w:p>
        </w:tc>
        <w:tc>
          <w:tcPr>
            <w:tcW w:w="418" w:type="pct"/>
            <w:tcBorders>
              <w:top w:val="single" w:sz="8" w:space="0" w:color="000000" w:themeColor="text1"/>
            </w:tcBorders>
            <w:shd w:val="clear" w:color="auto" w:fill="FFFF00"/>
            <w:noWrap/>
            <w:vAlign w:val="center"/>
          </w:tcPr>
          <w:p w:rsidR="00B22262" w:rsidRPr="00982C79" w:rsidRDefault="00B22262" w:rsidP="00DE38B8">
            <w:pPr>
              <w:jc w:val="center"/>
              <w:rPr>
                <w:lang w:val="en-AU"/>
              </w:rPr>
            </w:pPr>
            <w:r w:rsidRPr="00982C79">
              <w:rPr>
                <w:lang w:val="en-AU"/>
              </w:rPr>
              <w:t>4</w:t>
            </w:r>
          </w:p>
        </w:tc>
        <w:tc>
          <w:tcPr>
            <w:tcW w:w="415" w:type="pct"/>
            <w:tcBorders>
              <w:top w:val="single" w:sz="8" w:space="0" w:color="000000" w:themeColor="text1"/>
            </w:tcBorders>
            <w:shd w:val="clear" w:color="auto" w:fill="33CC33"/>
            <w:noWrap/>
            <w:vAlign w:val="center"/>
          </w:tcPr>
          <w:p w:rsidR="00B22262" w:rsidRPr="00982C79" w:rsidRDefault="00B22262" w:rsidP="00DE38B8">
            <w:pPr>
              <w:jc w:val="center"/>
              <w:rPr>
                <w:lang w:val="en-AU"/>
              </w:rPr>
            </w:pPr>
            <w:r w:rsidRPr="00982C79">
              <w:rPr>
                <w:lang w:val="en-AU"/>
              </w:rPr>
              <w:t>5</w:t>
            </w:r>
          </w:p>
        </w:tc>
        <w:tc>
          <w:tcPr>
            <w:tcW w:w="412" w:type="pct"/>
            <w:tcBorders>
              <w:top w:val="single" w:sz="8" w:space="0" w:color="000000" w:themeColor="text1"/>
            </w:tcBorders>
            <w:shd w:val="clear" w:color="auto" w:fill="33CC33"/>
            <w:vAlign w:val="center"/>
          </w:tcPr>
          <w:p w:rsidR="00B22262" w:rsidRPr="00982C79" w:rsidRDefault="00B22262" w:rsidP="00DE38B8">
            <w:pPr>
              <w:jc w:val="center"/>
              <w:rPr>
                <w:lang w:val="en-AU"/>
              </w:rPr>
            </w:pPr>
            <w:r w:rsidRPr="00982C79">
              <w:rPr>
                <w:lang w:val="en-AU"/>
              </w:rPr>
              <w:t>5</w:t>
            </w:r>
          </w:p>
        </w:tc>
      </w:tr>
      <w:tr w:rsidR="00B22262" w:rsidRPr="00982C79" w:rsidTr="00FA7676">
        <w:trPr>
          <w:cnfStyle w:val="000000010000" w:firstRow="0" w:lastRow="0" w:firstColumn="0" w:lastColumn="0" w:oddVBand="0" w:evenVBand="0" w:oddHBand="0" w:evenHBand="1" w:firstRowFirstColumn="0" w:firstRowLastColumn="0" w:lastRowFirstColumn="0" w:lastRowLastColumn="0"/>
          <w:trHeight w:val="284"/>
        </w:trPr>
        <w:tc>
          <w:tcPr>
            <w:tcW w:w="907" w:type="pct"/>
            <w:vMerge/>
            <w:tcBorders>
              <w:bottom w:val="single" w:sz="8" w:space="0" w:color="000000" w:themeColor="text1"/>
            </w:tcBorders>
          </w:tcPr>
          <w:p w:rsidR="00B22262" w:rsidRPr="00982C79" w:rsidRDefault="00B22262" w:rsidP="00DE38B8">
            <w:pPr>
              <w:keepLines/>
              <w:spacing w:before="40" w:after="40" w:line="200" w:lineRule="atLeast"/>
              <w:rPr>
                <w:rFonts w:eastAsia="Times New Roman"/>
                <w:iCs/>
                <w:szCs w:val="17"/>
                <w:lang w:val="en-AU" w:eastAsia="en-US"/>
              </w:rPr>
            </w:pPr>
          </w:p>
        </w:tc>
        <w:tc>
          <w:tcPr>
            <w:tcW w:w="659" w:type="pct"/>
            <w:vMerge/>
            <w:tcBorders>
              <w:bottom w:val="single" w:sz="8" w:space="0" w:color="000000" w:themeColor="text1"/>
            </w:tcBorders>
          </w:tcPr>
          <w:p w:rsidR="00B22262" w:rsidRPr="00982C79" w:rsidRDefault="00B22262" w:rsidP="00DE38B8">
            <w:pPr>
              <w:keepLines/>
              <w:spacing w:before="40" w:after="40" w:line="200" w:lineRule="atLeast"/>
              <w:rPr>
                <w:rFonts w:eastAsia="Times New Roman"/>
                <w:iCs/>
                <w:szCs w:val="17"/>
                <w:lang w:val="en-AU" w:eastAsia="en-US"/>
              </w:rPr>
            </w:pPr>
          </w:p>
        </w:tc>
        <w:tc>
          <w:tcPr>
            <w:tcW w:w="416" w:type="pct"/>
            <w:tcBorders>
              <w:bottom w:val="single" w:sz="8" w:space="0" w:color="000000" w:themeColor="text1"/>
            </w:tcBorders>
          </w:tcPr>
          <w:p w:rsidR="00B22262" w:rsidRPr="00982C79" w:rsidRDefault="00B22262" w:rsidP="00DE38B8">
            <w:pPr>
              <w:keepLines/>
              <w:spacing w:before="40" w:after="40" w:line="200" w:lineRule="atLeast"/>
              <w:rPr>
                <w:rFonts w:eastAsia="Times New Roman"/>
                <w:iCs/>
                <w:szCs w:val="17"/>
                <w:lang w:val="en-AU" w:eastAsia="en-US"/>
              </w:rPr>
            </w:pPr>
            <w:r w:rsidRPr="00982C79">
              <w:rPr>
                <w:rFonts w:eastAsia="Times New Roman"/>
                <w:iCs/>
                <w:szCs w:val="17"/>
                <w:lang w:val="en-AU" w:eastAsia="en-US"/>
              </w:rPr>
              <w:t>2014 AQC</w:t>
            </w:r>
          </w:p>
        </w:tc>
        <w:tc>
          <w:tcPr>
            <w:tcW w:w="418" w:type="pct"/>
            <w:tcBorders>
              <w:bottom w:val="single" w:sz="8" w:space="0" w:color="000000" w:themeColor="text1"/>
            </w:tcBorders>
            <w:noWrap/>
            <w:vAlign w:val="center"/>
          </w:tcPr>
          <w:p w:rsidR="00B22262" w:rsidRPr="00982C79" w:rsidRDefault="00B22262" w:rsidP="00DE38B8">
            <w:pPr>
              <w:jc w:val="center"/>
              <w:rPr>
                <w:lang w:val="en-AU"/>
              </w:rPr>
            </w:pPr>
            <w:r w:rsidRPr="00982C79">
              <w:rPr>
                <w:rFonts w:eastAsia="Times New Roman"/>
                <w:iCs/>
                <w:szCs w:val="17"/>
                <w:lang w:val="en-AU" w:eastAsia="en-US"/>
              </w:rPr>
              <w:t>na</w:t>
            </w:r>
          </w:p>
        </w:tc>
        <w:tc>
          <w:tcPr>
            <w:tcW w:w="415" w:type="pct"/>
            <w:tcBorders>
              <w:bottom w:val="single" w:sz="8" w:space="0" w:color="000000" w:themeColor="text1"/>
            </w:tcBorders>
            <w:noWrap/>
            <w:vAlign w:val="center"/>
          </w:tcPr>
          <w:p w:rsidR="00B22262" w:rsidRPr="00982C79" w:rsidRDefault="00B22262" w:rsidP="00DE38B8">
            <w:pPr>
              <w:jc w:val="center"/>
              <w:rPr>
                <w:lang w:val="en-AU"/>
              </w:rPr>
            </w:pPr>
            <w:r w:rsidRPr="00982C79">
              <w:rPr>
                <w:rFonts w:eastAsia="Times New Roman"/>
                <w:iCs/>
                <w:szCs w:val="17"/>
                <w:lang w:val="en-AU" w:eastAsia="en-US"/>
              </w:rPr>
              <w:t>na</w:t>
            </w:r>
          </w:p>
        </w:tc>
        <w:tc>
          <w:tcPr>
            <w:tcW w:w="418" w:type="pct"/>
            <w:tcBorders>
              <w:bottom w:val="single" w:sz="8" w:space="0" w:color="000000" w:themeColor="text1"/>
            </w:tcBorders>
            <w:noWrap/>
            <w:vAlign w:val="center"/>
          </w:tcPr>
          <w:p w:rsidR="00B22262" w:rsidRPr="00982C79" w:rsidRDefault="00B22262" w:rsidP="00DE38B8">
            <w:pPr>
              <w:jc w:val="center"/>
              <w:rPr>
                <w:lang w:val="en-AU"/>
              </w:rPr>
            </w:pPr>
            <w:r w:rsidRPr="00982C79">
              <w:rPr>
                <w:rFonts w:eastAsia="Times New Roman"/>
                <w:iCs/>
                <w:szCs w:val="17"/>
                <w:lang w:val="en-AU" w:eastAsia="en-US"/>
              </w:rPr>
              <w:t>na</w:t>
            </w:r>
          </w:p>
        </w:tc>
        <w:tc>
          <w:tcPr>
            <w:tcW w:w="415" w:type="pct"/>
            <w:tcBorders>
              <w:bottom w:val="single" w:sz="8" w:space="0" w:color="000000" w:themeColor="text1"/>
            </w:tcBorders>
            <w:noWrap/>
            <w:vAlign w:val="center"/>
          </w:tcPr>
          <w:p w:rsidR="00B22262" w:rsidRPr="00982C79" w:rsidRDefault="00B22262" w:rsidP="00DE38B8">
            <w:pPr>
              <w:jc w:val="center"/>
              <w:rPr>
                <w:lang w:val="en-AU"/>
              </w:rPr>
            </w:pPr>
            <w:r w:rsidRPr="00982C79">
              <w:rPr>
                <w:rFonts w:eastAsia="Times New Roman"/>
                <w:iCs/>
                <w:szCs w:val="17"/>
                <w:lang w:val="en-AU" w:eastAsia="en-US"/>
              </w:rPr>
              <w:t>na</w:t>
            </w:r>
          </w:p>
        </w:tc>
        <w:tc>
          <w:tcPr>
            <w:tcW w:w="418" w:type="pct"/>
            <w:tcBorders>
              <w:bottom w:val="single" w:sz="8" w:space="0" w:color="000000" w:themeColor="text1"/>
            </w:tcBorders>
            <w:noWrap/>
            <w:vAlign w:val="center"/>
          </w:tcPr>
          <w:p w:rsidR="00B22262" w:rsidRPr="00982C79" w:rsidRDefault="00B22262" w:rsidP="00DE38B8">
            <w:pPr>
              <w:jc w:val="center"/>
              <w:rPr>
                <w:lang w:val="en-AU"/>
              </w:rPr>
            </w:pPr>
            <w:r w:rsidRPr="00982C79">
              <w:rPr>
                <w:rFonts w:eastAsia="Times New Roman"/>
                <w:iCs/>
                <w:szCs w:val="17"/>
                <w:lang w:val="en-AU" w:eastAsia="en-US"/>
              </w:rPr>
              <w:t>na</w:t>
            </w:r>
          </w:p>
        </w:tc>
        <w:tc>
          <w:tcPr>
            <w:tcW w:w="415" w:type="pct"/>
            <w:tcBorders>
              <w:bottom w:val="single" w:sz="8" w:space="0" w:color="000000" w:themeColor="text1"/>
            </w:tcBorders>
            <w:noWrap/>
            <w:vAlign w:val="center"/>
          </w:tcPr>
          <w:p w:rsidR="00B22262" w:rsidRPr="00982C79" w:rsidRDefault="00B22262" w:rsidP="00DE38B8">
            <w:pPr>
              <w:jc w:val="center"/>
              <w:rPr>
                <w:lang w:val="en-AU"/>
              </w:rPr>
            </w:pPr>
            <w:r w:rsidRPr="00982C79">
              <w:rPr>
                <w:rFonts w:eastAsia="Times New Roman"/>
                <w:iCs/>
                <w:szCs w:val="17"/>
                <w:lang w:val="en-AU" w:eastAsia="en-US"/>
              </w:rPr>
              <w:t>na</w:t>
            </w:r>
          </w:p>
        </w:tc>
        <w:tc>
          <w:tcPr>
            <w:tcW w:w="412" w:type="pct"/>
            <w:tcBorders>
              <w:bottom w:val="single" w:sz="8" w:space="0" w:color="000000" w:themeColor="text1"/>
            </w:tcBorders>
            <w:vAlign w:val="center"/>
          </w:tcPr>
          <w:p w:rsidR="00B22262" w:rsidRPr="00982C79" w:rsidRDefault="00B22262" w:rsidP="00DE38B8">
            <w:pPr>
              <w:jc w:val="center"/>
              <w:rPr>
                <w:lang w:val="en-AU"/>
              </w:rPr>
            </w:pPr>
            <w:r w:rsidRPr="00982C79">
              <w:rPr>
                <w:rFonts w:eastAsia="Times New Roman"/>
                <w:iCs/>
                <w:szCs w:val="17"/>
                <w:lang w:val="en-AU" w:eastAsia="en-US"/>
              </w:rPr>
              <w:t>na</w:t>
            </w:r>
          </w:p>
        </w:tc>
      </w:tr>
    </w:tbl>
    <w:p w:rsidR="00B22262" w:rsidRPr="002C705D" w:rsidRDefault="002C705D" w:rsidP="002C705D">
      <w:pPr>
        <w:spacing w:before="20" w:after="20" w:line="180" w:lineRule="atLeast"/>
        <w:jc w:val="both"/>
        <w:rPr>
          <w:rFonts w:eastAsia="Times New Roman"/>
          <w:b/>
          <w:sz w:val="16"/>
          <w:szCs w:val="14"/>
        </w:rPr>
      </w:pPr>
      <w:r w:rsidRPr="002C705D">
        <w:rPr>
          <w:rFonts w:eastAsia="Times New Roman"/>
          <w:b/>
          <w:sz w:val="16"/>
          <w:szCs w:val="14"/>
        </w:rPr>
        <w:t>Note</w:t>
      </w:r>
    </w:p>
    <w:p w:rsidR="00AD316E" w:rsidRPr="003B0793" w:rsidRDefault="00AD316E" w:rsidP="00AD316E">
      <w:pPr>
        <w:spacing w:before="20" w:after="20" w:line="180" w:lineRule="atLeast"/>
        <w:jc w:val="both"/>
        <w:rPr>
          <w:rFonts w:eastAsia="Times New Roman"/>
          <w:b/>
          <w:sz w:val="16"/>
          <w:szCs w:val="14"/>
        </w:rPr>
      </w:pPr>
      <w:r w:rsidRPr="003B0793">
        <w:rPr>
          <w:rFonts w:eastAsia="Times New Roman"/>
          <w:b/>
          <w:sz w:val="16"/>
          <w:szCs w:val="14"/>
        </w:rPr>
        <w:t>Definitions of rating scale:</w:t>
      </w:r>
      <w:r w:rsidRPr="003B0793">
        <w:rPr>
          <w:rFonts w:eastAsia="Times New Roman"/>
          <w:b/>
          <w:sz w:val="16"/>
          <w:szCs w:val="14"/>
        </w:rPr>
        <w:tab/>
      </w:r>
    </w:p>
    <w:p w:rsidR="00AD316E" w:rsidRPr="003B0793" w:rsidRDefault="00AD316E" w:rsidP="00AD316E">
      <w:pPr>
        <w:spacing w:before="20" w:after="20" w:line="180" w:lineRule="atLeast"/>
        <w:jc w:val="both"/>
        <w:rPr>
          <w:rFonts w:eastAsia="Times New Roman"/>
          <w:b/>
          <w:sz w:val="16"/>
          <w:szCs w:val="14"/>
        </w:rPr>
      </w:pPr>
      <w:r w:rsidRPr="003B0793">
        <w:rPr>
          <w:rFonts w:eastAsia="Times New Roman"/>
          <w:b/>
          <w:sz w:val="16"/>
          <w:szCs w:val="14"/>
        </w:rPr>
        <w:t>Satisfactory (4, 5 and 6)</w:t>
      </w:r>
    </w:p>
    <w:p w:rsidR="00AD316E" w:rsidRDefault="00AD316E" w:rsidP="00AD316E">
      <w:pPr>
        <w:spacing w:before="20" w:after="20" w:line="180" w:lineRule="atLeast"/>
        <w:jc w:val="both"/>
        <w:rPr>
          <w:rFonts w:eastAsia="Times New Roman"/>
          <w:b/>
          <w:sz w:val="16"/>
          <w:szCs w:val="14"/>
        </w:rPr>
      </w:pPr>
      <w:r w:rsidRPr="003B0793">
        <w:rPr>
          <w:rFonts w:eastAsia="Times New Roman"/>
          <w:b/>
          <w:color w:val="72AF2F"/>
          <w:sz w:val="16"/>
          <w:szCs w:val="14"/>
        </w:rPr>
        <w:sym w:font="Webdings" w:char="F067"/>
      </w:r>
      <w:r w:rsidRPr="003B0793">
        <w:rPr>
          <w:rFonts w:eastAsia="Times New Roman"/>
          <w:b/>
          <w:sz w:val="16"/>
          <w:szCs w:val="14"/>
        </w:rPr>
        <w:t xml:space="preserve"> 6 = Very good; satisfies criteria in all areas.</w:t>
      </w:r>
    </w:p>
    <w:p w:rsidR="00AD316E" w:rsidRPr="003B0793" w:rsidRDefault="00AD316E" w:rsidP="00AD316E">
      <w:pPr>
        <w:spacing w:before="20" w:after="20" w:line="180" w:lineRule="atLeast"/>
        <w:jc w:val="both"/>
        <w:rPr>
          <w:rFonts w:eastAsia="Times New Roman"/>
          <w:b/>
          <w:sz w:val="16"/>
          <w:szCs w:val="14"/>
        </w:rPr>
      </w:pPr>
      <w:r w:rsidRPr="003B0793">
        <w:rPr>
          <w:rFonts w:eastAsia="Times New Roman"/>
          <w:b/>
          <w:color w:val="72AF2F"/>
          <w:sz w:val="16"/>
          <w:szCs w:val="14"/>
        </w:rPr>
        <w:sym w:font="Webdings" w:char="F067"/>
      </w:r>
      <w:r w:rsidRPr="003B0793">
        <w:rPr>
          <w:rFonts w:eastAsia="Times New Roman"/>
          <w:b/>
          <w:sz w:val="16"/>
          <w:szCs w:val="14"/>
        </w:rPr>
        <w:t xml:space="preserve"> 5 = Good; satisfies criteria in almost all areas.</w:t>
      </w:r>
    </w:p>
    <w:p w:rsidR="00AD316E" w:rsidRPr="003B0793" w:rsidRDefault="00AD316E" w:rsidP="00AD316E">
      <w:pPr>
        <w:spacing w:before="20" w:after="20" w:line="180" w:lineRule="atLeast"/>
        <w:jc w:val="both"/>
        <w:rPr>
          <w:rFonts w:eastAsia="Times New Roman"/>
          <w:b/>
          <w:sz w:val="16"/>
          <w:szCs w:val="14"/>
        </w:rPr>
      </w:pPr>
      <w:r w:rsidRPr="003B0793">
        <w:rPr>
          <w:rFonts w:eastAsia="Times New Roman"/>
          <w:b/>
          <w:color w:val="FFFF00"/>
          <w:sz w:val="16"/>
          <w:szCs w:val="14"/>
        </w:rPr>
        <w:sym w:font="Webdings" w:char="F067"/>
      </w:r>
      <w:r w:rsidRPr="003B0793">
        <w:rPr>
          <w:rFonts w:eastAsia="Times New Roman"/>
          <w:b/>
          <w:sz w:val="16"/>
          <w:szCs w:val="14"/>
        </w:rPr>
        <w:t xml:space="preserve"> 4 = Adequate; on balance, satisfies criteria; does not fail in any major area.</w:t>
      </w:r>
    </w:p>
    <w:p w:rsidR="00AD316E" w:rsidRPr="003B0793" w:rsidRDefault="00AD316E" w:rsidP="00AD316E">
      <w:pPr>
        <w:spacing w:before="20" w:after="20" w:line="180" w:lineRule="atLeast"/>
        <w:jc w:val="both"/>
        <w:rPr>
          <w:rFonts w:eastAsia="Times New Roman"/>
          <w:b/>
          <w:sz w:val="16"/>
          <w:szCs w:val="14"/>
        </w:rPr>
      </w:pPr>
      <w:r w:rsidRPr="003B0793">
        <w:rPr>
          <w:rFonts w:eastAsia="Times New Roman"/>
          <w:b/>
          <w:sz w:val="16"/>
          <w:szCs w:val="14"/>
        </w:rPr>
        <w:t>Less than satisfactory (1, 2 and 3)</w:t>
      </w:r>
    </w:p>
    <w:p w:rsidR="00AD316E" w:rsidRPr="003B0793" w:rsidRDefault="00AD316E" w:rsidP="00AD316E">
      <w:pPr>
        <w:spacing w:before="20" w:after="20" w:line="180" w:lineRule="atLeast"/>
        <w:jc w:val="both"/>
        <w:rPr>
          <w:rFonts w:eastAsia="Times New Roman"/>
          <w:b/>
          <w:sz w:val="16"/>
          <w:szCs w:val="14"/>
        </w:rPr>
      </w:pPr>
      <w:r w:rsidRPr="003B0793">
        <w:rPr>
          <w:rFonts w:eastAsia="Times New Roman"/>
          <w:b/>
          <w:color w:val="E36C0A"/>
          <w:sz w:val="16"/>
          <w:szCs w:val="14"/>
        </w:rPr>
        <w:sym w:font="Webdings" w:char="F067"/>
      </w:r>
      <w:r w:rsidRPr="003B0793">
        <w:rPr>
          <w:rFonts w:eastAsia="Times New Roman"/>
          <w:b/>
          <w:color w:val="E36C0A"/>
          <w:sz w:val="16"/>
          <w:szCs w:val="14"/>
        </w:rPr>
        <w:t xml:space="preserve"> </w:t>
      </w:r>
      <w:r w:rsidRPr="003B0793">
        <w:rPr>
          <w:rFonts w:eastAsia="Times New Roman"/>
          <w:b/>
          <w:sz w:val="16"/>
          <w:szCs w:val="14"/>
        </w:rPr>
        <w:t>3 = Less than adequate; on balance does not satisfy criteria and/or fails in at least one major area.</w:t>
      </w:r>
    </w:p>
    <w:p w:rsidR="00AD316E" w:rsidRDefault="00AD316E" w:rsidP="00AD316E">
      <w:pPr>
        <w:spacing w:before="20" w:after="20" w:line="180" w:lineRule="atLeast"/>
        <w:rPr>
          <w:rFonts w:eastAsia="Times New Roman"/>
          <w:b/>
          <w:sz w:val="16"/>
          <w:szCs w:val="14"/>
        </w:rPr>
      </w:pPr>
      <w:r w:rsidRPr="003B0793">
        <w:rPr>
          <w:rFonts w:eastAsia="Times New Roman"/>
          <w:b/>
          <w:color w:val="FF0000"/>
          <w:sz w:val="16"/>
          <w:szCs w:val="14"/>
        </w:rPr>
        <w:sym w:font="Webdings" w:char="F067"/>
      </w:r>
      <w:r w:rsidRPr="003B0793">
        <w:rPr>
          <w:rFonts w:eastAsia="Times New Roman"/>
          <w:b/>
          <w:sz w:val="16"/>
          <w:szCs w:val="14"/>
        </w:rPr>
        <w:t xml:space="preserve"> 2 = Poor; does not satisfy criteria in major areas.</w:t>
      </w:r>
    </w:p>
    <w:p w:rsidR="00AD316E" w:rsidRPr="003B0793" w:rsidRDefault="00AD316E" w:rsidP="00AD316E">
      <w:pPr>
        <w:spacing w:before="20" w:after="20" w:line="180" w:lineRule="atLeast"/>
        <w:rPr>
          <w:sz w:val="24"/>
        </w:rPr>
      </w:pPr>
      <w:r w:rsidRPr="003B0793">
        <w:rPr>
          <w:rFonts w:eastAsia="Times New Roman"/>
          <w:b/>
          <w:color w:val="FF0000"/>
          <w:sz w:val="16"/>
          <w:szCs w:val="14"/>
        </w:rPr>
        <w:sym w:font="Webdings" w:char="F067"/>
      </w:r>
      <w:r w:rsidRPr="003B0793">
        <w:rPr>
          <w:rFonts w:eastAsia="Times New Roman"/>
          <w:b/>
          <w:sz w:val="16"/>
          <w:szCs w:val="14"/>
        </w:rPr>
        <w:t xml:space="preserve"> 1 = Very poor; does not satisfy criteria in many major area.</w:t>
      </w:r>
    </w:p>
    <w:p w:rsidR="00AD316E" w:rsidRPr="00982C79" w:rsidRDefault="00AD316E" w:rsidP="005B5769">
      <w:pPr>
        <w:pStyle w:val="ListBullet"/>
        <w:tabs>
          <w:tab w:val="clear" w:pos="284"/>
        </w:tabs>
      </w:pPr>
    </w:p>
    <w:p w:rsidR="00B22262" w:rsidRPr="00982C79" w:rsidRDefault="00FA7676" w:rsidP="00A23496">
      <w:pPr>
        <w:pStyle w:val="ListBullet"/>
        <w:tabs>
          <w:tab w:val="clear" w:pos="284"/>
        </w:tabs>
      </w:pPr>
      <w:r w:rsidRPr="00982C79">
        <w:t xml:space="preserve">No HAQC or FAQC </w:t>
      </w:r>
      <w:r w:rsidR="002C705D">
        <w:t>assessments</w:t>
      </w:r>
      <w:r w:rsidRPr="00982C79">
        <w:t xml:space="preserve"> for the program undertaken in 2015-16.</w:t>
      </w:r>
    </w:p>
    <w:sectPr w:rsidR="00B22262" w:rsidRPr="00982C79" w:rsidSect="00A23496">
      <w:headerReference w:type="default" r:id="rId20"/>
      <w:pgSz w:w="16838" w:h="11906" w:orient="landscape" w:code="9"/>
      <w:pgMar w:top="1134" w:right="1952" w:bottom="1134" w:left="851" w:header="1107" w:footer="567" w:gutter="0"/>
      <w:cols w:space="39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123" w:rsidRDefault="00FF5123" w:rsidP="00EF4574">
      <w:pPr>
        <w:spacing w:before="0" w:after="0" w:line="240" w:lineRule="auto"/>
      </w:pPr>
      <w:r>
        <w:separator/>
      </w:r>
    </w:p>
  </w:endnote>
  <w:endnote w:type="continuationSeparator" w:id="0">
    <w:p w:rsidR="00FF5123" w:rsidRDefault="00FF5123"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312" w:rsidRDefault="00AD43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312" w:rsidRDefault="00AD43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312" w:rsidRDefault="00AD43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123" w:rsidRPr="008C5A0E" w:rsidRDefault="00FF5123" w:rsidP="001D663E">
      <w:pPr>
        <w:pStyle w:val="Footer"/>
        <w:pBdr>
          <w:top w:val="single" w:sz="4" w:space="1" w:color="495965" w:themeColor="text2"/>
        </w:pBdr>
      </w:pPr>
    </w:p>
  </w:footnote>
  <w:footnote w:type="continuationSeparator" w:id="0">
    <w:p w:rsidR="00FF5123" w:rsidRDefault="00FF5123" w:rsidP="00EF4574">
      <w:pPr>
        <w:spacing w:before="0" w:after="0" w:line="240" w:lineRule="auto"/>
      </w:pPr>
      <w:r>
        <w:continuationSeparator/>
      </w:r>
    </w:p>
  </w:footnote>
  <w:footnote w:id="1">
    <w:p w:rsidR="00FF5123" w:rsidRPr="003A4C80" w:rsidRDefault="00FF5123">
      <w:pPr>
        <w:pStyle w:val="FootnoteText"/>
        <w:rPr>
          <w:lang w:val="en-AU"/>
        </w:rPr>
      </w:pPr>
      <w:r>
        <w:rPr>
          <w:rStyle w:val="FootnoteReference"/>
        </w:rPr>
        <w:footnoteRef/>
      </w:r>
      <w:r>
        <w:t xml:space="preserve"> </w:t>
      </w:r>
      <w:r>
        <w:rPr>
          <w:lang w:val="en-AU"/>
        </w:rPr>
        <w:t>Development Assistance Committee (DAC) donor.</w:t>
      </w:r>
    </w:p>
  </w:footnote>
  <w:footnote w:id="2">
    <w:p w:rsidR="00FF5123" w:rsidRDefault="00FF5123" w:rsidP="00045B94">
      <w:pPr>
        <w:pStyle w:val="FootnoteText"/>
      </w:pPr>
      <w:r>
        <w:rPr>
          <w:rStyle w:val="FootnoteReference"/>
        </w:rPr>
        <w:footnoteRef/>
      </w:r>
      <w:r>
        <w:t xml:space="preserve"> Financial year 2015-16 is the first year that the strategy objectives of the new Laos Program 2015-16 to 2019-20 Aid Investment Plan are to be assessed.</w:t>
      </w:r>
    </w:p>
    <w:p w:rsidR="00FF5123" w:rsidRDefault="00FF5123" w:rsidP="00045B94">
      <w:pPr>
        <w:pStyle w:val="FootnoteText"/>
      </w:pPr>
    </w:p>
    <w:p w:rsidR="00FF5123" w:rsidRDefault="00FF5123" w:rsidP="00045B94">
      <w:pPr>
        <w:pStyle w:val="FootnoteText"/>
      </w:pPr>
    </w:p>
  </w:footnote>
  <w:footnote w:id="3">
    <w:p w:rsidR="00FF5123" w:rsidRDefault="00FF5123" w:rsidP="000144EE">
      <w:pPr>
        <w:pStyle w:val="FootnoteText"/>
      </w:pPr>
      <w:r w:rsidRPr="00C64230">
        <w:rPr>
          <w:rStyle w:val="FootnoteReference"/>
        </w:rPr>
        <w:footnoteRef/>
      </w:r>
      <w:r w:rsidRPr="00C64230">
        <w:t xml:space="preserve"> World Bank, 2014, </w:t>
      </w:r>
      <w:r w:rsidRPr="00C64230">
        <w:rPr>
          <w:i/>
        </w:rPr>
        <w:t>Lao PDR Investment Climate Assessment</w:t>
      </w:r>
      <w:r w:rsidRPr="00C64230">
        <w:t>.  http://www.worldbank.org/en/country/lao/publication/lao-pdr-investment-climate-assessment-2014-policy-uncertainty-in-the-midst-of-a-natura-resources-boom</w:t>
      </w:r>
    </w:p>
    <w:p w:rsidR="00FF5123" w:rsidRPr="00C64230" w:rsidRDefault="00FF5123" w:rsidP="000144EE">
      <w:pPr>
        <w:pStyle w:val="FootnoteText"/>
      </w:pPr>
    </w:p>
  </w:footnote>
  <w:footnote w:id="4">
    <w:p w:rsidR="00FF5123" w:rsidRDefault="00FF5123" w:rsidP="000144EE">
      <w:pPr>
        <w:pStyle w:val="FootnoteText"/>
      </w:pPr>
      <w:r>
        <w:rPr>
          <w:rStyle w:val="FootnoteReference"/>
        </w:rPr>
        <w:footnoteRef/>
      </w:r>
      <w:r>
        <w:t xml:space="preserve"> Half of all Laos Australia National Scholarships are awarded to women.</w:t>
      </w:r>
    </w:p>
  </w:footnote>
  <w:footnote w:id="5">
    <w:p w:rsidR="00FF5123" w:rsidRDefault="00FF5123" w:rsidP="00D863BB">
      <w:pPr>
        <w:pStyle w:val="FootnoteText"/>
      </w:pPr>
      <w:r>
        <w:rPr>
          <w:rStyle w:val="FootnoteReference"/>
        </w:rPr>
        <w:footnoteRef/>
      </w:r>
      <w:r>
        <w:t xml:space="preserve"> Calendar year 2015 results.</w:t>
      </w:r>
    </w:p>
    <w:p w:rsidR="00FF5123" w:rsidRDefault="00FF5123" w:rsidP="00D863BB">
      <w:pPr>
        <w:pStyle w:val="FootnoteText"/>
      </w:pPr>
    </w:p>
  </w:footnote>
  <w:footnote w:id="6">
    <w:p w:rsidR="00FF5123" w:rsidRDefault="00FF5123">
      <w:pPr>
        <w:pStyle w:val="FootnoteText"/>
        <w:rPr>
          <w:lang w:val="en-AU"/>
        </w:rPr>
      </w:pPr>
      <w:r>
        <w:rPr>
          <w:rStyle w:val="FootnoteReference"/>
        </w:rPr>
        <w:footnoteRef/>
      </w:r>
      <w:r>
        <w:t xml:space="preserve"> </w:t>
      </w:r>
      <w:r>
        <w:rPr>
          <w:lang w:val="en-AU"/>
        </w:rPr>
        <w:t xml:space="preserve">This student cohort has not been selected yet so graduation numbers cannot be estimated.  </w:t>
      </w:r>
    </w:p>
    <w:p w:rsidR="00FF5123" w:rsidRPr="005519A8" w:rsidRDefault="00FF5123">
      <w:pPr>
        <w:pStyle w:val="FootnoteText"/>
        <w:rPr>
          <w:lang w:val="en-A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312" w:rsidRDefault="00AD43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123" w:rsidRPr="00333501" w:rsidRDefault="00FF5123" w:rsidP="008F56A8">
    <w:pPr>
      <w:pStyle w:val="Header"/>
      <w:jc w:val="left"/>
    </w:pPr>
    <w:r>
      <w:rPr>
        <w:noProof/>
        <w:lang w:val="en-AU" w:eastAsia="en-AU"/>
      </w:rPr>
      <w:drawing>
        <wp:anchor distT="0" distB="0" distL="114300" distR="114300" simplePos="0" relativeHeight="251671552" behindDoc="1" locked="1" layoutInCell="1" allowOverlap="1" wp14:anchorId="57A33F3A" wp14:editId="2CBD68AA">
          <wp:simplePos x="0" y="0"/>
          <wp:positionH relativeFrom="page">
            <wp:posOffset>13335</wp:posOffset>
          </wp:positionH>
          <wp:positionV relativeFrom="page">
            <wp:posOffset>-13335</wp:posOffset>
          </wp:positionV>
          <wp:extent cx="10672445" cy="10699750"/>
          <wp:effectExtent l="0" t="0" r="0" b="635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672445" cy="106997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123" w:rsidRPr="003D352D" w:rsidRDefault="00FF5123" w:rsidP="003D352D">
    <w:pPr>
      <w:pStyle w:val="Header"/>
      <w:jc w:val="left"/>
    </w:pPr>
    <w:r>
      <w:rPr>
        <w:noProof/>
        <w:lang w:val="en-AU" w:eastAsia="en-AU"/>
      </w:rPr>
      <w:drawing>
        <wp:anchor distT="0" distB="0" distL="114300" distR="114300" simplePos="0" relativeHeight="251669504" behindDoc="1" locked="1" layoutInCell="1" allowOverlap="1" wp14:anchorId="79651E5E" wp14:editId="374AE978">
          <wp:simplePos x="0" y="0"/>
          <wp:positionH relativeFrom="page">
            <wp:posOffset>-23495</wp:posOffset>
          </wp:positionH>
          <wp:positionV relativeFrom="page">
            <wp:posOffset>15875</wp:posOffset>
          </wp:positionV>
          <wp:extent cx="7734935" cy="1082929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734935" cy="10829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123" w:rsidRPr="003D352D" w:rsidRDefault="00FF5123" w:rsidP="003D352D">
    <w:pPr>
      <w:pStyle w:val="Header"/>
      <w:jc w:val="left"/>
    </w:pPr>
    <w:r>
      <w:rPr>
        <w:noProof/>
        <w:lang w:val="en-AU" w:eastAsia="en-AU"/>
      </w:rPr>
      <w:drawing>
        <wp:anchor distT="0" distB="0" distL="114300" distR="114300" simplePos="0" relativeHeight="251673600" behindDoc="1" locked="1" layoutInCell="1" allowOverlap="1" wp14:anchorId="34AE2331" wp14:editId="1788EBA4">
          <wp:simplePos x="0" y="0"/>
          <wp:positionH relativeFrom="page">
            <wp:posOffset>0</wp:posOffset>
          </wp:positionH>
          <wp:positionV relativeFrom="page">
            <wp:posOffset>0</wp:posOffset>
          </wp:positionV>
          <wp:extent cx="10694035" cy="7465695"/>
          <wp:effectExtent l="0" t="0" r="0" b="1905"/>
          <wp:wrapNone/>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94035" cy="746569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123" w:rsidRPr="003D352D" w:rsidRDefault="00FF5123" w:rsidP="003D352D">
    <w:pPr>
      <w:pStyle w:val="Header"/>
      <w:jc w:val="left"/>
    </w:pPr>
    <w:r>
      <w:rPr>
        <w:noProof/>
        <w:lang w:val="en-AU" w:eastAsia="en-AU"/>
      </w:rPr>
      <w:drawing>
        <wp:anchor distT="0" distB="0" distL="114300" distR="114300" simplePos="0" relativeHeight="251685888" behindDoc="1" locked="1" layoutInCell="1" allowOverlap="1" wp14:anchorId="7AC4A813" wp14:editId="6570D544">
          <wp:simplePos x="0" y="0"/>
          <wp:positionH relativeFrom="page">
            <wp:posOffset>0</wp:posOffset>
          </wp:positionH>
          <wp:positionV relativeFrom="page">
            <wp:posOffset>0</wp:posOffset>
          </wp:positionV>
          <wp:extent cx="10694035" cy="7465695"/>
          <wp:effectExtent l="0" t="0" r="0" b="190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94035" cy="746569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123" w:rsidRPr="00333501" w:rsidRDefault="00FF5123" w:rsidP="008F56A8">
    <w:pPr>
      <w:pStyle w:val="Header"/>
      <w:jc w:val="left"/>
    </w:pPr>
    <w:r>
      <w:rPr>
        <w:noProof/>
        <w:lang w:val="en-AU" w:eastAsia="en-AU"/>
      </w:rPr>
      <w:drawing>
        <wp:anchor distT="0" distB="0" distL="114300" distR="114300" simplePos="0" relativeHeight="251683840" behindDoc="1" locked="1" layoutInCell="1" allowOverlap="1" wp14:anchorId="0A62A9A1" wp14:editId="061230A7">
          <wp:simplePos x="0" y="0"/>
          <wp:positionH relativeFrom="page">
            <wp:posOffset>7620</wp:posOffset>
          </wp:positionH>
          <wp:positionV relativeFrom="page">
            <wp:posOffset>57785</wp:posOffset>
          </wp:positionV>
          <wp:extent cx="10800000" cy="7560000"/>
          <wp:effectExtent l="0" t="0" r="1905" b="3175"/>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800000" cy="75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74A5EA"/>
    <w:lvl w:ilvl="0">
      <w:start w:val="1"/>
      <w:numFmt w:val="decimal"/>
      <w:lvlText w:val="%1."/>
      <w:lvlJc w:val="left"/>
      <w:pPr>
        <w:tabs>
          <w:tab w:val="num" w:pos="1492"/>
        </w:tabs>
        <w:ind w:left="1492" w:hanging="360"/>
      </w:pPr>
    </w:lvl>
  </w:abstractNum>
  <w:abstractNum w:abstractNumId="1">
    <w:nsid w:val="FFFFFF7D"/>
    <w:multiLevelType w:val="singleLevel"/>
    <w:tmpl w:val="B3DEED16"/>
    <w:lvl w:ilvl="0">
      <w:start w:val="1"/>
      <w:numFmt w:val="decimal"/>
      <w:lvlText w:val="%1."/>
      <w:lvlJc w:val="left"/>
      <w:pPr>
        <w:tabs>
          <w:tab w:val="num" w:pos="1209"/>
        </w:tabs>
        <w:ind w:left="1209" w:hanging="360"/>
      </w:pPr>
    </w:lvl>
  </w:abstractNum>
  <w:abstractNum w:abstractNumId="2">
    <w:nsid w:val="FFFFFF7E"/>
    <w:multiLevelType w:val="singleLevel"/>
    <w:tmpl w:val="991E89AE"/>
    <w:lvl w:ilvl="0">
      <w:start w:val="1"/>
      <w:numFmt w:val="decimal"/>
      <w:lvlText w:val="%1."/>
      <w:lvlJc w:val="left"/>
      <w:pPr>
        <w:tabs>
          <w:tab w:val="num" w:pos="926"/>
        </w:tabs>
        <w:ind w:left="926" w:hanging="360"/>
      </w:pPr>
    </w:lvl>
  </w:abstractNum>
  <w:abstractNum w:abstractNumId="3">
    <w:nsid w:val="FFFFFF7F"/>
    <w:multiLevelType w:val="singleLevel"/>
    <w:tmpl w:val="1EC4BCD0"/>
    <w:lvl w:ilvl="0">
      <w:start w:val="1"/>
      <w:numFmt w:val="decimal"/>
      <w:lvlText w:val="%1."/>
      <w:lvlJc w:val="left"/>
      <w:pPr>
        <w:tabs>
          <w:tab w:val="num" w:pos="643"/>
        </w:tabs>
        <w:ind w:left="643" w:hanging="360"/>
      </w:pPr>
    </w:lvl>
  </w:abstractNum>
  <w:abstractNum w:abstractNumId="4">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7EA9308"/>
    <w:lvl w:ilvl="0">
      <w:start w:val="1"/>
      <w:numFmt w:val="decimal"/>
      <w:lvlText w:val="%1."/>
      <w:lvlJc w:val="left"/>
      <w:pPr>
        <w:tabs>
          <w:tab w:val="num" w:pos="360"/>
        </w:tabs>
        <w:ind w:left="360" w:hanging="360"/>
      </w:pPr>
    </w:lvl>
  </w:abstractNum>
  <w:abstractNum w:abstractNumId="9">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nsid w:val="5D3C1EA7"/>
    <w:multiLevelType w:val="multilevel"/>
    <w:tmpl w:val="43428892"/>
    <w:numStyleLink w:val="BulletsList"/>
  </w:abstractNum>
  <w:abstractNum w:abstractNumId="19">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7"/>
  </w:num>
  <w:num w:numId="10">
    <w:abstractNumId w:val="1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 w:numId="22">
    <w:abstractNumId w:val="13"/>
  </w:num>
  <w:num w:numId="23">
    <w:abstractNumId w:val="13"/>
  </w:num>
  <w:num w:numId="24">
    <w:abstractNumId w:val="18"/>
  </w:num>
  <w:num w:numId="25">
    <w:abstractNumId w:val="18"/>
  </w:num>
  <w:num w:numId="26">
    <w:abstractNumId w:val="18"/>
  </w:num>
  <w:num w:numId="27">
    <w:abstractNumId w:val="17"/>
  </w:num>
  <w:num w:numId="28">
    <w:abstractNumId w:val="10"/>
  </w:num>
  <w:num w:numId="29">
    <w:abstractNumId w:val="10"/>
  </w:num>
  <w:num w:numId="30">
    <w:abstractNumId w:val="10"/>
  </w:num>
  <w:num w:numId="31">
    <w:abstractNumId w:val="14"/>
  </w:num>
  <w:num w:numId="32">
    <w:abstractNumId w:val="16"/>
  </w:num>
  <w:num w:numId="33">
    <w:abstractNumId w:val="21"/>
  </w:num>
  <w:num w:numId="34">
    <w:abstractNumId w:val="15"/>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6C"/>
    <w:rsid w:val="00001DA8"/>
    <w:rsid w:val="000144EE"/>
    <w:rsid w:val="00014956"/>
    <w:rsid w:val="00015316"/>
    <w:rsid w:val="0002080A"/>
    <w:rsid w:val="0002782F"/>
    <w:rsid w:val="00031512"/>
    <w:rsid w:val="000334F4"/>
    <w:rsid w:val="00045B94"/>
    <w:rsid w:val="0004758F"/>
    <w:rsid w:val="00054E4D"/>
    <w:rsid w:val="000564A8"/>
    <w:rsid w:val="00060073"/>
    <w:rsid w:val="00060268"/>
    <w:rsid w:val="00084483"/>
    <w:rsid w:val="000A4890"/>
    <w:rsid w:val="000D66D6"/>
    <w:rsid w:val="000E314A"/>
    <w:rsid w:val="000E3B72"/>
    <w:rsid w:val="000E6270"/>
    <w:rsid w:val="001012F6"/>
    <w:rsid w:val="0012547C"/>
    <w:rsid w:val="0013254C"/>
    <w:rsid w:val="00140B62"/>
    <w:rsid w:val="0015116F"/>
    <w:rsid w:val="001541EA"/>
    <w:rsid w:val="0015475F"/>
    <w:rsid w:val="00163AEE"/>
    <w:rsid w:val="00164DFC"/>
    <w:rsid w:val="00173778"/>
    <w:rsid w:val="00181DA7"/>
    <w:rsid w:val="001A219E"/>
    <w:rsid w:val="001B0C75"/>
    <w:rsid w:val="001B3ACD"/>
    <w:rsid w:val="001C1B79"/>
    <w:rsid w:val="001D0343"/>
    <w:rsid w:val="001D663E"/>
    <w:rsid w:val="001E1DC0"/>
    <w:rsid w:val="001F04E6"/>
    <w:rsid w:val="0020063D"/>
    <w:rsid w:val="00207426"/>
    <w:rsid w:val="002142F7"/>
    <w:rsid w:val="00216131"/>
    <w:rsid w:val="00234423"/>
    <w:rsid w:val="00236A53"/>
    <w:rsid w:val="0024045C"/>
    <w:rsid w:val="002425BE"/>
    <w:rsid w:val="00245955"/>
    <w:rsid w:val="00253BC9"/>
    <w:rsid w:val="00264E6F"/>
    <w:rsid w:val="00265068"/>
    <w:rsid w:val="00273EDA"/>
    <w:rsid w:val="0027495C"/>
    <w:rsid w:val="00274FB4"/>
    <w:rsid w:val="00275DB7"/>
    <w:rsid w:val="00284957"/>
    <w:rsid w:val="0028602A"/>
    <w:rsid w:val="002A51CA"/>
    <w:rsid w:val="002B3E95"/>
    <w:rsid w:val="002B5E10"/>
    <w:rsid w:val="002C705D"/>
    <w:rsid w:val="002D7BE4"/>
    <w:rsid w:val="002F22EE"/>
    <w:rsid w:val="003002C0"/>
    <w:rsid w:val="00301144"/>
    <w:rsid w:val="003148B7"/>
    <w:rsid w:val="003158C3"/>
    <w:rsid w:val="003274CD"/>
    <w:rsid w:val="003319E8"/>
    <w:rsid w:val="00333501"/>
    <w:rsid w:val="003457C4"/>
    <w:rsid w:val="0035119D"/>
    <w:rsid w:val="00362AA8"/>
    <w:rsid w:val="003656D9"/>
    <w:rsid w:val="003724BE"/>
    <w:rsid w:val="003957AA"/>
    <w:rsid w:val="00395D71"/>
    <w:rsid w:val="0039792F"/>
    <w:rsid w:val="003A390D"/>
    <w:rsid w:val="003A4C80"/>
    <w:rsid w:val="003B0793"/>
    <w:rsid w:val="003B4F12"/>
    <w:rsid w:val="003B569F"/>
    <w:rsid w:val="003C7CFC"/>
    <w:rsid w:val="003D098E"/>
    <w:rsid w:val="003D352D"/>
    <w:rsid w:val="003D7437"/>
    <w:rsid w:val="003D7AB7"/>
    <w:rsid w:val="00400B0F"/>
    <w:rsid w:val="00402ACC"/>
    <w:rsid w:val="00407F9E"/>
    <w:rsid w:val="004120EC"/>
    <w:rsid w:val="00415BE2"/>
    <w:rsid w:val="00421BF3"/>
    <w:rsid w:val="00423F31"/>
    <w:rsid w:val="00431899"/>
    <w:rsid w:val="0044384A"/>
    <w:rsid w:val="00451888"/>
    <w:rsid w:val="00457824"/>
    <w:rsid w:val="00471C7A"/>
    <w:rsid w:val="00486804"/>
    <w:rsid w:val="004977A1"/>
    <w:rsid w:val="004B3775"/>
    <w:rsid w:val="004B553C"/>
    <w:rsid w:val="004C547F"/>
    <w:rsid w:val="004D049F"/>
    <w:rsid w:val="004D0BA0"/>
    <w:rsid w:val="004D3006"/>
    <w:rsid w:val="004D71BC"/>
    <w:rsid w:val="004E0264"/>
    <w:rsid w:val="004E058F"/>
    <w:rsid w:val="004E300B"/>
    <w:rsid w:val="004E3B87"/>
    <w:rsid w:val="00505FAE"/>
    <w:rsid w:val="00510921"/>
    <w:rsid w:val="00510AD3"/>
    <w:rsid w:val="00513348"/>
    <w:rsid w:val="00521BEC"/>
    <w:rsid w:val="005241CD"/>
    <w:rsid w:val="00526C54"/>
    <w:rsid w:val="005303BC"/>
    <w:rsid w:val="00533B5D"/>
    <w:rsid w:val="00544020"/>
    <w:rsid w:val="00544EA5"/>
    <w:rsid w:val="005511BF"/>
    <w:rsid w:val="005519A8"/>
    <w:rsid w:val="00561BF0"/>
    <w:rsid w:val="0059146A"/>
    <w:rsid w:val="005A74B2"/>
    <w:rsid w:val="005B5769"/>
    <w:rsid w:val="005C0120"/>
    <w:rsid w:val="005C7892"/>
    <w:rsid w:val="005D2C08"/>
    <w:rsid w:val="005D3655"/>
    <w:rsid w:val="005E49B1"/>
    <w:rsid w:val="005E5779"/>
    <w:rsid w:val="005E606B"/>
    <w:rsid w:val="005F6DA6"/>
    <w:rsid w:val="006124FC"/>
    <w:rsid w:val="00623BA1"/>
    <w:rsid w:val="00630483"/>
    <w:rsid w:val="006346BC"/>
    <w:rsid w:val="00635E63"/>
    <w:rsid w:val="00643471"/>
    <w:rsid w:val="006466AB"/>
    <w:rsid w:val="0066652A"/>
    <w:rsid w:val="00680522"/>
    <w:rsid w:val="00681F08"/>
    <w:rsid w:val="00682167"/>
    <w:rsid w:val="00683454"/>
    <w:rsid w:val="006A1502"/>
    <w:rsid w:val="006A7F94"/>
    <w:rsid w:val="006B723D"/>
    <w:rsid w:val="006C2978"/>
    <w:rsid w:val="006C42AF"/>
    <w:rsid w:val="006C654B"/>
    <w:rsid w:val="006D0075"/>
    <w:rsid w:val="006D143B"/>
    <w:rsid w:val="006F27B1"/>
    <w:rsid w:val="00702B71"/>
    <w:rsid w:val="00711D8E"/>
    <w:rsid w:val="00712672"/>
    <w:rsid w:val="00713534"/>
    <w:rsid w:val="007155B5"/>
    <w:rsid w:val="00725C16"/>
    <w:rsid w:val="007329AA"/>
    <w:rsid w:val="00734E3F"/>
    <w:rsid w:val="00736985"/>
    <w:rsid w:val="00745DF5"/>
    <w:rsid w:val="00751672"/>
    <w:rsid w:val="0076250F"/>
    <w:rsid w:val="0077193E"/>
    <w:rsid w:val="00771B53"/>
    <w:rsid w:val="00784031"/>
    <w:rsid w:val="0079113B"/>
    <w:rsid w:val="007B6200"/>
    <w:rsid w:val="007C29EA"/>
    <w:rsid w:val="007E02B8"/>
    <w:rsid w:val="007F0EFD"/>
    <w:rsid w:val="007F3395"/>
    <w:rsid w:val="00801B9F"/>
    <w:rsid w:val="008057FD"/>
    <w:rsid w:val="00806283"/>
    <w:rsid w:val="00824FE4"/>
    <w:rsid w:val="008337F6"/>
    <w:rsid w:val="00837C5D"/>
    <w:rsid w:val="00844408"/>
    <w:rsid w:val="008475F0"/>
    <w:rsid w:val="00864210"/>
    <w:rsid w:val="0087006B"/>
    <w:rsid w:val="008738A9"/>
    <w:rsid w:val="00877922"/>
    <w:rsid w:val="008A043F"/>
    <w:rsid w:val="008A5AFE"/>
    <w:rsid w:val="008A62D6"/>
    <w:rsid w:val="008B68D7"/>
    <w:rsid w:val="008C2F58"/>
    <w:rsid w:val="008C40BC"/>
    <w:rsid w:val="008C5A0E"/>
    <w:rsid w:val="008D0293"/>
    <w:rsid w:val="008E2A36"/>
    <w:rsid w:val="008E2E35"/>
    <w:rsid w:val="008F235C"/>
    <w:rsid w:val="008F5690"/>
    <w:rsid w:val="008F56A8"/>
    <w:rsid w:val="008F6849"/>
    <w:rsid w:val="009051C7"/>
    <w:rsid w:val="00925980"/>
    <w:rsid w:val="009309A8"/>
    <w:rsid w:val="009401A8"/>
    <w:rsid w:val="00941682"/>
    <w:rsid w:val="00943902"/>
    <w:rsid w:val="00944F97"/>
    <w:rsid w:val="00967893"/>
    <w:rsid w:val="0097426B"/>
    <w:rsid w:val="009810D3"/>
    <w:rsid w:val="00982C79"/>
    <w:rsid w:val="00984074"/>
    <w:rsid w:val="009903F3"/>
    <w:rsid w:val="00992C76"/>
    <w:rsid w:val="009974F5"/>
    <w:rsid w:val="009A5002"/>
    <w:rsid w:val="009B4D3B"/>
    <w:rsid w:val="009C5571"/>
    <w:rsid w:val="009C6911"/>
    <w:rsid w:val="009D104C"/>
    <w:rsid w:val="009D7407"/>
    <w:rsid w:val="009E0866"/>
    <w:rsid w:val="009E5FA2"/>
    <w:rsid w:val="009F24C8"/>
    <w:rsid w:val="009F5488"/>
    <w:rsid w:val="009F6423"/>
    <w:rsid w:val="00A1142A"/>
    <w:rsid w:val="00A11624"/>
    <w:rsid w:val="00A12950"/>
    <w:rsid w:val="00A21B56"/>
    <w:rsid w:val="00A22AFE"/>
    <w:rsid w:val="00A23496"/>
    <w:rsid w:val="00A24A62"/>
    <w:rsid w:val="00A26894"/>
    <w:rsid w:val="00A31C9F"/>
    <w:rsid w:val="00A32EC8"/>
    <w:rsid w:val="00A4144F"/>
    <w:rsid w:val="00A427C6"/>
    <w:rsid w:val="00A50568"/>
    <w:rsid w:val="00A56331"/>
    <w:rsid w:val="00A56F14"/>
    <w:rsid w:val="00A676D0"/>
    <w:rsid w:val="00A80F95"/>
    <w:rsid w:val="00A8197B"/>
    <w:rsid w:val="00A83DE7"/>
    <w:rsid w:val="00A84EDC"/>
    <w:rsid w:val="00A853C1"/>
    <w:rsid w:val="00AA1940"/>
    <w:rsid w:val="00AA7BE3"/>
    <w:rsid w:val="00AC164A"/>
    <w:rsid w:val="00AD316E"/>
    <w:rsid w:val="00AD4312"/>
    <w:rsid w:val="00AF1B85"/>
    <w:rsid w:val="00AF2050"/>
    <w:rsid w:val="00B03CA8"/>
    <w:rsid w:val="00B22262"/>
    <w:rsid w:val="00B331DC"/>
    <w:rsid w:val="00B368C3"/>
    <w:rsid w:val="00B438D3"/>
    <w:rsid w:val="00B55E19"/>
    <w:rsid w:val="00B62024"/>
    <w:rsid w:val="00B621F5"/>
    <w:rsid w:val="00B63120"/>
    <w:rsid w:val="00B71D44"/>
    <w:rsid w:val="00B80E01"/>
    <w:rsid w:val="00BA395D"/>
    <w:rsid w:val="00BA4B6D"/>
    <w:rsid w:val="00BB26C5"/>
    <w:rsid w:val="00BD06E7"/>
    <w:rsid w:val="00BE2470"/>
    <w:rsid w:val="00BE46B0"/>
    <w:rsid w:val="00BF4DE6"/>
    <w:rsid w:val="00BF4FA0"/>
    <w:rsid w:val="00BF6BEE"/>
    <w:rsid w:val="00C04FC8"/>
    <w:rsid w:val="00C42CDE"/>
    <w:rsid w:val="00C45274"/>
    <w:rsid w:val="00C45741"/>
    <w:rsid w:val="00C5182A"/>
    <w:rsid w:val="00C63EE9"/>
    <w:rsid w:val="00C6626C"/>
    <w:rsid w:val="00C82C2C"/>
    <w:rsid w:val="00C97A75"/>
    <w:rsid w:val="00CA1A46"/>
    <w:rsid w:val="00CA37B1"/>
    <w:rsid w:val="00CA74C5"/>
    <w:rsid w:val="00CB1959"/>
    <w:rsid w:val="00CC4676"/>
    <w:rsid w:val="00CD0E4B"/>
    <w:rsid w:val="00CD34E7"/>
    <w:rsid w:val="00CE0155"/>
    <w:rsid w:val="00CE4445"/>
    <w:rsid w:val="00D00802"/>
    <w:rsid w:val="00D0296C"/>
    <w:rsid w:val="00D146A2"/>
    <w:rsid w:val="00D15A00"/>
    <w:rsid w:val="00D37EF8"/>
    <w:rsid w:val="00D648F7"/>
    <w:rsid w:val="00D64BD1"/>
    <w:rsid w:val="00D72760"/>
    <w:rsid w:val="00D82A34"/>
    <w:rsid w:val="00D86095"/>
    <w:rsid w:val="00D863BB"/>
    <w:rsid w:val="00DD1986"/>
    <w:rsid w:val="00DD2708"/>
    <w:rsid w:val="00DE084C"/>
    <w:rsid w:val="00DE3278"/>
    <w:rsid w:val="00DE38B8"/>
    <w:rsid w:val="00E03B12"/>
    <w:rsid w:val="00E03E02"/>
    <w:rsid w:val="00E11E6D"/>
    <w:rsid w:val="00E15B27"/>
    <w:rsid w:val="00E332B0"/>
    <w:rsid w:val="00E357B7"/>
    <w:rsid w:val="00E53800"/>
    <w:rsid w:val="00E6081F"/>
    <w:rsid w:val="00E63F39"/>
    <w:rsid w:val="00E767B2"/>
    <w:rsid w:val="00E76946"/>
    <w:rsid w:val="00E86697"/>
    <w:rsid w:val="00E87912"/>
    <w:rsid w:val="00E92927"/>
    <w:rsid w:val="00EA04B2"/>
    <w:rsid w:val="00EA20F3"/>
    <w:rsid w:val="00EA5D68"/>
    <w:rsid w:val="00EB3F61"/>
    <w:rsid w:val="00ED1D9F"/>
    <w:rsid w:val="00ED2831"/>
    <w:rsid w:val="00ED43D1"/>
    <w:rsid w:val="00EE4EE1"/>
    <w:rsid w:val="00EF4574"/>
    <w:rsid w:val="00F11D16"/>
    <w:rsid w:val="00F17F87"/>
    <w:rsid w:val="00F2684E"/>
    <w:rsid w:val="00F47527"/>
    <w:rsid w:val="00F5404C"/>
    <w:rsid w:val="00F56FAF"/>
    <w:rsid w:val="00F67C1C"/>
    <w:rsid w:val="00F72483"/>
    <w:rsid w:val="00F729EF"/>
    <w:rsid w:val="00F75A5C"/>
    <w:rsid w:val="00F77CAE"/>
    <w:rsid w:val="00F82271"/>
    <w:rsid w:val="00F83428"/>
    <w:rsid w:val="00F83C39"/>
    <w:rsid w:val="00F84461"/>
    <w:rsid w:val="00F91200"/>
    <w:rsid w:val="00F96BB9"/>
    <w:rsid w:val="00FA7676"/>
    <w:rsid w:val="00FD4040"/>
    <w:rsid w:val="00FD6EE1"/>
    <w:rsid w:val="00FD75CF"/>
    <w:rsid w:val="00FE2AFB"/>
    <w:rsid w:val="00FE6D51"/>
    <w:rsid w:val="00FF09F3"/>
    <w:rsid w:val="00FF2F50"/>
    <w:rsid w:val="00FF51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aliases w:val="Char Char,Char,ft,single space,footnote text,fn,Footnote Text Char Char Char Char,FOOTNOTES"/>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Char Char Char,Char Char1,ft Char,single space Char,footnote text Char,fn Char,Footnote Text Char Char Char Char Char,FOOTNOTES Char"/>
    <w:basedOn w:val="DefaultParagraphFont"/>
    <w:link w:val="FootnoteText"/>
    <w:uiPriority w:val="99"/>
    <w:rsid w:val="008C5A0E"/>
    <w:rPr>
      <w:color w:val="495965" w:themeColor="text2"/>
      <w:sz w:val="12"/>
      <w:szCs w:val="20"/>
    </w:rPr>
  </w:style>
  <w:style w:type="character" w:styleId="FootnoteReference">
    <w:name w:val="footnote reference"/>
    <w:basedOn w:val="DefaultParagraphFont"/>
    <w:uiPriority w:val="99"/>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character" w:styleId="FollowedHyperlink">
    <w:name w:val="FollowedHyperlink"/>
    <w:basedOn w:val="DefaultParagraphFont"/>
    <w:uiPriority w:val="99"/>
    <w:semiHidden/>
    <w:unhideWhenUsed/>
    <w:rsid w:val="00164DFC"/>
    <w:rPr>
      <w:color w:val="800080" w:themeColor="followedHyperlink"/>
      <w:u w:val="single"/>
    </w:rPr>
  </w:style>
  <w:style w:type="character" w:styleId="CommentReference">
    <w:name w:val="annotation reference"/>
    <w:basedOn w:val="DefaultParagraphFont"/>
    <w:uiPriority w:val="99"/>
    <w:semiHidden/>
    <w:unhideWhenUsed/>
    <w:rsid w:val="008E2E35"/>
    <w:rPr>
      <w:sz w:val="16"/>
      <w:szCs w:val="16"/>
    </w:rPr>
  </w:style>
  <w:style w:type="paragraph" w:styleId="CommentText">
    <w:name w:val="annotation text"/>
    <w:basedOn w:val="Normal"/>
    <w:link w:val="CommentTextChar"/>
    <w:uiPriority w:val="99"/>
    <w:semiHidden/>
    <w:unhideWhenUsed/>
    <w:rsid w:val="008E2E35"/>
    <w:pPr>
      <w:spacing w:line="240" w:lineRule="auto"/>
    </w:pPr>
    <w:rPr>
      <w:sz w:val="20"/>
      <w:szCs w:val="20"/>
    </w:rPr>
  </w:style>
  <w:style w:type="character" w:customStyle="1" w:styleId="CommentTextChar">
    <w:name w:val="Comment Text Char"/>
    <w:basedOn w:val="DefaultParagraphFont"/>
    <w:link w:val="CommentText"/>
    <w:uiPriority w:val="99"/>
    <w:semiHidden/>
    <w:rsid w:val="008E2E35"/>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8E2E35"/>
    <w:rPr>
      <w:b/>
      <w:bCs/>
    </w:rPr>
  </w:style>
  <w:style w:type="character" w:customStyle="1" w:styleId="CommentSubjectChar">
    <w:name w:val="Comment Subject Char"/>
    <w:basedOn w:val="CommentTextChar"/>
    <w:link w:val="CommentSubject"/>
    <w:uiPriority w:val="99"/>
    <w:semiHidden/>
    <w:rsid w:val="008E2E35"/>
    <w:rPr>
      <w:b/>
      <w:bCs/>
      <w:color w:val="495965" w:themeColor="text2"/>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aliases w:val="Char Char,Char,ft,single space,footnote text,fn,Footnote Text Char Char Char Char,FOOTNOTES"/>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Char Char Char,Char Char1,ft Char,single space Char,footnote text Char,fn Char,Footnote Text Char Char Char Char Char,FOOTNOTES Char"/>
    <w:basedOn w:val="DefaultParagraphFont"/>
    <w:link w:val="FootnoteText"/>
    <w:uiPriority w:val="99"/>
    <w:rsid w:val="008C5A0E"/>
    <w:rPr>
      <w:color w:val="495965" w:themeColor="text2"/>
      <w:sz w:val="12"/>
      <w:szCs w:val="20"/>
    </w:rPr>
  </w:style>
  <w:style w:type="character" w:styleId="FootnoteReference">
    <w:name w:val="footnote reference"/>
    <w:basedOn w:val="DefaultParagraphFont"/>
    <w:uiPriority w:val="99"/>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character" w:styleId="FollowedHyperlink">
    <w:name w:val="FollowedHyperlink"/>
    <w:basedOn w:val="DefaultParagraphFont"/>
    <w:uiPriority w:val="99"/>
    <w:semiHidden/>
    <w:unhideWhenUsed/>
    <w:rsid w:val="00164DFC"/>
    <w:rPr>
      <w:color w:val="800080" w:themeColor="followedHyperlink"/>
      <w:u w:val="single"/>
    </w:rPr>
  </w:style>
  <w:style w:type="character" w:styleId="CommentReference">
    <w:name w:val="annotation reference"/>
    <w:basedOn w:val="DefaultParagraphFont"/>
    <w:uiPriority w:val="99"/>
    <w:semiHidden/>
    <w:unhideWhenUsed/>
    <w:rsid w:val="008E2E35"/>
    <w:rPr>
      <w:sz w:val="16"/>
      <w:szCs w:val="16"/>
    </w:rPr>
  </w:style>
  <w:style w:type="paragraph" w:styleId="CommentText">
    <w:name w:val="annotation text"/>
    <w:basedOn w:val="Normal"/>
    <w:link w:val="CommentTextChar"/>
    <w:uiPriority w:val="99"/>
    <w:semiHidden/>
    <w:unhideWhenUsed/>
    <w:rsid w:val="008E2E35"/>
    <w:pPr>
      <w:spacing w:line="240" w:lineRule="auto"/>
    </w:pPr>
    <w:rPr>
      <w:sz w:val="20"/>
      <w:szCs w:val="20"/>
    </w:rPr>
  </w:style>
  <w:style w:type="character" w:customStyle="1" w:styleId="CommentTextChar">
    <w:name w:val="Comment Text Char"/>
    <w:basedOn w:val="DefaultParagraphFont"/>
    <w:link w:val="CommentText"/>
    <w:uiPriority w:val="99"/>
    <w:semiHidden/>
    <w:rsid w:val="008E2E35"/>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8E2E35"/>
    <w:rPr>
      <w:b/>
      <w:bCs/>
    </w:rPr>
  </w:style>
  <w:style w:type="character" w:customStyle="1" w:styleId="CommentSubjectChar">
    <w:name w:val="Comment Subject Char"/>
    <w:basedOn w:val="CommentTextChar"/>
    <w:link w:val="CommentSubject"/>
    <w:uiPriority w:val="99"/>
    <w:semiHidden/>
    <w:rsid w:val="008E2E35"/>
    <w:rPr>
      <w:b/>
      <w:bCs/>
      <w:color w:val="495965" w:themeColor="text2"/>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wmf"/><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ustomXml" Target="../customXml/item2.xml"/><Relationship Id="rId10" Type="http://schemas.openxmlformats.org/officeDocument/2006/relationships/image" Target="media/image2.png"/><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BC0BBB-24C9-438D-872F-34214209D2B6}"/>
</file>

<file path=customXml/itemProps2.xml><?xml version="1.0" encoding="utf-8"?>
<ds:datastoreItem xmlns:ds="http://schemas.openxmlformats.org/officeDocument/2006/customXml" ds:itemID="{4E67B2B6-6E4E-4C4B-A36A-66DE79796AB4}"/>
</file>

<file path=customXml/itemProps3.xml><?xml version="1.0" encoding="utf-8"?>
<ds:datastoreItem xmlns:ds="http://schemas.openxmlformats.org/officeDocument/2006/customXml" ds:itemID="{75C44C0B-08C6-4113-8FFF-9A1A32D264B1}"/>
</file>

<file path=customXml/itemProps4.xml><?xml version="1.0" encoding="utf-8"?>
<ds:datastoreItem xmlns:ds="http://schemas.openxmlformats.org/officeDocument/2006/customXml" ds:itemID="{E7F103A6-0EC9-4438-A833-0CF279C3BE4B}"/>
</file>

<file path=docProps/app.xml><?xml version="1.0" encoding="utf-8"?>
<Properties xmlns="http://schemas.openxmlformats.org/officeDocument/2006/extended-properties" xmlns:vt="http://schemas.openxmlformats.org/officeDocument/2006/docPropsVTypes">
  <Template>BBE890E6</Template>
  <TotalTime>0</TotalTime>
  <Pages>12</Pages>
  <Words>4756</Words>
  <Characters>27111</Characters>
  <Application>Microsoft Office Word</Application>
  <DocSecurity>0</DocSecurity>
  <Lines>225</Lines>
  <Paragraphs>63</Paragraphs>
  <ScaleCrop>false</ScaleCrop>
  <Company/>
  <LinksUpToDate>false</LinksUpToDate>
  <CharactersWithSpaces>31804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2016-11-07T00:30:00Z</dcterms:created>
  <dcterms:modified xsi:type="dcterms:W3CDTF">2016-11-07T00:30:00Z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28402bf4-1d68-44c9-b0c2-cbd4690482c0</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1070100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