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customXml/itemProps8.xml" ContentType="application/vnd.openxmlformats-officedocument.customXmlProperties+xml"/>
  <Override PartName="/customXml/itemProps7.xml" ContentType="application/vnd.openxmlformats-officedocument.customXmlProperties+xml"/>
  <Override PartName="/customXml/itemProps9.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Pr="00962508" w:rsidRDefault="000D733F" w:rsidP="00BA6957">
      <w:pPr>
        <w:spacing w:after="200" w:line="276" w:lineRule="auto"/>
      </w:pPr>
    </w:p>
    <w:p w:rsidR="000D733F" w:rsidRPr="00962508" w:rsidRDefault="000D733F" w:rsidP="00BA6957"/>
    <w:p w:rsidR="000D733F" w:rsidRPr="00962508" w:rsidRDefault="000D733F" w:rsidP="00BA6957">
      <w:pPr>
        <w:spacing w:after="200" w:line="276" w:lineRule="auto"/>
      </w:pPr>
    </w:p>
    <w:p w:rsidR="000D733F" w:rsidRPr="00962508" w:rsidRDefault="000D733F" w:rsidP="00BA6957">
      <w:pPr>
        <w:spacing w:after="200" w:line="276" w:lineRule="auto"/>
      </w:pPr>
    </w:p>
    <w:p w:rsidR="001227C3" w:rsidRPr="00962508" w:rsidRDefault="001227C3" w:rsidP="00BA6957">
      <w:pPr>
        <w:pStyle w:val="Title"/>
        <w:ind w:left="2694" w:right="-624"/>
        <w:rPr>
          <w:noProof/>
          <w:color w:val="FFFFFF"/>
          <w:spacing w:val="0"/>
          <w:sz w:val="50"/>
          <w:szCs w:val="50"/>
          <w:lang w:eastAsia="en-US"/>
        </w:rPr>
      </w:pPr>
    </w:p>
    <w:p w:rsidR="001227C3" w:rsidRPr="00962508" w:rsidRDefault="001227C3" w:rsidP="00BA6957">
      <w:pPr>
        <w:pStyle w:val="Title"/>
        <w:ind w:left="2694" w:right="-624"/>
        <w:rPr>
          <w:noProof/>
          <w:color w:val="FFFFFF"/>
          <w:spacing w:val="0"/>
          <w:sz w:val="50"/>
          <w:szCs w:val="50"/>
          <w:lang w:eastAsia="en-US"/>
        </w:rPr>
      </w:pPr>
    </w:p>
    <w:p w:rsidR="001227C3" w:rsidRPr="00962508" w:rsidRDefault="001227C3" w:rsidP="00BA6957">
      <w:pPr>
        <w:pStyle w:val="Title"/>
        <w:ind w:left="2694" w:right="-624"/>
        <w:rPr>
          <w:noProof/>
          <w:color w:val="FFFFFF"/>
          <w:spacing w:val="0"/>
          <w:sz w:val="50"/>
          <w:szCs w:val="50"/>
          <w:lang w:eastAsia="en-US"/>
        </w:rPr>
      </w:pPr>
    </w:p>
    <w:p w:rsidR="001227C3" w:rsidRPr="00962508" w:rsidRDefault="001227C3" w:rsidP="00BA6957">
      <w:pPr>
        <w:pStyle w:val="Title"/>
        <w:ind w:left="2694" w:right="-624"/>
        <w:rPr>
          <w:noProof/>
          <w:color w:val="FFFFFF"/>
          <w:spacing w:val="0"/>
          <w:sz w:val="50"/>
          <w:szCs w:val="50"/>
          <w:lang w:eastAsia="en-US"/>
        </w:rPr>
      </w:pPr>
    </w:p>
    <w:p w:rsidR="001227C3" w:rsidRPr="00962508" w:rsidRDefault="001227C3" w:rsidP="00BA6957">
      <w:pPr>
        <w:pStyle w:val="Title"/>
        <w:ind w:left="2694" w:right="-624"/>
        <w:rPr>
          <w:noProof/>
          <w:color w:val="FFFFFF"/>
          <w:spacing w:val="0"/>
          <w:sz w:val="50"/>
          <w:szCs w:val="50"/>
          <w:lang w:eastAsia="en-US"/>
        </w:rPr>
      </w:pPr>
    </w:p>
    <w:p w:rsidR="001227C3" w:rsidRPr="00962508" w:rsidRDefault="001227C3" w:rsidP="00BA6957">
      <w:pPr>
        <w:pStyle w:val="Title"/>
        <w:ind w:left="2694" w:right="-624"/>
        <w:rPr>
          <w:noProof/>
          <w:color w:val="FFFFFF"/>
          <w:spacing w:val="0"/>
          <w:sz w:val="50"/>
          <w:szCs w:val="50"/>
          <w:lang w:eastAsia="en-US"/>
        </w:rPr>
      </w:pPr>
    </w:p>
    <w:p w:rsidR="001227C3" w:rsidRPr="00962508" w:rsidRDefault="001227C3" w:rsidP="00BA6957">
      <w:pPr>
        <w:pStyle w:val="Title"/>
        <w:ind w:left="2694" w:right="-624"/>
        <w:rPr>
          <w:noProof/>
          <w:color w:val="FFFFFF"/>
          <w:spacing w:val="0"/>
          <w:sz w:val="50"/>
          <w:szCs w:val="50"/>
          <w:lang w:eastAsia="en-US"/>
        </w:rPr>
      </w:pPr>
    </w:p>
    <w:p w:rsidR="001227C3" w:rsidRPr="00962508" w:rsidRDefault="001227C3" w:rsidP="00BA6957">
      <w:pPr>
        <w:pStyle w:val="Title"/>
        <w:ind w:left="2694" w:right="-624"/>
        <w:rPr>
          <w:noProof/>
          <w:color w:val="FFFFFF"/>
          <w:spacing w:val="0"/>
          <w:sz w:val="50"/>
          <w:szCs w:val="50"/>
          <w:lang w:eastAsia="en-US"/>
        </w:rPr>
      </w:pPr>
    </w:p>
    <w:p w:rsidR="001227C3" w:rsidRPr="00962508" w:rsidRDefault="001227C3" w:rsidP="00BA6957">
      <w:pPr>
        <w:pStyle w:val="Title"/>
        <w:ind w:left="2694" w:right="-624"/>
        <w:rPr>
          <w:noProof/>
          <w:color w:val="FFFFFF"/>
          <w:spacing w:val="0"/>
          <w:sz w:val="50"/>
          <w:szCs w:val="50"/>
          <w:lang w:eastAsia="en-US"/>
        </w:rPr>
      </w:pPr>
    </w:p>
    <w:p w:rsidR="001227C3" w:rsidRPr="00962508" w:rsidRDefault="001227C3" w:rsidP="00BA6957">
      <w:pPr>
        <w:pStyle w:val="Title"/>
        <w:ind w:left="2694" w:right="-624"/>
        <w:rPr>
          <w:noProof/>
          <w:color w:val="FFFFFF"/>
          <w:spacing w:val="0"/>
          <w:sz w:val="50"/>
          <w:szCs w:val="50"/>
          <w:lang w:eastAsia="en-US"/>
        </w:rPr>
      </w:pPr>
    </w:p>
    <w:p w:rsidR="000D733F" w:rsidRPr="00962508" w:rsidRDefault="000D733F" w:rsidP="00BA6957">
      <w:pPr>
        <w:pStyle w:val="Title"/>
        <w:ind w:left="2694" w:right="-624"/>
        <w:rPr>
          <w:noProof/>
          <w:color w:val="FFFFFF"/>
          <w:spacing w:val="0"/>
          <w:sz w:val="50"/>
          <w:szCs w:val="50"/>
          <w:lang w:eastAsia="en-US"/>
        </w:rPr>
      </w:pPr>
      <w:r w:rsidRPr="00962508">
        <w:rPr>
          <w:noProof/>
          <w:color w:val="FFFFFF"/>
          <w:spacing w:val="0"/>
          <w:sz w:val="50"/>
          <w:szCs w:val="50"/>
          <w:lang w:eastAsia="en-US"/>
        </w:rPr>
        <w:t>Aid</w:t>
      </w:r>
      <w:r w:rsidR="008D280D" w:rsidRPr="00962508">
        <w:rPr>
          <w:noProof/>
          <w:color w:val="FFFFFF"/>
          <w:spacing w:val="0"/>
          <w:sz w:val="50"/>
          <w:szCs w:val="50"/>
          <w:lang w:eastAsia="en-US"/>
        </w:rPr>
        <w:t xml:space="preserve"> Program Performance Report 2014-15</w:t>
      </w:r>
      <w:r w:rsidRPr="00962508">
        <w:rPr>
          <w:noProof/>
          <w:color w:val="FFFFFF"/>
          <w:spacing w:val="0"/>
          <w:sz w:val="50"/>
          <w:szCs w:val="50"/>
          <w:lang w:eastAsia="en-US"/>
        </w:rPr>
        <w:t xml:space="preserve"> </w:t>
      </w:r>
      <w:r w:rsidRPr="00962508">
        <w:rPr>
          <w:noProof/>
          <w:color w:val="FFFFFF"/>
          <w:spacing w:val="0"/>
          <w:sz w:val="50"/>
          <w:szCs w:val="50"/>
        </w:rPr>
        <w:drawing>
          <wp:anchor distT="0" distB="0" distL="114300" distR="114300" simplePos="0" relativeHeight="251662336" behindDoc="1" locked="1" layoutInCell="1" allowOverlap="1" wp14:anchorId="48C2CDF2" wp14:editId="7463A357">
            <wp:simplePos x="0" y="0"/>
            <wp:positionH relativeFrom="page">
              <wp:posOffset>-200025</wp:posOffset>
            </wp:positionH>
            <wp:positionV relativeFrom="page">
              <wp:posOffset>-200025</wp:posOffset>
            </wp:positionV>
            <wp:extent cx="7953375" cy="11250295"/>
            <wp:effectExtent l="0" t="0" r="9525" b="8255"/>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7953375" cy="112502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1DFB" w:rsidRPr="00DF68A2" w:rsidRDefault="00153E8C" w:rsidP="00BA6957">
      <w:pPr>
        <w:pStyle w:val="Date"/>
        <w:spacing w:before="200" w:after="600" w:line="380" w:lineRule="atLeast"/>
        <w:ind w:left="2694" w:right="-624"/>
        <w:rPr>
          <w:rFonts w:ascii="Helvetica" w:eastAsia="Times New Roman" w:hAnsi="Helvetica"/>
          <w:noProof/>
          <w:color w:val="FFFFFF"/>
          <w:kern w:val="28"/>
          <w:sz w:val="32"/>
          <w:szCs w:val="32"/>
          <w:lang w:eastAsia="en-US"/>
        </w:rPr>
      </w:pPr>
      <w:r w:rsidRPr="00DF68A2">
        <w:rPr>
          <w:rFonts w:ascii="Helvetica" w:eastAsia="Times New Roman" w:hAnsi="Helvetica"/>
          <w:noProof/>
          <w:color w:val="FFFFFF"/>
          <w:kern w:val="28"/>
          <w:sz w:val="32"/>
          <w:szCs w:val="32"/>
          <w:lang w:eastAsia="en-US"/>
        </w:rPr>
        <w:t>Laos</w:t>
      </w:r>
    </w:p>
    <w:p w:rsidR="001D6059" w:rsidRPr="00962508" w:rsidRDefault="00125002" w:rsidP="00BA6957">
      <w:pPr>
        <w:pStyle w:val="Date"/>
        <w:spacing w:before="200" w:after="600" w:line="380" w:lineRule="atLeast"/>
        <w:ind w:left="2694" w:right="-624"/>
        <w:rPr>
          <w:rFonts w:ascii="Helvetica" w:eastAsia="Times New Roman" w:hAnsi="Helvetica"/>
          <w:noProof/>
          <w:color w:val="FFFFFF"/>
          <w:kern w:val="28"/>
          <w:sz w:val="24"/>
          <w:lang w:eastAsia="en-US"/>
        </w:rPr>
      </w:pPr>
      <w:r w:rsidRPr="00962508">
        <w:rPr>
          <w:rFonts w:ascii="Helvetica" w:eastAsia="Times New Roman" w:hAnsi="Helvetica"/>
          <w:noProof/>
          <w:color w:val="FFFFFF"/>
          <w:kern w:val="28"/>
          <w:sz w:val="24"/>
          <w:lang w:eastAsia="en-US"/>
        </w:rPr>
        <w:t>November</w:t>
      </w:r>
      <w:r w:rsidR="000D733F" w:rsidRPr="00962508">
        <w:rPr>
          <w:rFonts w:ascii="Helvetica" w:eastAsia="Times New Roman" w:hAnsi="Helvetica"/>
          <w:noProof/>
          <w:color w:val="FFFFFF"/>
          <w:kern w:val="28"/>
          <w:sz w:val="24"/>
          <w:lang w:eastAsia="en-US"/>
        </w:rPr>
        <w:t xml:space="preserve"> 201</w:t>
      </w:r>
      <w:r w:rsidRPr="00962508">
        <w:rPr>
          <w:rFonts w:ascii="Helvetica" w:eastAsia="Times New Roman" w:hAnsi="Helvetica"/>
          <w:noProof/>
          <w:color w:val="FFFFFF"/>
          <w:kern w:val="28"/>
          <w:sz w:val="24"/>
          <w:lang w:eastAsia="en-US"/>
        </w:rPr>
        <w:t>5</w:t>
      </w:r>
    </w:p>
    <w:p w:rsidR="000D733F" w:rsidRPr="00962508" w:rsidRDefault="000D733F" w:rsidP="00BA6957">
      <w:pPr>
        <w:pStyle w:val="Heading2"/>
        <w:rPr>
          <w:rStyle w:val="BodyTextChar"/>
          <w:color w:val="auto"/>
        </w:rPr>
      </w:pPr>
      <w:bookmarkStart w:id="0" w:name="_Toc373853205"/>
      <w:r w:rsidRPr="00962508">
        <w:rPr>
          <w:sz w:val="28"/>
        </w:rPr>
        <w:lastRenderedPageBreak/>
        <w:t>Key Messages</w:t>
      </w:r>
      <w:bookmarkEnd w:id="0"/>
    </w:p>
    <w:p w:rsidR="007C5E09" w:rsidRPr="00962508" w:rsidRDefault="00B84BDC" w:rsidP="00BA6957">
      <w:pPr>
        <w:pStyle w:val="ListBullet"/>
        <w:numPr>
          <w:ilvl w:val="0"/>
          <w:numId w:val="0"/>
        </w:numPr>
      </w:pPr>
      <w:r w:rsidRPr="00962508">
        <w:t xml:space="preserve">This is the last </w:t>
      </w:r>
      <w:r w:rsidR="00FB28D6" w:rsidRPr="00962508">
        <w:t xml:space="preserve">annual report </w:t>
      </w:r>
      <w:r w:rsidR="00A83377" w:rsidRPr="00962508">
        <w:t xml:space="preserve">on program performance under </w:t>
      </w:r>
      <w:r w:rsidRPr="00962508">
        <w:t xml:space="preserve">the </w:t>
      </w:r>
      <w:hyperlink r:id="rId15" w:history="1">
        <w:r w:rsidR="003D7AE7" w:rsidRPr="003D7AE7">
          <w:rPr>
            <w:rStyle w:val="Hyperlink"/>
            <w:sz w:val="21"/>
            <w:szCs w:val="24"/>
          </w:rPr>
          <w:t>Australia-Laos Development Cooperation Strategy 2009–15</w:t>
        </w:r>
      </w:hyperlink>
      <w:r w:rsidR="00AC3974">
        <w:rPr>
          <w:rStyle w:val="Hyperlink"/>
          <w:sz w:val="21"/>
          <w:szCs w:val="24"/>
        </w:rPr>
        <w:t xml:space="preserve">.  </w:t>
      </w:r>
      <w:r w:rsidR="007C5E09" w:rsidRPr="00962508">
        <w:t xml:space="preserve">A new </w:t>
      </w:r>
      <w:hyperlink r:id="rId16" w:history="1">
        <w:r w:rsidR="001D0E29" w:rsidRPr="00B74128">
          <w:rPr>
            <w:rStyle w:val="Hyperlink"/>
            <w:sz w:val="21"/>
            <w:szCs w:val="24"/>
          </w:rPr>
          <w:t>Laos Country Program Aid Investment Plan</w:t>
        </w:r>
      </w:hyperlink>
      <w:r w:rsidR="007C5E09" w:rsidRPr="00962508">
        <w:t xml:space="preserve"> </w:t>
      </w:r>
      <w:r w:rsidR="00275236">
        <w:t xml:space="preserve">provides the framework </w:t>
      </w:r>
      <w:r w:rsidR="00502ACE">
        <w:t xml:space="preserve">for </w:t>
      </w:r>
      <w:r w:rsidR="00A83377" w:rsidRPr="00962508">
        <w:t xml:space="preserve">aid to Laos </w:t>
      </w:r>
      <w:r w:rsidR="00440D6E" w:rsidRPr="00962508">
        <w:t xml:space="preserve">from </w:t>
      </w:r>
      <w:r w:rsidR="007C5E09" w:rsidRPr="00962508">
        <w:t>20</w:t>
      </w:r>
      <w:r w:rsidR="00A83377" w:rsidRPr="00962508">
        <w:t>15-</w:t>
      </w:r>
      <w:r w:rsidR="007C5E09" w:rsidRPr="00962508">
        <w:t>16</w:t>
      </w:r>
      <w:r w:rsidR="00A83377" w:rsidRPr="00962508">
        <w:t xml:space="preserve"> to 2019-</w:t>
      </w:r>
      <w:r w:rsidR="007C5E09" w:rsidRPr="00962508">
        <w:t>20.</w:t>
      </w:r>
    </w:p>
    <w:p w:rsidR="00907198" w:rsidRPr="00962508" w:rsidRDefault="00BA6957" w:rsidP="00BA6957">
      <w:pPr>
        <w:pStyle w:val="ListBullet"/>
        <w:numPr>
          <w:ilvl w:val="0"/>
          <w:numId w:val="0"/>
        </w:numPr>
      </w:pPr>
      <w:r>
        <w:t>Results achieved i</w:t>
      </w:r>
      <w:r w:rsidR="00907198" w:rsidRPr="00962508">
        <w:t>n 2014-15</w:t>
      </w:r>
      <w:r>
        <w:t xml:space="preserve"> included</w:t>
      </w:r>
      <w:r w:rsidR="00E01E3B">
        <w:t>:</w:t>
      </w:r>
    </w:p>
    <w:p w:rsidR="00D34B31" w:rsidRPr="00962508" w:rsidRDefault="00D34B31" w:rsidP="00BA6957">
      <w:pPr>
        <w:pStyle w:val="ListBullet"/>
        <w:numPr>
          <w:ilvl w:val="0"/>
          <w:numId w:val="45"/>
        </w:numPr>
        <w:tabs>
          <w:tab w:val="clear" w:pos="284"/>
        </w:tabs>
      </w:pPr>
      <w:r>
        <w:t xml:space="preserve">Improved access to water and sanitation facilities for </w:t>
      </w:r>
      <w:r w:rsidRPr="00962508">
        <w:t>an ad</w:t>
      </w:r>
      <w:r>
        <w:t>ditional 16,978 students (8,137 </w:t>
      </w:r>
      <w:r w:rsidRPr="00962508">
        <w:t>girls) in 101 schools</w:t>
      </w:r>
      <w:r w:rsidR="00AF3CF1">
        <w:t xml:space="preserve"> and</w:t>
      </w:r>
      <w:r w:rsidRPr="00962508">
        <w:t xml:space="preserve"> </w:t>
      </w:r>
      <w:r>
        <w:t xml:space="preserve">provision of school meals to encourage better attendance and </w:t>
      </w:r>
      <w:r w:rsidR="00AF3CF1">
        <w:t xml:space="preserve">nutrition for </w:t>
      </w:r>
      <w:r w:rsidRPr="00962508">
        <w:t xml:space="preserve">almost </w:t>
      </w:r>
      <w:r>
        <w:t>1</w:t>
      </w:r>
      <w:r w:rsidRPr="00962508">
        <w:t>50,000 students living in food-insecure areas.</w:t>
      </w:r>
    </w:p>
    <w:p w:rsidR="00D34B31" w:rsidRDefault="001D7078" w:rsidP="00BA6957">
      <w:pPr>
        <w:pStyle w:val="ListBullet"/>
        <w:numPr>
          <w:ilvl w:val="0"/>
          <w:numId w:val="45"/>
        </w:numPr>
        <w:tabs>
          <w:tab w:val="clear" w:pos="284"/>
        </w:tabs>
      </w:pPr>
      <w:r w:rsidRPr="00962508">
        <w:t>Mo</w:t>
      </w:r>
      <w:r w:rsidR="00AF3CF1">
        <w:t>bilisation of a new $65 million</w:t>
      </w:r>
      <w:r w:rsidRPr="00962508">
        <w:t xml:space="preserve"> flagship basic education program</w:t>
      </w:r>
      <w:r w:rsidR="00502ACE">
        <w:t xml:space="preserve"> (BEQUAL)</w:t>
      </w:r>
      <w:r w:rsidRPr="00962508">
        <w:t>, which aims to raise the quality of education and improve primary completion.</w:t>
      </w:r>
    </w:p>
    <w:p w:rsidR="00C30D0B" w:rsidRPr="00962508" w:rsidRDefault="001D0E29" w:rsidP="00BA6957">
      <w:pPr>
        <w:pStyle w:val="ListBullet"/>
        <w:numPr>
          <w:ilvl w:val="0"/>
          <w:numId w:val="45"/>
        </w:numPr>
        <w:tabs>
          <w:tab w:val="clear" w:pos="284"/>
        </w:tabs>
      </w:pPr>
      <w:r>
        <w:t>M</w:t>
      </w:r>
      <w:r w:rsidR="00C30D0B" w:rsidRPr="00962508">
        <w:t>ore than 51,800 people</w:t>
      </w:r>
      <w:r w:rsidR="00BA6957">
        <w:t xml:space="preserve"> were </w:t>
      </w:r>
      <w:r w:rsidR="00040F72" w:rsidRPr="00962508">
        <w:t>provided</w:t>
      </w:r>
      <w:r w:rsidR="00C30D0B" w:rsidRPr="00962508">
        <w:t xml:space="preserve"> access to financial services</w:t>
      </w:r>
      <w:r w:rsidR="00D569EB" w:rsidRPr="00962508">
        <w:t xml:space="preserve">, </w:t>
      </w:r>
      <w:r w:rsidR="00C30D0B" w:rsidRPr="00962508">
        <w:t xml:space="preserve">613 impoverished households registered for cash and asset transfers, and over 66,000 people </w:t>
      </w:r>
      <w:r w:rsidR="00D569EB" w:rsidRPr="00962508">
        <w:t xml:space="preserve">able to </w:t>
      </w:r>
      <w:r w:rsidR="00C30D0B" w:rsidRPr="00962508">
        <w:t xml:space="preserve">safely access arable land </w:t>
      </w:r>
      <w:r w:rsidR="00D569EB" w:rsidRPr="00962508">
        <w:t xml:space="preserve">previously </w:t>
      </w:r>
      <w:r w:rsidR="00C30D0B" w:rsidRPr="00962508">
        <w:t xml:space="preserve">contaminated with </w:t>
      </w:r>
      <w:r w:rsidR="00B81C20">
        <w:t>unexploded ordnance</w:t>
      </w:r>
      <w:r w:rsidR="00790B3C">
        <w:t xml:space="preserve"> (UXO)</w:t>
      </w:r>
      <w:r w:rsidR="00C30D0B" w:rsidRPr="00962508">
        <w:t>.</w:t>
      </w:r>
    </w:p>
    <w:p w:rsidR="00442F35" w:rsidRDefault="00442F35" w:rsidP="00BA6957">
      <w:pPr>
        <w:pStyle w:val="ListBullet"/>
        <w:numPr>
          <w:ilvl w:val="0"/>
          <w:numId w:val="45"/>
        </w:numPr>
        <w:tabs>
          <w:tab w:val="clear" w:pos="284"/>
        </w:tabs>
      </w:pPr>
      <w:r>
        <w:t xml:space="preserve">Increased engagement with </w:t>
      </w:r>
      <w:r w:rsidR="001D0E29">
        <w:t>the private sector</w:t>
      </w:r>
      <w:r>
        <w:t xml:space="preserve"> </w:t>
      </w:r>
      <w:r w:rsidRPr="00D64846">
        <w:t xml:space="preserve">to </w:t>
      </w:r>
      <w:r>
        <w:t>boost</w:t>
      </w:r>
      <w:r w:rsidRPr="00D64846">
        <w:t xml:space="preserve"> the diversity of financial services and improve inclusion. In 2014</w:t>
      </w:r>
      <w:r w:rsidR="00785122">
        <w:rPr>
          <w:rStyle w:val="EndnoteReference"/>
        </w:rPr>
        <w:endnoteReference w:id="2"/>
      </w:r>
      <w:r w:rsidRPr="00D64846">
        <w:t>, DFAT’s investments of around $1.1</w:t>
      </w:r>
      <w:r w:rsidR="001D7078">
        <w:t xml:space="preserve"> </w:t>
      </w:r>
      <w:r w:rsidRPr="00D64846">
        <w:t>m</w:t>
      </w:r>
      <w:r w:rsidR="001D7078">
        <w:t>illion</w:t>
      </w:r>
      <w:r w:rsidRPr="00D64846">
        <w:t xml:space="preserve"> </w:t>
      </w:r>
      <w:r w:rsidR="001D0E29">
        <w:t>l</w:t>
      </w:r>
      <w:r w:rsidRPr="00D64846">
        <w:t xml:space="preserve">everaged </w:t>
      </w:r>
      <w:r>
        <w:t xml:space="preserve">commercial </w:t>
      </w:r>
      <w:r w:rsidRPr="00D64846">
        <w:t>sector cash investments of more than $2.3</w:t>
      </w:r>
      <w:r w:rsidR="001D7078">
        <w:t xml:space="preserve"> </w:t>
      </w:r>
      <w:r w:rsidRPr="00D64846">
        <w:t>m</w:t>
      </w:r>
      <w:r w:rsidR="001D7078">
        <w:t>illion</w:t>
      </w:r>
      <w:r w:rsidRPr="00D64846">
        <w:t>.</w:t>
      </w:r>
    </w:p>
    <w:p w:rsidR="00726C18" w:rsidRPr="00962508" w:rsidRDefault="00726C18" w:rsidP="00BA6957">
      <w:pPr>
        <w:pStyle w:val="ListBullet"/>
        <w:numPr>
          <w:ilvl w:val="0"/>
          <w:numId w:val="45"/>
        </w:numPr>
        <w:tabs>
          <w:tab w:val="clear" w:pos="284"/>
        </w:tabs>
      </w:pPr>
      <w:r w:rsidRPr="00962508">
        <w:t xml:space="preserve">Improved rural infrastructure benefitting more than 6,953 people (at least 38 per cent women). The opening of a </w:t>
      </w:r>
      <w:r w:rsidR="00BA6957">
        <w:t xml:space="preserve">new </w:t>
      </w:r>
      <w:r w:rsidRPr="00962508">
        <w:t xml:space="preserve">transport route </w:t>
      </w:r>
      <w:r w:rsidR="00BA6957">
        <w:t xml:space="preserve">with </w:t>
      </w:r>
      <w:r w:rsidRPr="00962508">
        <w:t>Thaila</w:t>
      </w:r>
      <w:r w:rsidR="00BA6957">
        <w:t>nd</w:t>
      </w:r>
      <w:r w:rsidRPr="00962508">
        <w:t xml:space="preserve"> led to 22 per cent traffic growth and increased trade revenue from US$1.7</w:t>
      </w:r>
      <w:r w:rsidR="001D7078">
        <w:t xml:space="preserve"> </w:t>
      </w:r>
      <w:r w:rsidRPr="00962508">
        <w:t>m</w:t>
      </w:r>
      <w:r w:rsidR="001D7078">
        <w:t>illion</w:t>
      </w:r>
      <w:r w:rsidRPr="00962508">
        <w:t xml:space="preserve"> to US$7.2</w:t>
      </w:r>
      <w:r w:rsidR="001D7078">
        <w:t xml:space="preserve"> </w:t>
      </w:r>
      <w:r w:rsidRPr="00962508">
        <w:t>m</w:t>
      </w:r>
      <w:r w:rsidR="001D7078">
        <w:t>illion</w:t>
      </w:r>
      <w:r w:rsidRPr="00962508">
        <w:t xml:space="preserve"> over </w:t>
      </w:r>
      <w:r w:rsidR="0031075D">
        <w:t xml:space="preserve">the </w:t>
      </w:r>
      <w:r w:rsidRPr="00962508">
        <w:t>6 year</w:t>
      </w:r>
      <w:r w:rsidR="0031075D">
        <w:t xml:space="preserve"> life of the road project</w:t>
      </w:r>
      <w:r w:rsidRPr="00962508">
        <w:t>.</w:t>
      </w:r>
    </w:p>
    <w:p w:rsidR="003C1438" w:rsidRPr="00962508" w:rsidRDefault="00561BC4" w:rsidP="00BA6957">
      <w:pPr>
        <w:pStyle w:val="ListBullet"/>
        <w:numPr>
          <w:ilvl w:val="0"/>
          <w:numId w:val="45"/>
        </w:numPr>
        <w:tabs>
          <w:tab w:val="clear" w:pos="284"/>
        </w:tabs>
      </w:pPr>
      <w:r w:rsidRPr="00962508">
        <w:t>I</w:t>
      </w:r>
      <w:r w:rsidR="003C1438" w:rsidRPr="00962508">
        <w:t>dentification and publication of 2</w:t>
      </w:r>
      <w:r w:rsidR="00217E89" w:rsidRPr="00962508">
        <w:t>3</w:t>
      </w:r>
      <w:r w:rsidR="003C1438" w:rsidRPr="00962508">
        <w:t>1 Non-Tariff Measures</w:t>
      </w:r>
      <w:r w:rsidR="00D7338E">
        <w:t xml:space="preserve"> (NTMs)</w:t>
      </w:r>
      <w:r w:rsidR="00785122">
        <w:t xml:space="preserve">, </w:t>
      </w:r>
      <w:r w:rsidRPr="00962508">
        <w:t xml:space="preserve"> </w:t>
      </w:r>
      <w:r w:rsidR="0031075D">
        <w:t xml:space="preserve">now the focus of streamlining work, </w:t>
      </w:r>
      <w:r w:rsidRPr="00962508">
        <w:t xml:space="preserve">to </w:t>
      </w:r>
      <w:r w:rsidR="001D0E29">
        <w:t>facilitate</w:t>
      </w:r>
      <w:r w:rsidRPr="00962508">
        <w:t xml:space="preserve"> trade and</w:t>
      </w:r>
      <w:r w:rsidR="001D0E29">
        <w:t xml:space="preserve"> </w:t>
      </w:r>
      <w:r w:rsidRPr="00962508">
        <w:t>business</w:t>
      </w:r>
      <w:r w:rsidR="003C1438" w:rsidRPr="00962508">
        <w:t xml:space="preserve">, provision of 69 matching grants to </w:t>
      </w:r>
      <w:r w:rsidRPr="00962508">
        <w:t xml:space="preserve">help </w:t>
      </w:r>
      <w:r w:rsidR="00785122">
        <w:t>small  and medium-size enterprises</w:t>
      </w:r>
      <w:r w:rsidR="003C1438" w:rsidRPr="00962508">
        <w:t xml:space="preserve"> grow and </w:t>
      </w:r>
      <w:r w:rsidRPr="00962508">
        <w:t xml:space="preserve">completion of a telecommunications sector assessment to support further </w:t>
      </w:r>
      <w:r w:rsidR="003C1438" w:rsidRPr="00962508">
        <w:t>reform</w:t>
      </w:r>
      <w:r w:rsidR="00275236">
        <w:t>.</w:t>
      </w:r>
    </w:p>
    <w:p w:rsidR="005833B9" w:rsidRPr="00962508" w:rsidRDefault="00B81C20" w:rsidP="00BA6957">
      <w:pPr>
        <w:pStyle w:val="ListBullet"/>
        <w:numPr>
          <w:ilvl w:val="0"/>
          <w:numId w:val="46"/>
        </w:numPr>
        <w:tabs>
          <w:tab w:val="clear" w:pos="284"/>
        </w:tabs>
      </w:pPr>
      <w:r>
        <w:rPr>
          <w:szCs w:val="21"/>
        </w:rPr>
        <w:t>Support for</w:t>
      </w:r>
      <w:r w:rsidR="00131446">
        <w:rPr>
          <w:szCs w:val="21"/>
        </w:rPr>
        <w:t xml:space="preserve"> h</w:t>
      </w:r>
      <w:r w:rsidR="00726458">
        <w:rPr>
          <w:szCs w:val="21"/>
        </w:rPr>
        <w:t>uman rights,</w:t>
      </w:r>
      <w:r w:rsidR="00726458" w:rsidRPr="00962508">
        <w:rPr>
          <w:szCs w:val="21"/>
        </w:rPr>
        <w:t xml:space="preserve"> </w:t>
      </w:r>
      <w:r w:rsidR="00726458">
        <w:rPr>
          <w:szCs w:val="21"/>
        </w:rPr>
        <w:t>including</w:t>
      </w:r>
      <w:r w:rsidR="00726458" w:rsidRPr="00962508">
        <w:rPr>
          <w:szCs w:val="21"/>
        </w:rPr>
        <w:t xml:space="preserve"> </w:t>
      </w:r>
      <w:r w:rsidR="00131446">
        <w:rPr>
          <w:szCs w:val="21"/>
        </w:rPr>
        <w:t xml:space="preserve">through </w:t>
      </w:r>
      <w:r w:rsidR="00726458" w:rsidRPr="00962508">
        <w:rPr>
          <w:szCs w:val="21"/>
        </w:rPr>
        <w:t xml:space="preserve">awareness raising </w:t>
      </w:r>
      <w:r w:rsidR="001D0E29">
        <w:rPr>
          <w:szCs w:val="21"/>
        </w:rPr>
        <w:t>and</w:t>
      </w:r>
      <w:r w:rsidR="00726458" w:rsidRPr="00962508">
        <w:rPr>
          <w:szCs w:val="21"/>
        </w:rPr>
        <w:t xml:space="preserve"> capacity</w:t>
      </w:r>
      <w:r w:rsidR="00AA1B57">
        <w:rPr>
          <w:szCs w:val="21"/>
        </w:rPr>
        <w:t>-</w:t>
      </w:r>
      <w:r w:rsidR="00726458" w:rsidRPr="00962508">
        <w:rPr>
          <w:szCs w:val="21"/>
        </w:rPr>
        <w:t>building in association with the Lao-A</w:t>
      </w:r>
      <w:r w:rsidR="00726458">
        <w:rPr>
          <w:szCs w:val="21"/>
        </w:rPr>
        <w:t>ustralia Human Rights D</w:t>
      </w:r>
      <w:r w:rsidR="00726458" w:rsidRPr="00962508">
        <w:rPr>
          <w:szCs w:val="21"/>
        </w:rPr>
        <w:t>ialogue.</w:t>
      </w:r>
    </w:p>
    <w:p w:rsidR="004C7FB6" w:rsidRPr="00962508" w:rsidRDefault="00BA6957" w:rsidP="00BA6957">
      <w:pPr>
        <w:pStyle w:val="ListBullet"/>
        <w:numPr>
          <w:ilvl w:val="0"/>
          <w:numId w:val="0"/>
        </w:numPr>
        <w:tabs>
          <w:tab w:val="clear" w:pos="284"/>
        </w:tabs>
      </w:pPr>
      <w:r>
        <w:t>A</w:t>
      </w:r>
      <w:r w:rsidR="00673566">
        <w:t xml:space="preserve"> number of </w:t>
      </w:r>
      <w:r w:rsidR="004C7FB6" w:rsidRPr="00962508">
        <w:t xml:space="preserve">key lessons for </w:t>
      </w:r>
      <w:r w:rsidR="000677A9">
        <w:t xml:space="preserve">the </w:t>
      </w:r>
      <w:r w:rsidR="004C7FB6" w:rsidRPr="00962508">
        <w:t xml:space="preserve">2015-16 to 2019-20 Aid Investment Plan </w:t>
      </w:r>
      <w:r>
        <w:t>have been</w:t>
      </w:r>
      <w:r w:rsidR="00673566">
        <w:t xml:space="preserve"> identified</w:t>
      </w:r>
      <w:r w:rsidR="00E01E3B">
        <w:t>:</w:t>
      </w:r>
    </w:p>
    <w:p w:rsidR="004C7FB6" w:rsidRDefault="00AB350E" w:rsidP="00BA6957">
      <w:pPr>
        <w:pStyle w:val="ListBullet"/>
        <w:numPr>
          <w:ilvl w:val="0"/>
          <w:numId w:val="46"/>
        </w:numPr>
        <w:tabs>
          <w:tab w:val="clear" w:pos="284"/>
        </w:tabs>
      </w:pPr>
      <w:r>
        <w:t xml:space="preserve">Australia will continue </w:t>
      </w:r>
      <w:r w:rsidR="00C4328D">
        <w:t xml:space="preserve">to </w:t>
      </w:r>
      <w:r w:rsidRPr="00AB350E">
        <w:t xml:space="preserve">improve the management and visibility of Australian aid </w:t>
      </w:r>
      <w:r>
        <w:t xml:space="preserve">by </w:t>
      </w:r>
      <w:r w:rsidR="000F3128">
        <w:t>working more closely</w:t>
      </w:r>
      <w:r w:rsidRPr="00AB350E">
        <w:t xml:space="preserve"> with the Lao </w:t>
      </w:r>
      <w:r w:rsidR="000F3128">
        <w:t>G</w:t>
      </w:r>
      <w:r w:rsidRPr="00AB350E">
        <w:t>overnment, rather than fund</w:t>
      </w:r>
      <w:r w:rsidR="00275236">
        <w:t>ing</w:t>
      </w:r>
      <w:r w:rsidRPr="00AB350E">
        <w:t xml:space="preserve"> projects that are managed by </w:t>
      </w:r>
      <w:r w:rsidR="001D0E29">
        <w:t xml:space="preserve">other </w:t>
      </w:r>
      <w:r w:rsidRPr="00AB350E">
        <w:t xml:space="preserve">organisations. This </w:t>
      </w:r>
      <w:r w:rsidR="00CA70E2">
        <w:t xml:space="preserve">approach has influenced the design of </w:t>
      </w:r>
      <w:r w:rsidR="00E01E3B">
        <w:t>BEQUAL</w:t>
      </w:r>
      <w:r w:rsidRPr="00AB350E">
        <w:t>.</w:t>
      </w:r>
    </w:p>
    <w:p w:rsidR="00AB350E" w:rsidRDefault="00AB350E" w:rsidP="00BA6957">
      <w:pPr>
        <w:pStyle w:val="ListBullet"/>
        <w:numPr>
          <w:ilvl w:val="0"/>
          <w:numId w:val="46"/>
        </w:numPr>
        <w:tabs>
          <w:tab w:val="clear" w:pos="284"/>
        </w:tabs>
      </w:pPr>
      <w:r w:rsidRPr="00AB350E">
        <w:t xml:space="preserve">Australia will increase the emphasis it places on policy dialogue </w:t>
      </w:r>
      <w:r w:rsidR="001D0E29">
        <w:t xml:space="preserve">with the </w:t>
      </w:r>
      <w:r w:rsidRPr="00AB350E">
        <w:t xml:space="preserve">Lao </w:t>
      </w:r>
      <w:r w:rsidR="00160EA8">
        <w:t>G</w:t>
      </w:r>
      <w:r w:rsidRPr="00AB350E">
        <w:t>overnment</w:t>
      </w:r>
      <w:r w:rsidR="00785122">
        <w:t xml:space="preserve"> to encourage reforms that will strengthen the impact of our aid investments</w:t>
      </w:r>
      <w:r w:rsidRPr="00AB350E">
        <w:t>.</w:t>
      </w:r>
    </w:p>
    <w:p w:rsidR="00AB350E" w:rsidRPr="00962508" w:rsidRDefault="00941F34" w:rsidP="00BA6957">
      <w:pPr>
        <w:pStyle w:val="ListBullet"/>
        <w:numPr>
          <w:ilvl w:val="0"/>
          <w:numId w:val="46"/>
        </w:numPr>
        <w:tabs>
          <w:tab w:val="clear" w:pos="284"/>
        </w:tabs>
      </w:pPr>
      <w:r w:rsidRPr="00941F34">
        <w:t>Australia will design future aid activities</w:t>
      </w:r>
      <w:r w:rsidR="001D0E29">
        <w:t xml:space="preserve"> and performance assessment</w:t>
      </w:r>
      <w:r w:rsidRPr="00941F34">
        <w:t xml:space="preserve"> in a way </w:t>
      </w:r>
      <w:r w:rsidR="00B81C20">
        <w:t xml:space="preserve">that </w:t>
      </w:r>
      <w:r w:rsidRPr="00941F34">
        <w:t>emphasises the shared nature of the development challenges to be addressed</w:t>
      </w:r>
      <w:r w:rsidR="00785122">
        <w:t>, requiring complementary commitments from both sides</w:t>
      </w:r>
      <w:r w:rsidRPr="00941F34">
        <w:t>.</w:t>
      </w:r>
    </w:p>
    <w:p w:rsidR="000D733F" w:rsidRPr="00962508" w:rsidRDefault="000D733F" w:rsidP="00BA6957">
      <w:pPr>
        <w:pStyle w:val="Heading2"/>
        <w:rPr>
          <w:rStyle w:val="BodyTextChar"/>
          <w:i/>
          <w:color w:val="auto"/>
        </w:rPr>
      </w:pPr>
      <w:r w:rsidRPr="00962508">
        <w:rPr>
          <w:sz w:val="28"/>
        </w:rPr>
        <w:t>Context</w:t>
      </w:r>
    </w:p>
    <w:p w:rsidR="00E468D9" w:rsidRPr="00962508" w:rsidRDefault="000F3128" w:rsidP="00BA6957">
      <w:pPr>
        <w:pStyle w:val="ListBullet"/>
        <w:numPr>
          <w:ilvl w:val="0"/>
          <w:numId w:val="0"/>
        </w:numPr>
        <w:rPr>
          <w:lang w:eastAsia="zh-CN"/>
        </w:rPr>
      </w:pPr>
      <w:r>
        <w:t>Laos remains a Least Developed Country</w:t>
      </w:r>
      <w:r w:rsidR="001C6D32">
        <w:t xml:space="preserve"> (LDC)</w:t>
      </w:r>
      <w:r>
        <w:t>. However, s</w:t>
      </w:r>
      <w:r w:rsidR="00F75911">
        <w:t>ince the start of the</w:t>
      </w:r>
      <w:r w:rsidR="00F75911" w:rsidRPr="00962508">
        <w:t xml:space="preserve"> </w:t>
      </w:r>
      <w:r w:rsidR="00275236" w:rsidRPr="00962508">
        <w:t xml:space="preserve">2009-2015 </w:t>
      </w:r>
      <w:r w:rsidR="00F75911" w:rsidRPr="00962508">
        <w:t>Development</w:t>
      </w:r>
      <w:r w:rsidR="008921AF" w:rsidRPr="00962508">
        <w:t xml:space="preserve"> Cooperation Strategy, </w:t>
      </w:r>
      <w:r w:rsidR="003B718F" w:rsidRPr="00962508">
        <w:t>Laos</w:t>
      </w:r>
      <w:r w:rsidR="008921AF" w:rsidRPr="00962508">
        <w:t xml:space="preserve"> </w:t>
      </w:r>
      <w:r w:rsidR="00F726F9">
        <w:t xml:space="preserve">has </w:t>
      </w:r>
      <w:r w:rsidR="008921AF" w:rsidRPr="00962508">
        <w:t xml:space="preserve">almost doubled </w:t>
      </w:r>
      <w:r>
        <w:t xml:space="preserve">annual </w:t>
      </w:r>
      <w:r w:rsidR="008921AF" w:rsidRPr="00962508">
        <w:t xml:space="preserve">per capita income from </w:t>
      </w:r>
      <w:r w:rsidR="004C7FB6" w:rsidRPr="00962508">
        <w:t xml:space="preserve">US$880 </w:t>
      </w:r>
      <w:r w:rsidR="008921AF" w:rsidRPr="00962508">
        <w:t>to US</w:t>
      </w:r>
      <w:r w:rsidR="004C7FB6" w:rsidRPr="00962508">
        <w:t>$</w:t>
      </w:r>
      <w:r w:rsidR="008921AF" w:rsidRPr="00962508">
        <w:t xml:space="preserve">1,600. This has been </w:t>
      </w:r>
      <w:r w:rsidR="00CF0081" w:rsidRPr="00962508">
        <w:t>s</w:t>
      </w:r>
      <w:r w:rsidR="008921AF" w:rsidRPr="00962508">
        <w:t xml:space="preserve">upported by </w:t>
      </w:r>
      <w:r w:rsidR="004E5124" w:rsidRPr="00962508">
        <w:t xml:space="preserve">generally expansionary economic policies </w:t>
      </w:r>
      <w:r w:rsidR="008921AF" w:rsidRPr="00962508">
        <w:t>and st</w:t>
      </w:r>
      <w:r w:rsidR="003F4D40">
        <w:t xml:space="preserve">rong foreign direct investment. </w:t>
      </w:r>
      <w:r w:rsidR="003F4D40" w:rsidRPr="00962508">
        <w:rPr>
          <w:lang w:eastAsia="zh-CN"/>
        </w:rPr>
        <w:t>Concerns remain, however, around the governance environment</w:t>
      </w:r>
      <w:r w:rsidR="00F726F9">
        <w:rPr>
          <w:lang w:eastAsia="zh-CN"/>
        </w:rPr>
        <w:t>,</w:t>
      </w:r>
      <w:r>
        <w:rPr>
          <w:lang w:eastAsia="zh-CN"/>
        </w:rPr>
        <w:t xml:space="preserve"> which is still complex and creates opportunities for corruption</w:t>
      </w:r>
      <w:r w:rsidR="003F4D40" w:rsidRPr="00962508">
        <w:rPr>
          <w:lang w:eastAsia="zh-CN"/>
        </w:rPr>
        <w:t>.</w:t>
      </w:r>
      <w:r w:rsidR="00BA6957">
        <w:rPr>
          <w:lang w:eastAsia="zh-CN"/>
        </w:rPr>
        <w:t xml:space="preserve"> </w:t>
      </w:r>
      <w:r w:rsidR="003F4D40" w:rsidRPr="00962508">
        <w:t>Mining and hydropower development have been important sourc</w:t>
      </w:r>
      <w:r w:rsidR="003F4D40">
        <w:t xml:space="preserve">es of growth in recent years but </w:t>
      </w:r>
      <w:r w:rsidR="003F4D40">
        <w:rPr>
          <w:lang w:eastAsia="zh-CN"/>
        </w:rPr>
        <w:t>Laos’</w:t>
      </w:r>
      <w:r w:rsidR="00E468D9" w:rsidRPr="00962508">
        <w:rPr>
          <w:lang w:eastAsia="zh-CN"/>
        </w:rPr>
        <w:t xml:space="preserve"> economy</w:t>
      </w:r>
      <w:r w:rsidR="003F4D40">
        <w:rPr>
          <w:lang w:eastAsia="zh-CN"/>
        </w:rPr>
        <w:t xml:space="preserve"> has also been diversifying</w:t>
      </w:r>
      <w:r w:rsidR="00E468D9" w:rsidRPr="00962508">
        <w:rPr>
          <w:lang w:eastAsia="zh-CN"/>
        </w:rPr>
        <w:t xml:space="preserve">. The </w:t>
      </w:r>
      <w:r w:rsidR="00E468D9" w:rsidRPr="00962508">
        <w:rPr>
          <w:lang w:eastAsia="zh-CN"/>
        </w:rPr>
        <w:lastRenderedPageBreak/>
        <w:t xml:space="preserve">services sector accounted for 39 per cent of real GDP growth between 2013 and 2014 and its share of total trade increased </w:t>
      </w:r>
      <w:r w:rsidR="003F4D40">
        <w:rPr>
          <w:lang w:eastAsia="zh-CN"/>
        </w:rPr>
        <w:t>from 9 per cent to 11 per cent.</w:t>
      </w:r>
    </w:p>
    <w:p w:rsidR="00812293" w:rsidRDefault="00BA6957" w:rsidP="00BA6957">
      <w:pPr>
        <w:pStyle w:val="ListBullet"/>
        <w:numPr>
          <w:ilvl w:val="0"/>
          <w:numId w:val="0"/>
        </w:numPr>
      </w:pPr>
      <w:r>
        <w:t>T</w:t>
      </w:r>
      <w:r w:rsidR="00085091">
        <w:t xml:space="preserve">he Lao Government’s fiscal </w:t>
      </w:r>
      <w:r w:rsidR="001D0E29">
        <w:t>position</w:t>
      </w:r>
      <w:r w:rsidR="00085091">
        <w:t xml:space="preserve"> </w:t>
      </w:r>
      <w:r w:rsidR="001D0E29">
        <w:t xml:space="preserve">has </w:t>
      </w:r>
      <w:r w:rsidR="00085091">
        <w:t>c</w:t>
      </w:r>
      <w:r w:rsidR="001D0E29">
        <w:t>ome</w:t>
      </w:r>
      <w:r w:rsidR="00085091">
        <w:t xml:space="preserve"> under stress</w:t>
      </w:r>
      <w:r w:rsidR="001D0E29">
        <w:t xml:space="preserve"> due </w:t>
      </w:r>
      <w:r w:rsidR="00603A3B">
        <w:t xml:space="preserve">to </w:t>
      </w:r>
      <w:r w:rsidR="001D0E29">
        <w:t xml:space="preserve">a large increase in public sector </w:t>
      </w:r>
      <w:r w:rsidR="00603A3B">
        <w:t>payments</w:t>
      </w:r>
      <w:r w:rsidR="001D0E29">
        <w:t xml:space="preserve"> and a decline in grants and mining revenues</w:t>
      </w:r>
      <w:r w:rsidR="00085091">
        <w:t xml:space="preserve">. International reserves are </w:t>
      </w:r>
      <w:r w:rsidR="00205BBC">
        <w:t>starting to increase slightly but are i</w:t>
      </w:r>
      <w:r w:rsidR="00085091">
        <w:t xml:space="preserve">nadequate </w:t>
      </w:r>
      <w:r w:rsidR="00AF3CF1">
        <w:t>according to the International M</w:t>
      </w:r>
      <w:r w:rsidR="00085091">
        <w:t xml:space="preserve">onetary Fund. In 2014-15 </w:t>
      </w:r>
      <w:r w:rsidR="00AF3CF1">
        <w:t>t</w:t>
      </w:r>
      <w:r w:rsidR="00304382">
        <w:t xml:space="preserve">he Lao </w:t>
      </w:r>
      <w:r w:rsidR="00160EA8">
        <w:t>G</w:t>
      </w:r>
      <w:r w:rsidR="00304382">
        <w:t>overnment sought to stabilise the situation by freezing public sector wages and strengthening revenue administration.</w:t>
      </w:r>
    </w:p>
    <w:p w:rsidR="00E36287" w:rsidRDefault="00603A3B" w:rsidP="00BA6957">
      <w:pPr>
        <w:pStyle w:val="ListBullet"/>
        <w:numPr>
          <w:ilvl w:val="0"/>
          <w:numId w:val="0"/>
        </w:numPr>
      </w:pPr>
      <w:r>
        <w:t>Recent e</w:t>
      </w:r>
      <w:r w:rsidRPr="00962508">
        <w:t>stimates show a decline in the nat</w:t>
      </w:r>
      <w:r>
        <w:t xml:space="preserve">ional poverty headcount but poverty </w:t>
      </w:r>
      <w:r w:rsidRPr="00962508">
        <w:t xml:space="preserve">remains highest </w:t>
      </w:r>
      <w:r w:rsidR="00F726F9">
        <w:t xml:space="preserve">and is declining more slowly </w:t>
      </w:r>
      <w:r w:rsidRPr="00962508">
        <w:t>in rural areas</w:t>
      </w:r>
      <w:r>
        <w:t xml:space="preserve"> (see Table 1)</w:t>
      </w:r>
      <w:r w:rsidRPr="00962508">
        <w:t>.</w:t>
      </w:r>
      <w:r>
        <w:t xml:space="preserve"> </w:t>
      </w:r>
      <w:r w:rsidR="00BA6957" w:rsidRPr="00962508">
        <w:t xml:space="preserve">Laos expects to </w:t>
      </w:r>
      <w:r w:rsidR="00BA6957">
        <w:t xml:space="preserve">have </w:t>
      </w:r>
      <w:r w:rsidR="00BA6957" w:rsidRPr="00962508">
        <w:t xml:space="preserve">met five of the nine </w:t>
      </w:r>
      <w:r w:rsidR="00BA6957">
        <w:t>Millennium Development Goals (</w:t>
      </w:r>
      <w:r w:rsidR="00BA6957" w:rsidRPr="00962508">
        <w:t>MDGs</w:t>
      </w:r>
      <w:r w:rsidR="00BA6957">
        <w:t>)</w:t>
      </w:r>
      <w:r w:rsidR="00946D8F">
        <w:t xml:space="preserve"> by end 2015</w:t>
      </w:r>
      <w:r w:rsidR="00BA6957">
        <w:t xml:space="preserve"> but</w:t>
      </w:r>
      <w:r w:rsidR="00BA6957" w:rsidRPr="00962508">
        <w:t xml:space="preserve"> </w:t>
      </w:r>
      <w:r w:rsidR="00BA6957">
        <w:t xml:space="preserve">those on </w:t>
      </w:r>
      <w:r w:rsidR="00BA6957" w:rsidRPr="00962508">
        <w:t>hunger</w:t>
      </w:r>
      <w:r w:rsidR="00BA6957">
        <w:t xml:space="preserve">, </w:t>
      </w:r>
      <w:r w:rsidR="00BA6957" w:rsidRPr="00962508">
        <w:t>primary education</w:t>
      </w:r>
      <w:r w:rsidR="00BA6957">
        <w:t xml:space="preserve">, </w:t>
      </w:r>
      <w:r w:rsidR="00BA6957" w:rsidRPr="00962508">
        <w:t>child mortality</w:t>
      </w:r>
      <w:r w:rsidR="00BA6957">
        <w:t xml:space="preserve"> and </w:t>
      </w:r>
      <w:r w:rsidR="00BA6957" w:rsidRPr="00962508">
        <w:t>unexploded ordnance</w:t>
      </w:r>
      <w:r w:rsidR="00BA6957">
        <w:t xml:space="preserve"> are at risk</w:t>
      </w:r>
      <w:r w:rsidR="00BA6957" w:rsidRPr="00962508">
        <w:t>.</w:t>
      </w:r>
      <w:r w:rsidR="008921AF" w:rsidRPr="00962508">
        <w:t xml:space="preserve"> </w:t>
      </w:r>
    </w:p>
    <w:p w:rsidR="00021651" w:rsidRPr="00931CF6" w:rsidRDefault="00021651" w:rsidP="00BA6957">
      <w:pPr>
        <w:pStyle w:val="Caption"/>
      </w:pPr>
      <w:r w:rsidRPr="00931CF6">
        <w:t>T</w:t>
      </w:r>
      <w:r w:rsidR="00931CF6">
        <w:t>able</w:t>
      </w:r>
      <w:r w:rsidRPr="00931CF6">
        <w:t xml:space="preserve"> 1: Urban versus rural poverty headcount rates, 2003-2013 (per cent)</w:t>
      </w:r>
    </w:p>
    <w:tbl>
      <w:tblPr>
        <w:tblStyle w:val="TableGrid"/>
        <w:tblW w:w="0" w:type="auto"/>
        <w:tblInd w:w="284" w:type="dxa"/>
        <w:tblLook w:val="04A0" w:firstRow="1" w:lastRow="0" w:firstColumn="1" w:lastColumn="0" w:noHBand="0" w:noVBand="1"/>
        <w:tblCaption w:val="Table 1: Urban versus rural poverty headcount rates, 2003-2013 (per cent)"/>
        <w:tblDescription w:val="Table 1 shows urban versus rural poverty headcount rates expressed in percentage terms and covering the period 2003 to 2013. The national figures for Laos are 33.5% for 2003; 27.6% for 2008; 23.2% for 2013 and the change between 2008 and 2013 is negative 4.3%.  The urban figures for Laos are 19.7% for 2003; 17.4% for 2008; 10.0% for 2013 and the change between 2008 and 2013 is negative 7.3%.  The rural figures for Laos are 37.6% for 2003; 31.7% for 2008; 28.6% for 2013 and the change between 2008 and 2013 is negative 3.1%."/>
      </w:tblPr>
      <w:tblGrid>
        <w:gridCol w:w="1671"/>
        <w:gridCol w:w="1669"/>
        <w:gridCol w:w="1669"/>
        <w:gridCol w:w="1669"/>
        <w:gridCol w:w="1683"/>
      </w:tblGrid>
      <w:tr w:rsidR="00021651" w:rsidTr="00FB74BF">
        <w:trPr>
          <w:cantSplit/>
        </w:trPr>
        <w:tc>
          <w:tcPr>
            <w:tcW w:w="1671" w:type="dxa"/>
            <w:tcBorders>
              <w:top w:val="single" w:sz="4" w:space="0" w:color="auto"/>
              <w:left w:val="single" w:sz="4" w:space="0" w:color="auto"/>
              <w:bottom w:val="single" w:sz="4" w:space="0" w:color="auto"/>
              <w:right w:val="single" w:sz="4" w:space="0" w:color="auto"/>
            </w:tcBorders>
          </w:tcPr>
          <w:p w:rsidR="00021651" w:rsidRPr="00BA6957" w:rsidRDefault="00021651" w:rsidP="00BA6957">
            <w:pPr>
              <w:pStyle w:val="ListBullet"/>
              <w:numPr>
                <w:ilvl w:val="0"/>
                <w:numId w:val="0"/>
              </w:numPr>
              <w:rPr>
                <w:sz w:val="16"/>
                <w:szCs w:val="16"/>
                <w:lang w:val="en-GB"/>
              </w:rPr>
            </w:pPr>
          </w:p>
        </w:tc>
        <w:tc>
          <w:tcPr>
            <w:tcW w:w="1669" w:type="dxa"/>
            <w:tcBorders>
              <w:top w:val="single" w:sz="4" w:space="0" w:color="auto"/>
              <w:left w:val="single" w:sz="4" w:space="0" w:color="auto"/>
              <w:bottom w:val="single" w:sz="4" w:space="0" w:color="auto"/>
              <w:right w:val="single" w:sz="4" w:space="0" w:color="auto"/>
            </w:tcBorders>
            <w:hideMark/>
          </w:tcPr>
          <w:p w:rsidR="00021651" w:rsidRPr="00BA6957" w:rsidRDefault="00021651" w:rsidP="00BA6957">
            <w:pPr>
              <w:pStyle w:val="ListBullet"/>
              <w:numPr>
                <w:ilvl w:val="0"/>
                <w:numId w:val="0"/>
              </w:numPr>
              <w:rPr>
                <w:sz w:val="16"/>
                <w:szCs w:val="16"/>
                <w:lang w:val="en-GB"/>
              </w:rPr>
            </w:pPr>
            <w:r w:rsidRPr="00BA6957">
              <w:rPr>
                <w:sz w:val="16"/>
                <w:szCs w:val="16"/>
                <w:lang w:val="en-GB"/>
              </w:rPr>
              <w:t>2003</w:t>
            </w:r>
          </w:p>
        </w:tc>
        <w:tc>
          <w:tcPr>
            <w:tcW w:w="1669" w:type="dxa"/>
            <w:tcBorders>
              <w:top w:val="single" w:sz="4" w:space="0" w:color="auto"/>
              <w:left w:val="single" w:sz="4" w:space="0" w:color="auto"/>
              <w:bottom w:val="single" w:sz="4" w:space="0" w:color="auto"/>
              <w:right w:val="single" w:sz="4" w:space="0" w:color="auto"/>
            </w:tcBorders>
            <w:hideMark/>
          </w:tcPr>
          <w:p w:rsidR="00021651" w:rsidRPr="00BA6957" w:rsidRDefault="00021651" w:rsidP="00BA6957">
            <w:pPr>
              <w:pStyle w:val="ListBullet"/>
              <w:numPr>
                <w:ilvl w:val="0"/>
                <w:numId w:val="0"/>
              </w:numPr>
              <w:rPr>
                <w:sz w:val="16"/>
                <w:szCs w:val="16"/>
                <w:lang w:val="en-GB"/>
              </w:rPr>
            </w:pPr>
            <w:r w:rsidRPr="00BA6957">
              <w:rPr>
                <w:sz w:val="16"/>
                <w:szCs w:val="16"/>
                <w:lang w:val="en-GB"/>
              </w:rPr>
              <w:t>2008</w:t>
            </w:r>
          </w:p>
        </w:tc>
        <w:tc>
          <w:tcPr>
            <w:tcW w:w="1669" w:type="dxa"/>
            <w:tcBorders>
              <w:top w:val="single" w:sz="4" w:space="0" w:color="auto"/>
              <w:left w:val="single" w:sz="4" w:space="0" w:color="auto"/>
              <w:bottom w:val="single" w:sz="4" w:space="0" w:color="auto"/>
              <w:right w:val="single" w:sz="4" w:space="0" w:color="auto"/>
            </w:tcBorders>
            <w:hideMark/>
          </w:tcPr>
          <w:p w:rsidR="00021651" w:rsidRPr="00BA6957" w:rsidRDefault="00021651" w:rsidP="00BA6957">
            <w:pPr>
              <w:pStyle w:val="ListBullet"/>
              <w:numPr>
                <w:ilvl w:val="0"/>
                <w:numId w:val="0"/>
              </w:numPr>
              <w:rPr>
                <w:sz w:val="16"/>
                <w:szCs w:val="16"/>
                <w:lang w:val="en-GB"/>
              </w:rPr>
            </w:pPr>
            <w:r w:rsidRPr="00BA6957">
              <w:rPr>
                <w:sz w:val="16"/>
                <w:szCs w:val="16"/>
                <w:lang w:val="en-GB"/>
              </w:rPr>
              <w:t>2013</w:t>
            </w:r>
          </w:p>
        </w:tc>
        <w:tc>
          <w:tcPr>
            <w:tcW w:w="1683" w:type="dxa"/>
            <w:tcBorders>
              <w:top w:val="single" w:sz="4" w:space="0" w:color="auto"/>
              <w:left w:val="single" w:sz="4" w:space="0" w:color="auto"/>
              <w:bottom w:val="single" w:sz="4" w:space="0" w:color="auto"/>
              <w:right w:val="single" w:sz="4" w:space="0" w:color="auto"/>
            </w:tcBorders>
            <w:hideMark/>
          </w:tcPr>
          <w:p w:rsidR="00021651" w:rsidRPr="00BA6957" w:rsidRDefault="00021651" w:rsidP="00BA6957">
            <w:pPr>
              <w:pStyle w:val="ListBullet"/>
              <w:numPr>
                <w:ilvl w:val="0"/>
                <w:numId w:val="0"/>
              </w:numPr>
              <w:rPr>
                <w:sz w:val="16"/>
                <w:szCs w:val="16"/>
                <w:lang w:val="en-GB"/>
              </w:rPr>
            </w:pPr>
            <w:r w:rsidRPr="00BA6957">
              <w:rPr>
                <w:sz w:val="16"/>
                <w:szCs w:val="16"/>
                <w:lang w:val="en-GB"/>
              </w:rPr>
              <w:t>Change 2008-2013</w:t>
            </w:r>
          </w:p>
        </w:tc>
      </w:tr>
      <w:tr w:rsidR="00021651" w:rsidTr="00FB74BF">
        <w:trPr>
          <w:cantSplit/>
        </w:trPr>
        <w:tc>
          <w:tcPr>
            <w:tcW w:w="1671" w:type="dxa"/>
            <w:tcBorders>
              <w:top w:val="single" w:sz="4" w:space="0" w:color="auto"/>
              <w:left w:val="single" w:sz="4" w:space="0" w:color="auto"/>
              <w:bottom w:val="single" w:sz="4" w:space="0" w:color="auto"/>
              <w:right w:val="single" w:sz="4" w:space="0" w:color="auto"/>
            </w:tcBorders>
            <w:hideMark/>
          </w:tcPr>
          <w:p w:rsidR="00021651" w:rsidRPr="00BA6957" w:rsidRDefault="00021651" w:rsidP="00BA6957">
            <w:pPr>
              <w:pStyle w:val="ListBullet"/>
              <w:numPr>
                <w:ilvl w:val="0"/>
                <w:numId w:val="0"/>
              </w:numPr>
              <w:rPr>
                <w:sz w:val="16"/>
                <w:szCs w:val="16"/>
                <w:lang w:val="en-GB"/>
              </w:rPr>
            </w:pPr>
            <w:r w:rsidRPr="00BA6957">
              <w:rPr>
                <w:sz w:val="16"/>
                <w:szCs w:val="16"/>
                <w:lang w:val="en-GB"/>
              </w:rPr>
              <w:t>Laos</w:t>
            </w:r>
          </w:p>
        </w:tc>
        <w:tc>
          <w:tcPr>
            <w:tcW w:w="1669" w:type="dxa"/>
            <w:tcBorders>
              <w:top w:val="single" w:sz="4" w:space="0" w:color="auto"/>
              <w:left w:val="single" w:sz="4" w:space="0" w:color="auto"/>
              <w:bottom w:val="single" w:sz="4" w:space="0" w:color="auto"/>
              <w:right w:val="single" w:sz="4" w:space="0" w:color="auto"/>
            </w:tcBorders>
            <w:hideMark/>
          </w:tcPr>
          <w:p w:rsidR="00021651" w:rsidRPr="00BA6957" w:rsidRDefault="00021651" w:rsidP="00BA6957">
            <w:pPr>
              <w:pStyle w:val="ListBullet"/>
              <w:numPr>
                <w:ilvl w:val="0"/>
                <w:numId w:val="0"/>
              </w:numPr>
              <w:rPr>
                <w:sz w:val="16"/>
                <w:szCs w:val="16"/>
                <w:lang w:val="en-GB"/>
              </w:rPr>
            </w:pPr>
            <w:r w:rsidRPr="00BA6957">
              <w:rPr>
                <w:sz w:val="16"/>
                <w:szCs w:val="16"/>
                <w:lang w:val="en-GB"/>
              </w:rPr>
              <w:t>33.5</w:t>
            </w:r>
          </w:p>
        </w:tc>
        <w:tc>
          <w:tcPr>
            <w:tcW w:w="1669" w:type="dxa"/>
            <w:tcBorders>
              <w:top w:val="single" w:sz="4" w:space="0" w:color="auto"/>
              <w:left w:val="single" w:sz="4" w:space="0" w:color="auto"/>
              <w:bottom w:val="single" w:sz="4" w:space="0" w:color="auto"/>
              <w:right w:val="single" w:sz="4" w:space="0" w:color="auto"/>
            </w:tcBorders>
            <w:hideMark/>
          </w:tcPr>
          <w:p w:rsidR="00021651" w:rsidRPr="00BA6957" w:rsidRDefault="00021651" w:rsidP="00BA6957">
            <w:pPr>
              <w:pStyle w:val="ListBullet"/>
              <w:numPr>
                <w:ilvl w:val="0"/>
                <w:numId w:val="0"/>
              </w:numPr>
              <w:rPr>
                <w:sz w:val="16"/>
                <w:szCs w:val="16"/>
                <w:lang w:val="en-GB"/>
              </w:rPr>
            </w:pPr>
            <w:r w:rsidRPr="00BA6957">
              <w:rPr>
                <w:sz w:val="16"/>
                <w:szCs w:val="16"/>
                <w:lang w:val="en-GB"/>
              </w:rPr>
              <w:t>27.6</w:t>
            </w:r>
          </w:p>
        </w:tc>
        <w:tc>
          <w:tcPr>
            <w:tcW w:w="1669" w:type="dxa"/>
            <w:tcBorders>
              <w:top w:val="single" w:sz="4" w:space="0" w:color="auto"/>
              <w:left w:val="single" w:sz="4" w:space="0" w:color="auto"/>
              <w:bottom w:val="single" w:sz="4" w:space="0" w:color="auto"/>
              <w:right w:val="single" w:sz="4" w:space="0" w:color="auto"/>
            </w:tcBorders>
            <w:hideMark/>
          </w:tcPr>
          <w:p w:rsidR="00021651" w:rsidRPr="00BA6957" w:rsidRDefault="00021651" w:rsidP="00BA6957">
            <w:pPr>
              <w:pStyle w:val="ListBullet"/>
              <w:numPr>
                <w:ilvl w:val="0"/>
                <w:numId w:val="0"/>
              </w:numPr>
              <w:rPr>
                <w:sz w:val="16"/>
                <w:szCs w:val="16"/>
                <w:lang w:val="en-GB"/>
              </w:rPr>
            </w:pPr>
            <w:r w:rsidRPr="00BA6957">
              <w:rPr>
                <w:sz w:val="16"/>
                <w:szCs w:val="16"/>
                <w:lang w:val="en-GB"/>
              </w:rPr>
              <w:t>23.2</w:t>
            </w:r>
          </w:p>
        </w:tc>
        <w:tc>
          <w:tcPr>
            <w:tcW w:w="1683" w:type="dxa"/>
            <w:tcBorders>
              <w:top w:val="single" w:sz="4" w:space="0" w:color="auto"/>
              <w:left w:val="single" w:sz="4" w:space="0" w:color="auto"/>
              <w:bottom w:val="single" w:sz="4" w:space="0" w:color="auto"/>
              <w:right w:val="single" w:sz="4" w:space="0" w:color="auto"/>
            </w:tcBorders>
            <w:hideMark/>
          </w:tcPr>
          <w:p w:rsidR="00021651" w:rsidRPr="00BA6957" w:rsidRDefault="00021651" w:rsidP="00BA6957">
            <w:pPr>
              <w:pStyle w:val="ListBullet"/>
              <w:numPr>
                <w:ilvl w:val="0"/>
                <w:numId w:val="0"/>
              </w:numPr>
              <w:rPr>
                <w:sz w:val="16"/>
                <w:szCs w:val="16"/>
                <w:lang w:val="en-GB"/>
              </w:rPr>
            </w:pPr>
            <w:r w:rsidRPr="00BA6957">
              <w:rPr>
                <w:sz w:val="16"/>
                <w:szCs w:val="16"/>
                <w:lang w:val="en-GB"/>
              </w:rPr>
              <w:t>-4.3</w:t>
            </w:r>
          </w:p>
        </w:tc>
      </w:tr>
      <w:tr w:rsidR="00021651" w:rsidTr="00FB74BF">
        <w:trPr>
          <w:cantSplit/>
        </w:trPr>
        <w:tc>
          <w:tcPr>
            <w:tcW w:w="1671" w:type="dxa"/>
            <w:tcBorders>
              <w:top w:val="single" w:sz="4" w:space="0" w:color="auto"/>
              <w:left w:val="single" w:sz="4" w:space="0" w:color="auto"/>
              <w:bottom w:val="single" w:sz="4" w:space="0" w:color="auto"/>
              <w:right w:val="single" w:sz="4" w:space="0" w:color="auto"/>
            </w:tcBorders>
            <w:hideMark/>
          </w:tcPr>
          <w:p w:rsidR="00021651" w:rsidRPr="00BA6957" w:rsidRDefault="00021651" w:rsidP="00BA6957">
            <w:pPr>
              <w:pStyle w:val="ListBullet"/>
              <w:numPr>
                <w:ilvl w:val="0"/>
                <w:numId w:val="0"/>
              </w:numPr>
              <w:rPr>
                <w:sz w:val="16"/>
                <w:szCs w:val="16"/>
                <w:lang w:val="en-GB"/>
              </w:rPr>
            </w:pPr>
            <w:r w:rsidRPr="00BA6957">
              <w:rPr>
                <w:sz w:val="16"/>
                <w:szCs w:val="16"/>
                <w:lang w:val="en-GB"/>
              </w:rPr>
              <w:t>Urban</w:t>
            </w:r>
          </w:p>
        </w:tc>
        <w:tc>
          <w:tcPr>
            <w:tcW w:w="1669" w:type="dxa"/>
            <w:tcBorders>
              <w:top w:val="single" w:sz="4" w:space="0" w:color="auto"/>
              <w:left w:val="single" w:sz="4" w:space="0" w:color="auto"/>
              <w:bottom w:val="single" w:sz="4" w:space="0" w:color="auto"/>
              <w:right w:val="single" w:sz="4" w:space="0" w:color="auto"/>
            </w:tcBorders>
            <w:hideMark/>
          </w:tcPr>
          <w:p w:rsidR="00021651" w:rsidRPr="00BA6957" w:rsidRDefault="00021651" w:rsidP="00BA6957">
            <w:pPr>
              <w:pStyle w:val="ListBullet"/>
              <w:numPr>
                <w:ilvl w:val="0"/>
                <w:numId w:val="0"/>
              </w:numPr>
              <w:rPr>
                <w:sz w:val="16"/>
                <w:szCs w:val="16"/>
                <w:lang w:val="en-GB"/>
              </w:rPr>
            </w:pPr>
            <w:r w:rsidRPr="00BA6957">
              <w:rPr>
                <w:sz w:val="16"/>
                <w:szCs w:val="16"/>
                <w:lang w:val="en-GB"/>
              </w:rPr>
              <w:t>19.7</w:t>
            </w:r>
          </w:p>
        </w:tc>
        <w:tc>
          <w:tcPr>
            <w:tcW w:w="1669" w:type="dxa"/>
            <w:tcBorders>
              <w:top w:val="single" w:sz="4" w:space="0" w:color="auto"/>
              <w:left w:val="single" w:sz="4" w:space="0" w:color="auto"/>
              <w:bottom w:val="single" w:sz="4" w:space="0" w:color="auto"/>
              <w:right w:val="single" w:sz="4" w:space="0" w:color="auto"/>
            </w:tcBorders>
            <w:hideMark/>
          </w:tcPr>
          <w:p w:rsidR="00021651" w:rsidRPr="00BA6957" w:rsidRDefault="00021651" w:rsidP="00BA6957">
            <w:pPr>
              <w:pStyle w:val="ListBullet"/>
              <w:numPr>
                <w:ilvl w:val="0"/>
                <w:numId w:val="0"/>
              </w:numPr>
              <w:rPr>
                <w:sz w:val="16"/>
                <w:szCs w:val="16"/>
                <w:lang w:val="en-GB"/>
              </w:rPr>
            </w:pPr>
            <w:r w:rsidRPr="00BA6957">
              <w:rPr>
                <w:sz w:val="16"/>
                <w:szCs w:val="16"/>
                <w:lang w:val="en-GB"/>
              </w:rPr>
              <w:t>17.4</w:t>
            </w:r>
          </w:p>
        </w:tc>
        <w:tc>
          <w:tcPr>
            <w:tcW w:w="1669" w:type="dxa"/>
            <w:tcBorders>
              <w:top w:val="single" w:sz="4" w:space="0" w:color="auto"/>
              <w:left w:val="single" w:sz="4" w:space="0" w:color="auto"/>
              <w:bottom w:val="single" w:sz="4" w:space="0" w:color="auto"/>
              <w:right w:val="single" w:sz="4" w:space="0" w:color="auto"/>
            </w:tcBorders>
            <w:hideMark/>
          </w:tcPr>
          <w:p w:rsidR="00021651" w:rsidRPr="00BA6957" w:rsidRDefault="00021651" w:rsidP="00BA6957">
            <w:pPr>
              <w:pStyle w:val="ListBullet"/>
              <w:numPr>
                <w:ilvl w:val="0"/>
                <w:numId w:val="0"/>
              </w:numPr>
              <w:rPr>
                <w:sz w:val="16"/>
                <w:szCs w:val="16"/>
                <w:lang w:val="en-GB"/>
              </w:rPr>
            </w:pPr>
            <w:r w:rsidRPr="00BA6957">
              <w:rPr>
                <w:sz w:val="16"/>
                <w:szCs w:val="16"/>
                <w:lang w:val="en-GB"/>
              </w:rPr>
              <w:t>10.0</w:t>
            </w:r>
          </w:p>
        </w:tc>
        <w:tc>
          <w:tcPr>
            <w:tcW w:w="1683" w:type="dxa"/>
            <w:tcBorders>
              <w:top w:val="single" w:sz="4" w:space="0" w:color="auto"/>
              <w:left w:val="single" w:sz="4" w:space="0" w:color="auto"/>
              <w:bottom w:val="single" w:sz="4" w:space="0" w:color="auto"/>
              <w:right w:val="single" w:sz="4" w:space="0" w:color="auto"/>
            </w:tcBorders>
            <w:hideMark/>
          </w:tcPr>
          <w:p w:rsidR="00021651" w:rsidRPr="00BA6957" w:rsidRDefault="00021651" w:rsidP="00BA6957">
            <w:pPr>
              <w:pStyle w:val="ListBullet"/>
              <w:numPr>
                <w:ilvl w:val="0"/>
                <w:numId w:val="0"/>
              </w:numPr>
              <w:rPr>
                <w:sz w:val="16"/>
                <w:szCs w:val="16"/>
                <w:lang w:val="en-GB"/>
              </w:rPr>
            </w:pPr>
            <w:r w:rsidRPr="00BA6957">
              <w:rPr>
                <w:sz w:val="16"/>
                <w:szCs w:val="16"/>
                <w:lang w:val="en-GB"/>
              </w:rPr>
              <w:t>-7.3</w:t>
            </w:r>
          </w:p>
        </w:tc>
      </w:tr>
      <w:tr w:rsidR="00021651" w:rsidTr="00FB74BF">
        <w:trPr>
          <w:cantSplit/>
        </w:trPr>
        <w:tc>
          <w:tcPr>
            <w:tcW w:w="1671" w:type="dxa"/>
            <w:tcBorders>
              <w:top w:val="single" w:sz="4" w:space="0" w:color="auto"/>
              <w:left w:val="single" w:sz="4" w:space="0" w:color="auto"/>
              <w:bottom w:val="single" w:sz="4" w:space="0" w:color="auto"/>
              <w:right w:val="single" w:sz="4" w:space="0" w:color="auto"/>
            </w:tcBorders>
            <w:hideMark/>
          </w:tcPr>
          <w:p w:rsidR="00021651" w:rsidRPr="00BA6957" w:rsidRDefault="00021651" w:rsidP="00BA6957">
            <w:pPr>
              <w:pStyle w:val="ListBullet"/>
              <w:numPr>
                <w:ilvl w:val="0"/>
                <w:numId w:val="0"/>
              </w:numPr>
              <w:rPr>
                <w:sz w:val="16"/>
                <w:szCs w:val="16"/>
                <w:lang w:val="en-GB"/>
              </w:rPr>
            </w:pPr>
            <w:r w:rsidRPr="00BA6957">
              <w:rPr>
                <w:sz w:val="16"/>
                <w:szCs w:val="16"/>
                <w:lang w:val="en-GB"/>
              </w:rPr>
              <w:t>Rural</w:t>
            </w:r>
          </w:p>
        </w:tc>
        <w:tc>
          <w:tcPr>
            <w:tcW w:w="1669" w:type="dxa"/>
            <w:tcBorders>
              <w:top w:val="single" w:sz="4" w:space="0" w:color="auto"/>
              <w:left w:val="single" w:sz="4" w:space="0" w:color="auto"/>
              <w:bottom w:val="single" w:sz="4" w:space="0" w:color="auto"/>
              <w:right w:val="single" w:sz="4" w:space="0" w:color="auto"/>
            </w:tcBorders>
            <w:hideMark/>
          </w:tcPr>
          <w:p w:rsidR="00021651" w:rsidRPr="00BA6957" w:rsidRDefault="00021651" w:rsidP="00BA6957">
            <w:pPr>
              <w:pStyle w:val="ListBullet"/>
              <w:numPr>
                <w:ilvl w:val="0"/>
                <w:numId w:val="0"/>
              </w:numPr>
              <w:rPr>
                <w:sz w:val="16"/>
                <w:szCs w:val="16"/>
                <w:lang w:val="en-GB"/>
              </w:rPr>
            </w:pPr>
            <w:r w:rsidRPr="00BA6957">
              <w:rPr>
                <w:sz w:val="16"/>
                <w:szCs w:val="16"/>
                <w:lang w:val="en-GB"/>
              </w:rPr>
              <w:t>37.6</w:t>
            </w:r>
          </w:p>
        </w:tc>
        <w:tc>
          <w:tcPr>
            <w:tcW w:w="1669" w:type="dxa"/>
            <w:tcBorders>
              <w:top w:val="single" w:sz="4" w:space="0" w:color="auto"/>
              <w:left w:val="single" w:sz="4" w:space="0" w:color="auto"/>
              <w:bottom w:val="single" w:sz="4" w:space="0" w:color="auto"/>
              <w:right w:val="single" w:sz="4" w:space="0" w:color="auto"/>
            </w:tcBorders>
            <w:hideMark/>
          </w:tcPr>
          <w:p w:rsidR="00021651" w:rsidRPr="00BA6957" w:rsidRDefault="00021651" w:rsidP="00BA6957">
            <w:pPr>
              <w:pStyle w:val="ListBullet"/>
              <w:numPr>
                <w:ilvl w:val="0"/>
                <w:numId w:val="0"/>
              </w:numPr>
              <w:rPr>
                <w:sz w:val="16"/>
                <w:szCs w:val="16"/>
                <w:lang w:val="en-GB"/>
              </w:rPr>
            </w:pPr>
            <w:r w:rsidRPr="00BA6957">
              <w:rPr>
                <w:sz w:val="16"/>
                <w:szCs w:val="16"/>
                <w:lang w:val="en-GB"/>
              </w:rPr>
              <w:t>31.7</w:t>
            </w:r>
          </w:p>
        </w:tc>
        <w:tc>
          <w:tcPr>
            <w:tcW w:w="1669" w:type="dxa"/>
            <w:tcBorders>
              <w:top w:val="single" w:sz="4" w:space="0" w:color="auto"/>
              <w:left w:val="single" w:sz="4" w:space="0" w:color="auto"/>
              <w:bottom w:val="single" w:sz="4" w:space="0" w:color="auto"/>
              <w:right w:val="single" w:sz="4" w:space="0" w:color="auto"/>
            </w:tcBorders>
            <w:hideMark/>
          </w:tcPr>
          <w:p w:rsidR="00021651" w:rsidRPr="00BA6957" w:rsidRDefault="00021651" w:rsidP="00BA6957">
            <w:pPr>
              <w:pStyle w:val="ListBullet"/>
              <w:numPr>
                <w:ilvl w:val="0"/>
                <w:numId w:val="0"/>
              </w:numPr>
              <w:rPr>
                <w:sz w:val="16"/>
                <w:szCs w:val="16"/>
                <w:lang w:val="en-GB"/>
              </w:rPr>
            </w:pPr>
            <w:r w:rsidRPr="00BA6957">
              <w:rPr>
                <w:sz w:val="16"/>
                <w:szCs w:val="16"/>
                <w:lang w:val="en-GB"/>
              </w:rPr>
              <w:t>28.6</w:t>
            </w:r>
          </w:p>
        </w:tc>
        <w:tc>
          <w:tcPr>
            <w:tcW w:w="1683" w:type="dxa"/>
            <w:tcBorders>
              <w:top w:val="single" w:sz="4" w:space="0" w:color="auto"/>
              <w:left w:val="single" w:sz="4" w:space="0" w:color="auto"/>
              <w:bottom w:val="single" w:sz="4" w:space="0" w:color="auto"/>
              <w:right w:val="single" w:sz="4" w:space="0" w:color="auto"/>
            </w:tcBorders>
            <w:hideMark/>
          </w:tcPr>
          <w:p w:rsidR="00021651" w:rsidRPr="00BA6957" w:rsidRDefault="00021651" w:rsidP="00BA6957">
            <w:pPr>
              <w:pStyle w:val="ListBullet"/>
              <w:numPr>
                <w:ilvl w:val="0"/>
                <w:numId w:val="0"/>
              </w:numPr>
              <w:rPr>
                <w:sz w:val="16"/>
                <w:szCs w:val="16"/>
                <w:lang w:val="en-GB"/>
              </w:rPr>
            </w:pPr>
            <w:r w:rsidRPr="00BA6957">
              <w:rPr>
                <w:sz w:val="16"/>
                <w:szCs w:val="16"/>
                <w:lang w:val="en-GB"/>
              </w:rPr>
              <w:t>-3.1</w:t>
            </w:r>
          </w:p>
        </w:tc>
      </w:tr>
    </w:tbl>
    <w:p w:rsidR="00021651" w:rsidRDefault="00021651" w:rsidP="00BA6957">
      <w:pPr>
        <w:pStyle w:val="ListBullet"/>
        <w:numPr>
          <w:ilvl w:val="0"/>
          <w:numId w:val="0"/>
        </w:numPr>
      </w:pPr>
    </w:p>
    <w:p w:rsidR="00B87807" w:rsidRDefault="00B87807" w:rsidP="00BA6957">
      <w:pPr>
        <w:pStyle w:val="ListBullet"/>
        <w:numPr>
          <w:ilvl w:val="0"/>
          <w:numId w:val="0"/>
        </w:numPr>
      </w:pPr>
      <w:r>
        <w:t>Laos’</w:t>
      </w:r>
      <w:r w:rsidRPr="00962508">
        <w:t xml:space="preserve"> next National Socio-Econ</w:t>
      </w:r>
      <w:r>
        <w:t>omic Development Plan</w:t>
      </w:r>
      <w:r w:rsidR="003F4D40">
        <w:t xml:space="preserve"> (NSEDP)</w:t>
      </w:r>
      <w:r w:rsidR="00F6797D">
        <w:t xml:space="preserve">, covering the period </w:t>
      </w:r>
      <w:r>
        <w:t>2016-20</w:t>
      </w:r>
      <w:r w:rsidR="00F6797D">
        <w:t>,</w:t>
      </w:r>
      <w:r>
        <w:t xml:space="preserve"> will focus on</w:t>
      </w:r>
      <w:r w:rsidRPr="00962508">
        <w:t xml:space="preserve"> </w:t>
      </w:r>
      <w:r w:rsidR="00F6797D" w:rsidRPr="00962508">
        <w:t>graduati</w:t>
      </w:r>
      <w:r w:rsidR="00F815A6">
        <w:t>on</w:t>
      </w:r>
      <w:r w:rsidR="00F6797D" w:rsidRPr="00962508">
        <w:t xml:space="preserve"> from LDC Status by 2020</w:t>
      </w:r>
      <w:r w:rsidR="00F815A6">
        <w:t>. The three pillars of the NSEDP are framed around the criteria used to measure graduation from LDC status</w:t>
      </w:r>
      <w:r w:rsidR="001C6D32">
        <w:t xml:space="preserve">: </w:t>
      </w:r>
      <w:r w:rsidR="00F815A6">
        <w:t xml:space="preserve">focusing on sustainable, inclusive economic growth; human resource development and achievement of the off-track MDGs; and reduced effects of natural shocks and sustainable management of natural resources. </w:t>
      </w:r>
    </w:p>
    <w:p w:rsidR="00C80AD6" w:rsidRDefault="00C80AD6" w:rsidP="00C80AD6">
      <w:pPr>
        <w:pStyle w:val="ListBullet"/>
        <w:numPr>
          <w:ilvl w:val="0"/>
          <w:numId w:val="0"/>
        </w:numPr>
      </w:pPr>
      <w:r w:rsidRPr="00132381">
        <w:t xml:space="preserve">Australian aid has supported Laos’ development goals in basic education, trade and investment reform, rural development (rural infrastructure access, livelihoods, inclusive access to finance, social protection and unexploded ordnance clearance and risk reduction) and human resource development.  The new aid investment plan has consolidated investments to focus on three main areas – basic education, human resource development and trade and business environment reform.  We will lift the proportion of the program devoted to basic education and trade and business environment reform in recognition of development needs and Australian aid policy priorities.  </w:t>
      </w:r>
      <w:r>
        <w:t>Due to budget constraints, w</w:t>
      </w:r>
      <w:r w:rsidRPr="00132381">
        <w:t xml:space="preserve">e will not renew our investments in rural development but still expect to achieve some significant outcomes before they conclude.  </w:t>
      </w:r>
      <w:r>
        <w:t>The timeframe of Australia’s new AIP</w:t>
      </w:r>
      <w:r w:rsidDel="00F815A6">
        <w:t xml:space="preserve"> </w:t>
      </w:r>
      <w:r>
        <w:t>will complement that of</w:t>
      </w:r>
      <w:r w:rsidDel="00F815A6">
        <w:t xml:space="preserve"> </w:t>
      </w:r>
      <w:r>
        <w:t>the NSEDP, facilitating cooperation on Laos’ development agenda.</w:t>
      </w:r>
    </w:p>
    <w:p w:rsidR="00495403" w:rsidRDefault="00495403" w:rsidP="00BA6957">
      <w:pPr>
        <w:pStyle w:val="ListBullet"/>
        <w:numPr>
          <w:ilvl w:val="0"/>
          <w:numId w:val="0"/>
        </w:numPr>
      </w:pPr>
      <w:r w:rsidRPr="00495403">
        <w:t xml:space="preserve">A number of regional aid investments under Australia's </w:t>
      </w:r>
      <w:hyperlink r:id="rId17" w:history="1">
        <w:r w:rsidR="00C80AD6" w:rsidRPr="00C80AD6">
          <w:rPr>
            <w:rStyle w:val="Hyperlink"/>
            <w:sz w:val="21"/>
            <w:szCs w:val="24"/>
          </w:rPr>
          <w:t>South-East Asia Regional aid program</w:t>
        </w:r>
      </w:hyperlink>
      <w:r w:rsidR="00C80AD6">
        <w:t xml:space="preserve"> </w:t>
      </w:r>
      <w:r w:rsidR="00132381">
        <w:t>complement the bilateral program</w:t>
      </w:r>
      <w:r w:rsidRPr="00495403">
        <w:t xml:space="preserve"> in Laos. </w:t>
      </w:r>
      <w:r w:rsidR="00B30E6F" w:rsidRPr="00B30E6F">
        <w:t>The regional aid program provides assistance for ASEAN ODA-eligible countries to enable regional economic cooperation and inclusive growth, and strengthen regional responses to t</w:t>
      </w:r>
      <w:r w:rsidR="00B30E6F">
        <w:t xml:space="preserve">rafficking and the exploitation </w:t>
      </w:r>
      <w:r w:rsidR="00B30E6F" w:rsidRPr="00B30E6F">
        <w:t xml:space="preserve">of migrant workers. </w:t>
      </w:r>
      <w:r w:rsidRPr="00495403">
        <w:t>These include the Mekong Water Resources program which is working to support improved water resources governance;  the Australia-Asia Program to Combat Trafficking in Persons; the Tripartite Action to Protect Migrant Workers within and from the Greater Mekong Subregion from Labour Exploitation (TRIANGLE).</w:t>
      </w:r>
    </w:p>
    <w:p w:rsidR="00E653A3" w:rsidRDefault="00D01639" w:rsidP="00BA6957">
      <w:pPr>
        <w:pStyle w:val="ListBullet"/>
        <w:numPr>
          <w:ilvl w:val="0"/>
          <w:numId w:val="0"/>
        </w:numPr>
      </w:pPr>
      <w:r w:rsidRPr="00D01639">
        <w:t xml:space="preserve">Australia’s development cooperation with Laos dates back to 1965. </w:t>
      </w:r>
      <w:r>
        <w:t xml:space="preserve">In 2013 </w:t>
      </w:r>
      <w:r w:rsidR="00E653A3" w:rsidRPr="00E653A3">
        <w:t xml:space="preserve">Australia </w:t>
      </w:r>
      <w:r>
        <w:t xml:space="preserve">was </w:t>
      </w:r>
      <w:r w:rsidR="00E653A3" w:rsidRPr="00E653A3">
        <w:t>ranked second on the basis of DAC</w:t>
      </w:r>
      <w:r w:rsidR="00E653A3">
        <w:rPr>
          <w:rStyle w:val="EndnoteReference"/>
        </w:rPr>
        <w:endnoteReference w:id="3"/>
      </w:r>
      <w:r w:rsidR="00E653A3" w:rsidRPr="00E653A3">
        <w:t xml:space="preserve"> bilateral donor aid flows, </w:t>
      </w:r>
      <w:r w:rsidR="00005CD1">
        <w:t xml:space="preserve">behind Japan, </w:t>
      </w:r>
      <w:r w:rsidR="00E653A3" w:rsidRPr="00E653A3">
        <w:t>and account</w:t>
      </w:r>
      <w:r>
        <w:t>ed</w:t>
      </w:r>
      <w:r w:rsidR="00E653A3" w:rsidRPr="00E653A3">
        <w:t xml:space="preserve"> for about 10 per cent of total ODA flows to Laos.  </w:t>
      </w:r>
      <w:r w:rsidR="00005CD1">
        <w:t>T</w:t>
      </w:r>
      <w:r w:rsidR="00BB0EE3" w:rsidRPr="00BB0EE3">
        <w:t xml:space="preserve">he pattern of Official Development Assistance to Laos has been shifting over the past 5 years. With the graduation of some ASEAN countries to middle-income status some donors have started to leave the region (e.g. Sweden and Finland) and have withdrawn from </w:t>
      </w:r>
      <w:r w:rsidR="00BB0EE3" w:rsidRPr="00BB0EE3">
        <w:lastRenderedPageBreak/>
        <w:t xml:space="preserve">Laos as a result, despite its Least Developed Country (LDC) status, while others have shifted from grants to concessional loans (e.g. Japan and Korea). Investments from Germany, France, the EU, China, Vietnam and Thailand have grown over this period. </w:t>
      </w:r>
      <w:r w:rsidR="00E653A3" w:rsidRPr="00E653A3">
        <w:t xml:space="preserve">The 2015-16 budget cuts to Australian aid, and the continuing growth of aid from non-DAC donors to Laos, will require us to carefully calibrate our aid to maintain visibility, effectiveness and influence.  </w:t>
      </w:r>
    </w:p>
    <w:p w:rsidR="00603A3B" w:rsidRPr="00962508" w:rsidRDefault="00603A3B" w:rsidP="00603A3B">
      <w:pPr>
        <w:pStyle w:val="Heading2"/>
        <w:rPr>
          <w:i/>
          <w:sz w:val="28"/>
        </w:rPr>
      </w:pPr>
      <w:r w:rsidRPr="00962508">
        <w:rPr>
          <w:sz w:val="28"/>
        </w:rPr>
        <w:t>Expenditure</w:t>
      </w:r>
    </w:p>
    <w:p w:rsidR="00603A3B" w:rsidRPr="00BA6957" w:rsidRDefault="00603A3B" w:rsidP="00603A3B">
      <w:pPr>
        <w:pStyle w:val="Caption"/>
      </w:pPr>
      <w:r w:rsidRPr="00BA6957">
        <w:t>Table 2 Total ODA Expenditure in FY 2014-15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Total ODA Expenditure in FY 2014-15"/>
        <w:tblDescription w:val="Table 2 shows total Australian ODA expenditure in Laos in financial year 2014-15.  It breaks down expenditure by various programs.  It shows expenditure by the bilateral program, regional and global programs and by other government departments.  It further breaks down bilateral program expenditure by bilateral program strategy objectives. It reports expenditure in millions of Australian dollars and shows what percentage of total ODA each expenditure item accounts for.  For the bilateral program there are five objectives. &#10;&#10;Bilateral program objective 1 More girls and boys, especially those experiencing disadvantage, complete good quality basic education, achieving literacy, numeracy and other relevant life skills, $6.2 million, 11% of total ODA.  Objective 2 Policy and institutional impediments to trade and investment addressed in sectors that contribute to inclusive growth, $1.0 million, 2% of total ODA.  Objective 3 Improve inclusive access to finance, productive assets, and market opportunities, $16.1 million, 27% of total ODA.  Objective 4 Improve physical access to markets and basic services, $3.0 million, 5% of total ODA.  Crosscutting objective scholarships &amp; human resource development, $11.3 million, 19%.  total bilateral program $37.6 million, 64% of total ODA.  Regional and Global programs, $18.2 million, 31% of total ODA.  Other government departments $2.8 million, 5% of total ODA.  Total ODA expenditure was $58.7 million.&#10;"/>
      </w:tblPr>
      <w:tblGrid>
        <w:gridCol w:w="7437"/>
        <w:gridCol w:w="860"/>
        <w:gridCol w:w="946"/>
      </w:tblGrid>
      <w:tr w:rsidR="00603A3B" w:rsidRPr="00BA6957" w:rsidTr="007722F4">
        <w:tc>
          <w:tcPr>
            <w:tcW w:w="4023" w:type="pct"/>
          </w:tcPr>
          <w:p w:rsidR="00603A3B" w:rsidRPr="00BA6957" w:rsidRDefault="00603A3B" w:rsidP="007722F4">
            <w:pPr>
              <w:pStyle w:val="BodyText"/>
              <w:keepNext/>
              <w:rPr>
                <w:b/>
                <w:sz w:val="16"/>
                <w:szCs w:val="16"/>
              </w:rPr>
            </w:pPr>
            <w:r w:rsidRPr="00BA6957">
              <w:rPr>
                <w:b/>
                <w:i/>
                <w:sz w:val="16"/>
                <w:szCs w:val="16"/>
              </w:rPr>
              <w:t>Bilateral Objectives</w:t>
            </w:r>
          </w:p>
        </w:tc>
        <w:tc>
          <w:tcPr>
            <w:tcW w:w="465" w:type="pct"/>
          </w:tcPr>
          <w:p w:rsidR="00603A3B" w:rsidRPr="00BA6957" w:rsidRDefault="00603A3B" w:rsidP="007722F4">
            <w:pPr>
              <w:pStyle w:val="BodyText"/>
              <w:keepNext/>
              <w:rPr>
                <w:sz w:val="16"/>
                <w:szCs w:val="16"/>
              </w:rPr>
            </w:pPr>
            <w:r w:rsidRPr="00BA6957">
              <w:rPr>
                <w:b/>
                <w:sz w:val="16"/>
                <w:szCs w:val="16"/>
              </w:rPr>
              <w:t>A$ million</w:t>
            </w:r>
          </w:p>
        </w:tc>
        <w:tc>
          <w:tcPr>
            <w:tcW w:w="512" w:type="pct"/>
          </w:tcPr>
          <w:p w:rsidR="00603A3B" w:rsidRPr="00BA6957" w:rsidRDefault="00603A3B" w:rsidP="007722F4">
            <w:pPr>
              <w:pStyle w:val="BodyText"/>
              <w:keepNext/>
              <w:rPr>
                <w:sz w:val="16"/>
                <w:szCs w:val="16"/>
              </w:rPr>
            </w:pPr>
            <w:r w:rsidRPr="00BA6957">
              <w:rPr>
                <w:b/>
                <w:sz w:val="16"/>
                <w:szCs w:val="16"/>
              </w:rPr>
              <w:t>% of total ODA</w:t>
            </w:r>
          </w:p>
        </w:tc>
      </w:tr>
      <w:tr w:rsidR="00603A3B" w:rsidRPr="00BA6957" w:rsidTr="007722F4">
        <w:tblPrEx>
          <w:tblBorders>
            <w:top w:val="single" w:sz="12" w:space="0" w:color="auto"/>
            <w:bottom w:val="single" w:sz="12" w:space="0" w:color="auto"/>
          </w:tblBorders>
        </w:tblPrEx>
        <w:trPr>
          <w:tblHeader/>
        </w:trPr>
        <w:tc>
          <w:tcPr>
            <w:tcW w:w="4023" w:type="pct"/>
          </w:tcPr>
          <w:p w:rsidR="00603A3B" w:rsidRPr="00BA6957" w:rsidRDefault="00603A3B" w:rsidP="007722F4">
            <w:pPr>
              <w:pStyle w:val="BodyText"/>
              <w:keepNext/>
              <w:spacing w:before="40" w:after="40"/>
              <w:rPr>
                <w:sz w:val="16"/>
                <w:szCs w:val="16"/>
              </w:rPr>
            </w:pPr>
            <w:r w:rsidRPr="00BA6957">
              <w:rPr>
                <w:sz w:val="16"/>
                <w:szCs w:val="16"/>
              </w:rPr>
              <w:t>Objective 1: More girls and boys, especially those experiencing disadvantage, complete good quality basic education, achieving literacy, numeracy and other relevant life skills</w:t>
            </w:r>
          </w:p>
        </w:tc>
        <w:tc>
          <w:tcPr>
            <w:tcW w:w="465" w:type="pct"/>
          </w:tcPr>
          <w:p w:rsidR="00603A3B" w:rsidRPr="00BA6957" w:rsidRDefault="00603A3B" w:rsidP="007722F4">
            <w:pPr>
              <w:pStyle w:val="BodyText"/>
              <w:keepNext/>
              <w:spacing w:before="40" w:after="40"/>
              <w:rPr>
                <w:sz w:val="16"/>
                <w:szCs w:val="16"/>
              </w:rPr>
            </w:pPr>
            <w:r w:rsidRPr="00BA6957">
              <w:rPr>
                <w:sz w:val="16"/>
                <w:szCs w:val="16"/>
              </w:rPr>
              <w:t>6.2</w:t>
            </w:r>
          </w:p>
        </w:tc>
        <w:tc>
          <w:tcPr>
            <w:tcW w:w="512" w:type="pct"/>
          </w:tcPr>
          <w:p w:rsidR="00603A3B" w:rsidRPr="00BA6957" w:rsidRDefault="00603A3B" w:rsidP="007722F4">
            <w:pPr>
              <w:pStyle w:val="BodyText"/>
              <w:keepNext/>
              <w:spacing w:before="40" w:after="40"/>
              <w:rPr>
                <w:sz w:val="16"/>
                <w:szCs w:val="16"/>
              </w:rPr>
            </w:pPr>
            <w:r w:rsidRPr="00BA6957">
              <w:rPr>
                <w:sz w:val="16"/>
                <w:szCs w:val="16"/>
              </w:rPr>
              <w:t>11</w:t>
            </w:r>
          </w:p>
        </w:tc>
      </w:tr>
      <w:tr w:rsidR="00603A3B" w:rsidRPr="00BA6957" w:rsidTr="007722F4">
        <w:tblPrEx>
          <w:tblBorders>
            <w:top w:val="single" w:sz="12" w:space="0" w:color="auto"/>
            <w:bottom w:val="single" w:sz="12" w:space="0" w:color="auto"/>
          </w:tblBorders>
        </w:tblPrEx>
        <w:trPr>
          <w:tblHeader/>
        </w:trPr>
        <w:tc>
          <w:tcPr>
            <w:tcW w:w="4023" w:type="pct"/>
          </w:tcPr>
          <w:p w:rsidR="00603A3B" w:rsidRPr="00BA6957" w:rsidRDefault="00603A3B" w:rsidP="007722F4">
            <w:pPr>
              <w:pStyle w:val="BodyText"/>
              <w:keepNext/>
              <w:spacing w:before="40" w:after="40"/>
              <w:rPr>
                <w:sz w:val="16"/>
                <w:szCs w:val="16"/>
              </w:rPr>
            </w:pPr>
            <w:r w:rsidRPr="00BA6957">
              <w:rPr>
                <w:sz w:val="16"/>
                <w:szCs w:val="16"/>
              </w:rPr>
              <w:t>Objective 2: Policy and institutional impediments to trade and investment addressed in sectors that contribute to inclusive growth</w:t>
            </w:r>
          </w:p>
        </w:tc>
        <w:tc>
          <w:tcPr>
            <w:tcW w:w="465" w:type="pct"/>
          </w:tcPr>
          <w:p w:rsidR="00603A3B" w:rsidRPr="00BA6957" w:rsidRDefault="00603A3B" w:rsidP="007722F4">
            <w:pPr>
              <w:pStyle w:val="BodyText"/>
              <w:keepNext/>
              <w:spacing w:before="40" w:after="40"/>
              <w:rPr>
                <w:sz w:val="16"/>
                <w:szCs w:val="16"/>
              </w:rPr>
            </w:pPr>
            <w:r w:rsidRPr="00BA6957">
              <w:rPr>
                <w:sz w:val="16"/>
                <w:szCs w:val="16"/>
              </w:rPr>
              <w:t>1.0</w:t>
            </w:r>
          </w:p>
        </w:tc>
        <w:tc>
          <w:tcPr>
            <w:tcW w:w="512" w:type="pct"/>
          </w:tcPr>
          <w:p w:rsidR="00603A3B" w:rsidRPr="00BA6957" w:rsidRDefault="00603A3B" w:rsidP="007722F4">
            <w:pPr>
              <w:pStyle w:val="BodyText"/>
              <w:keepNext/>
              <w:spacing w:before="40" w:after="40"/>
              <w:rPr>
                <w:sz w:val="16"/>
                <w:szCs w:val="16"/>
              </w:rPr>
            </w:pPr>
            <w:r w:rsidRPr="00BA6957">
              <w:rPr>
                <w:sz w:val="16"/>
                <w:szCs w:val="16"/>
              </w:rPr>
              <w:t>2</w:t>
            </w:r>
          </w:p>
        </w:tc>
      </w:tr>
      <w:tr w:rsidR="00603A3B" w:rsidRPr="00BA6957" w:rsidTr="007722F4">
        <w:tblPrEx>
          <w:tblBorders>
            <w:top w:val="single" w:sz="12" w:space="0" w:color="auto"/>
            <w:bottom w:val="single" w:sz="12" w:space="0" w:color="auto"/>
          </w:tblBorders>
        </w:tblPrEx>
        <w:trPr>
          <w:tblHeader/>
        </w:trPr>
        <w:tc>
          <w:tcPr>
            <w:tcW w:w="4023" w:type="pct"/>
          </w:tcPr>
          <w:p w:rsidR="00603A3B" w:rsidRPr="00BA6957" w:rsidRDefault="00603A3B" w:rsidP="007722F4">
            <w:pPr>
              <w:pStyle w:val="BodyText"/>
              <w:keepNext/>
              <w:spacing w:before="40" w:after="40"/>
              <w:rPr>
                <w:sz w:val="16"/>
                <w:szCs w:val="16"/>
              </w:rPr>
            </w:pPr>
            <w:r w:rsidRPr="00BA6957">
              <w:rPr>
                <w:sz w:val="16"/>
                <w:szCs w:val="16"/>
              </w:rPr>
              <w:t>Objective 3: Improve inclusive access to finance, productive assets, and market opportunities</w:t>
            </w:r>
          </w:p>
          <w:p w:rsidR="00603A3B" w:rsidRPr="00BA6957" w:rsidRDefault="00603A3B" w:rsidP="007722F4">
            <w:pPr>
              <w:pStyle w:val="BodyText"/>
              <w:keepNext/>
              <w:spacing w:before="40" w:after="40"/>
              <w:rPr>
                <w:sz w:val="16"/>
                <w:szCs w:val="16"/>
              </w:rPr>
            </w:pPr>
            <w:r w:rsidRPr="00BA6957">
              <w:rPr>
                <w:sz w:val="16"/>
                <w:szCs w:val="16"/>
              </w:rPr>
              <w:t>Objective 4: Improve physical access to markets and basic services</w:t>
            </w:r>
          </w:p>
          <w:p w:rsidR="00603A3B" w:rsidRPr="00BA6957" w:rsidRDefault="00603A3B" w:rsidP="007722F4">
            <w:pPr>
              <w:pStyle w:val="BodyText"/>
              <w:keepNext/>
              <w:spacing w:before="40" w:after="40"/>
              <w:rPr>
                <w:sz w:val="16"/>
                <w:szCs w:val="16"/>
              </w:rPr>
            </w:pPr>
            <w:r w:rsidRPr="00BA6957">
              <w:rPr>
                <w:sz w:val="16"/>
                <w:szCs w:val="16"/>
              </w:rPr>
              <w:t xml:space="preserve">Crosscutting Objectives: scholarships &amp; human resource development  </w:t>
            </w:r>
          </w:p>
        </w:tc>
        <w:tc>
          <w:tcPr>
            <w:tcW w:w="465" w:type="pct"/>
          </w:tcPr>
          <w:p w:rsidR="00603A3B" w:rsidRPr="00BA6957" w:rsidRDefault="00603A3B" w:rsidP="007722F4">
            <w:pPr>
              <w:pStyle w:val="BodyText"/>
              <w:keepNext/>
              <w:spacing w:before="40" w:after="40"/>
              <w:rPr>
                <w:sz w:val="16"/>
                <w:szCs w:val="16"/>
              </w:rPr>
            </w:pPr>
            <w:r w:rsidRPr="00BA6957">
              <w:rPr>
                <w:sz w:val="16"/>
                <w:szCs w:val="16"/>
              </w:rPr>
              <w:t>16.1</w:t>
            </w:r>
          </w:p>
          <w:p w:rsidR="00603A3B" w:rsidRPr="00BA6957" w:rsidRDefault="00603A3B" w:rsidP="007722F4">
            <w:pPr>
              <w:pStyle w:val="BodyText"/>
              <w:keepNext/>
              <w:spacing w:before="40" w:after="40"/>
              <w:rPr>
                <w:sz w:val="16"/>
                <w:szCs w:val="16"/>
              </w:rPr>
            </w:pPr>
            <w:r w:rsidRPr="00BA6957">
              <w:rPr>
                <w:sz w:val="16"/>
                <w:szCs w:val="16"/>
              </w:rPr>
              <w:t>3.0</w:t>
            </w:r>
          </w:p>
          <w:p w:rsidR="00603A3B" w:rsidRPr="00BA6957" w:rsidRDefault="00603A3B" w:rsidP="007722F4">
            <w:pPr>
              <w:pStyle w:val="BodyText"/>
              <w:keepNext/>
              <w:spacing w:before="40" w:after="40"/>
              <w:rPr>
                <w:sz w:val="16"/>
                <w:szCs w:val="16"/>
              </w:rPr>
            </w:pPr>
            <w:r w:rsidRPr="00BA6957">
              <w:rPr>
                <w:sz w:val="16"/>
                <w:szCs w:val="16"/>
              </w:rPr>
              <w:t>11.3</w:t>
            </w:r>
          </w:p>
        </w:tc>
        <w:tc>
          <w:tcPr>
            <w:tcW w:w="512" w:type="pct"/>
          </w:tcPr>
          <w:p w:rsidR="00603A3B" w:rsidRPr="00BA6957" w:rsidRDefault="00603A3B" w:rsidP="007722F4">
            <w:pPr>
              <w:pStyle w:val="BodyText"/>
              <w:keepNext/>
              <w:spacing w:before="40" w:after="40"/>
              <w:rPr>
                <w:sz w:val="16"/>
                <w:szCs w:val="16"/>
              </w:rPr>
            </w:pPr>
            <w:r w:rsidRPr="00BA6957">
              <w:rPr>
                <w:sz w:val="16"/>
                <w:szCs w:val="16"/>
              </w:rPr>
              <w:t>27</w:t>
            </w:r>
          </w:p>
          <w:p w:rsidR="00603A3B" w:rsidRPr="00BA6957" w:rsidRDefault="00603A3B" w:rsidP="007722F4">
            <w:pPr>
              <w:pStyle w:val="BodyText"/>
              <w:keepNext/>
              <w:spacing w:before="40" w:after="40"/>
              <w:rPr>
                <w:sz w:val="16"/>
                <w:szCs w:val="16"/>
              </w:rPr>
            </w:pPr>
            <w:r w:rsidRPr="00BA6957">
              <w:rPr>
                <w:sz w:val="16"/>
                <w:szCs w:val="16"/>
              </w:rPr>
              <w:t>5</w:t>
            </w:r>
          </w:p>
          <w:p w:rsidR="00603A3B" w:rsidRPr="00BA6957" w:rsidRDefault="00603A3B" w:rsidP="007722F4">
            <w:pPr>
              <w:pStyle w:val="BodyText"/>
              <w:keepNext/>
              <w:spacing w:before="40" w:after="40"/>
              <w:rPr>
                <w:sz w:val="16"/>
                <w:szCs w:val="16"/>
              </w:rPr>
            </w:pPr>
            <w:r w:rsidRPr="00BA6957">
              <w:rPr>
                <w:sz w:val="16"/>
                <w:szCs w:val="16"/>
              </w:rPr>
              <w:t>19</w:t>
            </w:r>
          </w:p>
        </w:tc>
      </w:tr>
      <w:tr w:rsidR="00603A3B" w:rsidRPr="00BA6957" w:rsidTr="007722F4">
        <w:tc>
          <w:tcPr>
            <w:tcW w:w="4023" w:type="pct"/>
          </w:tcPr>
          <w:p w:rsidR="00603A3B" w:rsidRPr="00BA6957" w:rsidRDefault="00603A3B" w:rsidP="007722F4">
            <w:pPr>
              <w:pStyle w:val="BodyText"/>
              <w:keepNext/>
              <w:rPr>
                <w:b/>
                <w:sz w:val="16"/>
                <w:szCs w:val="16"/>
              </w:rPr>
            </w:pPr>
            <w:r w:rsidRPr="00BA6957">
              <w:rPr>
                <w:b/>
                <w:sz w:val="16"/>
                <w:szCs w:val="16"/>
              </w:rPr>
              <w:t>Sub-Total Bilateral</w:t>
            </w:r>
          </w:p>
        </w:tc>
        <w:tc>
          <w:tcPr>
            <w:tcW w:w="465" w:type="pct"/>
          </w:tcPr>
          <w:p w:rsidR="00603A3B" w:rsidRPr="00BA6957" w:rsidRDefault="00603A3B" w:rsidP="007722F4">
            <w:pPr>
              <w:pStyle w:val="BodyText"/>
              <w:keepNext/>
              <w:rPr>
                <w:b/>
                <w:sz w:val="16"/>
                <w:szCs w:val="16"/>
              </w:rPr>
            </w:pPr>
            <w:r w:rsidRPr="00BA6957">
              <w:rPr>
                <w:b/>
                <w:sz w:val="16"/>
                <w:szCs w:val="16"/>
              </w:rPr>
              <w:t>37.6</w:t>
            </w:r>
          </w:p>
        </w:tc>
        <w:tc>
          <w:tcPr>
            <w:tcW w:w="512" w:type="pct"/>
          </w:tcPr>
          <w:p w:rsidR="00603A3B" w:rsidRPr="00BA6957" w:rsidRDefault="00603A3B" w:rsidP="007722F4">
            <w:pPr>
              <w:pStyle w:val="BodyText"/>
              <w:keepNext/>
              <w:rPr>
                <w:b/>
                <w:sz w:val="16"/>
                <w:szCs w:val="16"/>
              </w:rPr>
            </w:pPr>
            <w:r w:rsidRPr="00BA6957">
              <w:rPr>
                <w:b/>
                <w:sz w:val="16"/>
                <w:szCs w:val="16"/>
              </w:rPr>
              <w:t>64</w:t>
            </w:r>
          </w:p>
        </w:tc>
      </w:tr>
      <w:tr w:rsidR="00603A3B" w:rsidRPr="00BA6957" w:rsidTr="007722F4">
        <w:tc>
          <w:tcPr>
            <w:tcW w:w="4023" w:type="pct"/>
          </w:tcPr>
          <w:p w:rsidR="00603A3B" w:rsidRPr="00BA6957" w:rsidRDefault="00603A3B" w:rsidP="007722F4">
            <w:pPr>
              <w:pStyle w:val="BodyText"/>
              <w:keepNext/>
              <w:rPr>
                <w:b/>
                <w:i/>
                <w:sz w:val="16"/>
                <w:szCs w:val="16"/>
              </w:rPr>
            </w:pPr>
            <w:r w:rsidRPr="00BA6957">
              <w:rPr>
                <w:b/>
                <w:i/>
                <w:sz w:val="16"/>
                <w:szCs w:val="16"/>
              </w:rPr>
              <w:t>Other investments</w:t>
            </w:r>
          </w:p>
        </w:tc>
        <w:tc>
          <w:tcPr>
            <w:tcW w:w="465" w:type="pct"/>
          </w:tcPr>
          <w:p w:rsidR="00603A3B" w:rsidRPr="00BA6957" w:rsidRDefault="00603A3B" w:rsidP="007722F4">
            <w:pPr>
              <w:pStyle w:val="BodyText"/>
              <w:keepNext/>
              <w:rPr>
                <w:sz w:val="16"/>
                <w:szCs w:val="16"/>
              </w:rPr>
            </w:pPr>
          </w:p>
        </w:tc>
        <w:tc>
          <w:tcPr>
            <w:tcW w:w="512" w:type="pct"/>
          </w:tcPr>
          <w:p w:rsidR="00603A3B" w:rsidRPr="00BA6957" w:rsidRDefault="00603A3B" w:rsidP="007722F4">
            <w:pPr>
              <w:pStyle w:val="BodyText"/>
              <w:keepNext/>
              <w:rPr>
                <w:sz w:val="16"/>
                <w:szCs w:val="16"/>
              </w:rPr>
            </w:pPr>
          </w:p>
        </w:tc>
      </w:tr>
      <w:tr w:rsidR="00603A3B" w:rsidRPr="00BA6957" w:rsidTr="007722F4">
        <w:tc>
          <w:tcPr>
            <w:tcW w:w="4023" w:type="pct"/>
          </w:tcPr>
          <w:p w:rsidR="00603A3B" w:rsidRPr="00BA6957" w:rsidRDefault="00603A3B" w:rsidP="007722F4">
            <w:pPr>
              <w:pStyle w:val="BodyText"/>
              <w:keepNext/>
              <w:spacing w:before="40" w:after="40"/>
              <w:rPr>
                <w:sz w:val="16"/>
                <w:szCs w:val="16"/>
              </w:rPr>
            </w:pPr>
            <w:r w:rsidRPr="00BA6957">
              <w:rPr>
                <w:sz w:val="16"/>
                <w:szCs w:val="16"/>
              </w:rPr>
              <w:t>Regional and Global</w:t>
            </w:r>
          </w:p>
        </w:tc>
        <w:tc>
          <w:tcPr>
            <w:tcW w:w="465" w:type="pct"/>
          </w:tcPr>
          <w:p w:rsidR="00603A3B" w:rsidRPr="00BA6957" w:rsidRDefault="00603A3B" w:rsidP="007722F4">
            <w:pPr>
              <w:pStyle w:val="BodyText"/>
              <w:keepNext/>
              <w:spacing w:before="40" w:after="40"/>
              <w:rPr>
                <w:sz w:val="16"/>
                <w:szCs w:val="16"/>
              </w:rPr>
            </w:pPr>
            <w:r w:rsidRPr="00BA6957">
              <w:rPr>
                <w:sz w:val="16"/>
                <w:szCs w:val="16"/>
              </w:rPr>
              <w:t>18.2</w:t>
            </w:r>
          </w:p>
        </w:tc>
        <w:tc>
          <w:tcPr>
            <w:tcW w:w="512" w:type="pct"/>
          </w:tcPr>
          <w:p w:rsidR="00603A3B" w:rsidRPr="00BA6957" w:rsidRDefault="00603A3B" w:rsidP="007722F4">
            <w:pPr>
              <w:pStyle w:val="BodyText"/>
              <w:keepNext/>
              <w:spacing w:before="40" w:after="40"/>
              <w:rPr>
                <w:sz w:val="16"/>
                <w:szCs w:val="16"/>
              </w:rPr>
            </w:pPr>
            <w:r w:rsidRPr="00BA6957">
              <w:rPr>
                <w:sz w:val="16"/>
                <w:szCs w:val="16"/>
              </w:rPr>
              <w:t>31</w:t>
            </w:r>
          </w:p>
        </w:tc>
      </w:tr>
      <w:tr w:rsidR="00603A3B" w:rsidRPr="00BA6957" w:rsidTr="007722F4">
        <w:tc>
          <w:tcPr>
            <w:tcW w:w="4023" w:type="pct"/>
          </w:tcPr>
          <w:p w:rsidR="00603A3B" w:rsidRPr="00BA6957" w:rsidRDefault="00603A3B" w:rsidP="007722F4">
            <w:pPr>
              <w:pStyle w:val="BodyText"/>
              <w:keepNext/>
              <w:spacing w:before="40" w:after="40"/>
              <w:rPr>
                <w:sz w:val="16"/>
                <w:szCs w:val="16"/>
              </w:rPr>
            </w:pPr>
            <w:r w:rsidRPr="00BA6957">
              <w:rPr>
                <w:sz w:val="16"/>
                <w:szCs w:val="16"/>
              </w:rPr>
              <w:t>Other Government Departments</w:t>
            </w:r>
          </w:p>
        </w:tc>
        <w:tc>
          <w:tcPr>
            <w:tcW w:w="465" w:type="pct"/>
          </w:tcPr>
          <w:p w:rsidR="00603A3B" w:rsidRPr="00BA6957" w:rsidRDefault="00603A3B" w:rsidP="007722F4">
            <w:pPr>
              <w:pStyle w:val="BodyText"/>
              <w:keepNext/>
              <w:spacing w:before="40" w:after="40"/>
              <w:rPr>
                <w:sz w:val="16"/>
                <w:szCs w:val="16"/>
              </w:rPr>
            </w:pPr>
            <w:r w:rsidRPr="00BA6957">
              <w:rPr>
                <w:sz w:val="16"/>
                <w:szCs w:val="16"/>
              </w:rPr>
              <w:t>2.8</w:t>
            </w:r>
          </w:p>
        </w:tc>
        <w:tc>
          <w:tcPr>
            <w:tcW w:w="512" w:type="pct"/>
          </w:tcPr>
          <w:p w:rsidR="00603A3B" w:rsidRPr="00BA6957" w:rsidRDefault="00603A3B" w:rsidP="007722F4">
            <w:pPr>
              <w:pStyle w:val="BodyText"/>
              <w:keepNext/>
              <w:spacing w:before="40" w:after="40"/>
              <w:rPr>
                <w:sz w:val="16"/>
                <w:szCs w:val="16"/>
              </w:rPr>
            </w:pPr>
            <w:r w:rsidRPr="00BA6957">
              <w:rPr>
                <w:sz w:val="16"/>
                <w:szCs w:val="16"/>
              </w:rPr>
              <w:t>5</w:t>
            </w:r>
          </w:p>
        </w:tc>
      </w:tr>
      <w:tr w:rsidR="00603A3B" w:rsidRPr="00BA6957" w:rsidTr="007722F4">
        <w:trPr>
          <w:trHeight w:val="74"/>
        </w:trPr>
        <w:tc>
          <w:tcPr>
            <w:tcW w:w="4023" w:type="pct"/>
          </w:tcPr>
          <w:p w:rsidR="00603A3B" w:rsidRPr="00BA6957" w:rsidRDefault="00603A3B" w:rsidP="007722F4">
            <w:pPr>
              <w:pStyle w:val="BodyText"/>
              <w:keepNext/>
              <w:rPr>
                <w:b/>
                <w:sz w:val="16"/>
                <w:szCs w:val="16"/>
              </w:rPr>
            </w:pPr>
            <w:r w:rsidRPr="00BA6957">
              <w:rPr>
                <w:b/>
                <w:sz w:val="16"/>
                <w:szCs w:val="16"/>
              </w:rPr>
              <w:t>Total ODA Expenditure</w:t>
            </w:r>
          </w:p>
        </w:tc>
        <w:tc>
          <w:tcPr>
            <w:tcW w:w="465" w:type="pct"/>
          </w:tcPr>
          <w:p w:rsidR="00603A3B" w:rsidRPr="00BA6957" w:rsidRDefault="00603A3B" w:rsidP="007722F4">
            <w:pPr>
              <w:pStyle w:val="BodyText"/>
              <w:keepNext/>
              <w:rPr>
                <w:b/>
                <w:sz w:val="16"/>
                <w:szCs w:val="16"/>
              </w:rPr>
            </w:pPr>
            <w:r w:rsidRPr="00BA6957">
              <w:rPr>
                <w:b/>
                <w:sz w:val="16"/>
                <w:szCs w:val="16"/>
              </w:rPr>
              <w:t>58.7</w:t>
            </w:r>
          </w:p>
        </w:tc>
        <w:tc>
          <w:tcPr>
            <w:tcW w:w="512" w:type="pct"/>
          </w:tcPr>
          <w:p w:rsidR="00603A3B" w:rsidRPr="00BA6957" w:rsidRDefault="00603A3B" w:rsidP="007722F4">
            <w:pPr>
              <w:pStyle w:val="BodyText"/>
              <w:keepNext/>
              <w:rPr>
                <w:b/>
                <w:sz w:val="16"/>
                <w:szCs w:val="16"/>
              </w:rPr>
            </w:pPr>
            <w:r w:rsidRPr="00BA6957">
              <w:rPr>
                <w:b/>
                <w:sz w:val="16"/>
                <w:szCs w:val="16"/>
              </w:rPr>
              <w:t>100</w:t>
            </w:r>
          </w:p>
        </w:tc>
      </w:tr>
    </w:tbl>
    <w:p w:rsidR="00603A3B" w:rsidRDefault="00603A3B" w:rsidP="00BA6957">
      <w:pPr>
        <w:pStyle w:val="ListBullet"/>
        <w:numPr>
          <w:ilvl w:val="0"/>
          <w:numId w:val="0"/>
        </w:numPr>
      </w:pPr>
    </w:p>
    <w:p w:rsidR="000D733F" w:rsidRPr="00603A3B" w:rsidRDefault="00511A0F" w:rsidP="00BA6957">
      <w:pPr>
        <w:pStyle w:val="Heading2"/>
        <w:rPr>
          <w:sz w:val="28"/>
        </w:rPr>
      </w:pPr>
      <w:bookmarkStart w:id="1" w:name="_Toc373853206"/>
      <w:r w:rsidRPr="00603A3B">
        <w:rPr>
          <w:sz w:val="28"/>
        </w:rPr>
        <w:t xml:space="preserve">Progress </w:t>
      </w:r>
      <w:r w:rsidR="00E15678" w:rsidRPr="00603A3B">
        <w:rPr>
          <w:sz w:val="28"/>
        </w:rPr>
        <w:t>towards</w:t>
      </w:r>
      <w:r w:rsidRPr="00603A3B">
        <w:rPr>
          <w:sz w:val="28"/>
        </w:rPr>
        <w:t xml:space="preserve"> O</w:t>
      </w:r>
      <w:r w:rsidR="000D733F" w:rsidRPr="00603A3B">
        <w:rPr>
          <w:sz w:val="28"/>
        </w:rPr>
        <w:t>bjectives</w:t>
      </w:r>
      <w:r w:rsidR="000D733F" w:rsidRPr="00603A3B">
        <w:rPr>
          <w:sz w:val="28"/>
        </w:rPr>
        <w:tab/>
      </w:r>
    </w:p>
    <w:p w:rsidR="00050236" w:rsidRPr="00BA6957" w:rsidRDefault="00050236" w:rsidP="00BA6957">
      <w:pPr>
        <w:pStyle w:val="Caption"/>
      </w:pPr>
      <w:r w:rsidRPr="00BA6957">
        <w:t xml:space="preserve">Table </w:t>
      </w:r>
      <w:r w:rsidR="00931CF6" w:rsidRPr="00BA6957">
        <w:t>3</w:t>
      </w:r>
      <w:r w:rsidRPr="00BA6957">
        <w:t xml:space="preserve"> Rating of the Program's Progress towards Australia’s Aid Objectives</w:t>
      </w:r>
    </w:p>
    <w:tbl>
      <w:tblPr>
        <w:tblStyle w:val="APPR"/>
        <w:tblW w:w="0" w:type="auto"/>
        <w:tblLook w:val="0000" w:firstRow="0" w:lastRow="0" w:firstColumn="0" w:lastColumn="0" w:noHBand="0" w:noVBand="0"/>
        <w:tblCaption w:val="Table 3 Rating of the Program's Progress towards Australia’s Aid Objectives"/>
        <w:tblDescription w:val="Table 3 shows the bilateral aid program’s progress towards achieving its aid objectives.  Four bilateral aid program objectives have been rated.  A rating is provided for financial year 2013-14 and for financial year 2014-15.  The rating system uses a three-point scale.  Green indicates progress is as expected at this stage of implementation and it is likely that the objective will be achieved. Standard program management practices are sufficient.  Amber indicates that progress is somewhat less than expected at this stage of implementation and restorative action will be necessary if the objective is to be achieved. Close performance monitoring is recommended.  Red indicates that progress is significantly less than expected at this stage of implementation and the objective is not likely to be met given available resources and priorities. Recasting the objective may be required.  &#10;&#10;The first objective assessed - Objective 1 More girls and boys, especially those experiencing disadvantage, complete good quality basic education, achieving literacy, numeracy and other relevant life skills - replaces two previous education sector engagement objectives for the Laos bilateral program country strategy, reflecting the a new education sector delivery strategy and new education sector investment – Basic Education Quality and Access in Lao PDR.  &#10;&#10;Objective 1 More girls and boys, especially those experiencing disadvantage, complete good quality basic education, achieving literacy, numeracy and other relevant life skills was assessed as green in financial year 2014-15. For the two strategy objectives relating to our education sector engagement in financial year 2013-14, one was assessed as green, the other was assessed as amber.  Objective 2 Policy and institutional impediments to trade and investment addressed in sectors that contribute to inclusive growth was assessed as green in financial year 2014-15 and green in financial year 2013-14.  Objective 3 Improve inclusive access to finance, productive assets, and market opportunities was assessed as amber in financial year 2014-15 and green in financial year 2013-14.  Objective 4 Improve physical access to markets and basic services was assessed as green in financial year 2014-15 and green in financial year 2013-14.&#10;"/>
      </w:tblPr>
      <w:tblGrid>
        <w:gridCol w:w="6933"/>
        <w:gridCol w:w="1091"/>
        <w:gridCol w:w="250"/>
        <w:gridCol w:w="1025"/>
      </w:tblGrid>
      <w:tr w:rsidR="00050236" w:rsidRPr="00BA6957" w:rsidTr="00A67A64">
        <w:trPr>
          <w:cnfStyle w:val="000000010000" w:firstRow="0" w:lastRow="0" w:firstColumn="0" w:lastColumn="0" w:oddVBand="0" w:evenVBand="0" w:oddHBand="0" w:evenHBand="1" w:firstRowFirstColumn="0" w:firstRowLastColumn="0" w:lastRowFirstColumn="0" w:lastRowLastColumn="0"/>
          <w:trHeight w:val="651"/>
        </w:trPr>
        <w:tc>
          <w:tcPr>
            <w:tcW w:w="0" w:type="auto"/>
          </w:tcPr>
          <w:p w:rsidR="00050236" w:rsidRPr="00BA6957" w:rsidRDefault="00050236" w:rsidP="00BA6957">
            <w:pPr>
              <w:pStyle w:val="TableTextColumnHeading"/>
              <w:rPr>
                <w:sz w:val="16"/>
                <w:szCs w:val="16"/>
              </w:rPr>
            </w:pPr>
            <w:r w:rsidRPr="00BA6957">
              <w:rPr>
                <w:noProof/>
                <w:sz w:val="16"/>
                <w:szCs w:val="16"/>
                <w:lang w:eastAsia="en-AU"/>
              </w:rPr>
              <w:drawing>
                <wp:anchor distT="0" distB="0" distL="114300" distR="114300" simplePos="0" relativeHeight="251675648" behindDoc="0" locked="0" layoutInCell="1" allowOverlap="1" wp14:anchorId="1CC66FD6" wp14:editId="03BD2329">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957">
              <w:rPr>
                <w:sz w:val="16"/>
                <w:szCs w:val="16"/>
              </w:rPr>
              <w:t>Objective</w:t>
            </w:r>
          </w:p>
        </w:tc>
        <w:tc>
          <w:tcPr>
            <w:tcW w:w="0" w:type="auto"/>
          </w:tcPr>
          <w:p w:rsidR="00050236" w:rsidRPr="00BA6957" w:rsidRDefault="00050236" w:rsidP="00BA6957">
            <w:pPr>
              <w:pStyle w:val="TableTextColumnHeading"/>
              <w:rPr>
                <w:sz w:val="16"/>
                <w:szCs w:val="16"/>
              </w:rPr>
            </w:pPr>
            <w:r w:rsidRPr="00BA6957">
              <w:rPr>
                <w:sz w:val="16"/>
                <w:szCs w:val="16"/>
              </w:rPr>
              <w:t>Previous Rating</w:t>
            </w:r>
          </w:p>
        </w:tc>
        <w:tc>
          <w:tcPr>
            <w:tcW w:w="0" w:type="auto"/>
          </w:tcPr>
          <w:p w:rsidR="00050236" w:rsidRPr="00BA6957" w:rsidRDefault="00050236" w:rsidP="00BA6957">
            <w:pPr>
              <w:pStyle w:val="TableTextColumnHeading"/>
              <w:rPr>
                <w:sz w:val="16"/>
                <w:szCs w:val="16"/>
              </w:rPr>
            </w:pPr>
          </w:p>
        </w:tc>
        <w:tc>
          <w:tcPr>
            <w:tcW w:w="0" w:type="auto"/>
          </w:tcPr>
          <w:p w:rsidR="00050236" w:rsidRPr="00BA6957" w:rsidRDefault="00050236" w:rsidP="00BA6957">
            <w:pPr>
              <w:pStyle w:val="TableTextColumnHeading"/>
              <w:rPr>
                <w:sz w:val="16"/>
                <w:szCs w:val="16"/>
              </w:rPr>
            </w:pPr>
            <w:r w:rsidRPr="00BA6957">
              <w:rPr>
                <w:sz w:val="16"/>
                <w:szCs w:val="16"/>
              </w:rPr>
              <w:t>Current Rating</w:t>
            </w:r>
          </w:p>
        </w:tc>
      </w:tr>
      <w:tr w:rsidR="00624F9E" w:rsidRPr="00BA6957" w:rsidTr="00D40465">
        <w:trPr>
          <w:cnfStyle w:val="000000010000" w:firstRow="0" w:lastRow="0" w:firstColumn="0" w:lastColumn="0" w:oddVBand="0" w:evenVBand="0" w:oddHBand="0" w:evenHBand="1" w:firstRowFirstColumn="0" w:firstRowLastColumn="0" w:lastRowFirstColumn="0" w:lastRowLastColumn="0"/>
          <w:trHeight w:val="259"/>
        </w:trPr>
        <w:tc>
          <w:tcPr>
            <w:tcW w:w="0" w:type="auto"/>
            <w:vMerge w:val="restart"/>
          </w:tcPr>
          <w:p w:rsidR="00624F9E" w:rsidRPr="00BA6957" w:rsidRDefault="00624F9E" w:rsidP="00BA6957">
            <w:pPr>
              <w:pStyle w:val="TableTextEntries"/>
              <w:rPr>
                <w:sz w:val="16"/>
                <w:szCs w:val="16"/>
              </w:rPr>
            </w:pPr>
            <w:r w:rsidRPr="00BA6957">
              <w:rPr>
                <w:sz w:val="16"/>
                <w:szCs w:val="16"/>
              </w:rPr>
              <w:t>Objective 1: More girls and boys, especially those experiencing disadvantage, complete good quality basic education, achieving literacy, numeracy and other relevant life skills</w:t>
            </w:r>
            <w:r w:rsidR="004B263D" w:rsidRPr="00BA6957">
              <w:rPr>
                <w:sz w:val="16"/>
                <w:szCs w:val="16"/>
                <w:vertAlign w:val="superscript"/>
              </w:rPr>
              <w:endnoteReference w:id="4"/>
            </w:r>
          </w:p>
        </w:tc>
        <w:tc>
          <w:tcPr>
            <w:tcW w:w="0" w:type="auto"/>
            <w:shd w:val="clear" w:color="auto" w:fill="669900"/>
            <w:noWrap/>
          </w:tcPr>
          <w:p w:rsidR="00624F9E" w:rsidRPr="00BA6957" w:rsidRDefault="00624F9E" w:rsidP="00BA6957">
            <w:pPr>
              <w:pStyle w:val="TableTextEntries"/>
              <w:rPr>
                <w:sz w:val="16"/>
                <w:szCs w:val="16"/>
              </w:rPr>
            </w:pPr>
            <w:r w:rsidRPr="00BA6957">
              <w:rPr>
                <w:sz w:val="16"/>
                <w:szCs w:val="16"/>
              </w:rPr>
              <w:t>Green</w:t>
            </w:r>
          </w:p>
          <w:p w:rsidR="00624F9E" w:rsidRPr="00BA6957" w:rsidRDefault="00624F9E" w:rsidP="00BA6957">
            <w:pPr>
              <w:pStyle w:val="TableTextEntries"/>
              <w:rPr>
                <w:sz w:val="16"/>
                <w:szCs w:val="16"/>
              </w:rPr>
            </w:pPr>
          </w:p>
        </w:tc>
        <w:tc>
          <w:tcPr>
            <w:tcW w:w="0" w:type="auto"/>
            <w:vMerge w:val="restart"/>
          </w:tcPr>
          <w:p w:rsidR="00624F9E" w:rsidRPr="00BA6957" w:rsidRDefault="00624F9E" w:rsidP="00BA6957">
            <w:pPr>
              <w:pStyle w:val="TableTextEntries"/>
              <w:rPr>
                <w:color w:val="FFFFFF" w:themeColor="background1"/>
                <w:sz w:val="16"/>
                <w:szCs w:val="16"/>
              </w:rPr>
            </w:pPr>
          </w:p>
        </w:tc>
        <w:tc>
          <w:tcPr>
            <w:tcW w:w="0" w:type="auto"/>
            <w:vMerge w:val="restart"/>
            <w:shd w:val="clear" w:color="auto" w:fill="669900"/>
            <w:noWrap/>
          </w:tcPr>
          <w:p w:rsidR="00624F9E" w:rsidRPr="00BA6957" w:rsidRDefault="00624F9E" w:rsidP="00BA6957">
            <w:pPr>
              <w:pStyle w:val="TableTextEntries"/>
              <w:rPr>
                <w:sz w:val="16"/>
                <w:szCs w:val="16"/>
              </w:rPr>
            </w:pPr>
            <w:r w:rsidRPr="00BA6957">
              <w:rPr>
                <w:sz w:val="16"/>
                <w:szCs w:val="16"/>
              </w:rPr>
              <w:t>Green</w:t>
            </w:r>
          </w:p>
        </w:tc>
      </w:tr>
      <w:tr w:rsidR="00624F9E" w:rsidRPr="00BA6957" w:rsidTr="00F93401">
        <w:trPr>
          <w:cnfStyle w:val="000000010000" w:firstRow="0" w:lastRow="0" w:firstColumn="0" w:lastColumn="0" w:oddVBand="0" w:evenVBand="0" w:oddHBand="0" w:evenHBand="1" w:firstRowFirstColumn="0" w:firstRowLastColumn="0" w:lastRowFirstColumn="0" w:lastRowLastColumn="0"/>
          <w:trHeight w:val="259"/>
        </w:trPr>
        <w:tc>
          <w:tcPr>
            <w:tcW w:w="0" w:type="auto"/>
            <w:vMerge/>
          </w:tcPr>
          <w:p w:rsidR="00624F9E" w:rsidRPr="00BA6957" w:rsidRDefault="00624F9E" w:rsidP="00BA6957">
            <w:pPr>
              <w:pStyle w:val="TableTextEntries"/>
              <w:rPr>
                <w:sz w:val="16"/>
                <w:szCs w:val="16"/>
              </w:rPr>
            </w:pPr>
          </w:p>
        </w:tc>
        <w:tc>
          <w:tcPr>
            <w:tcW w:w="0" w:type="auto"/>
            <w:shd w:val="clear" w:color="auto" w:fill="F79646" w:themeFill="accent6"/>
            <w:noWrap/>
          </w:tcPr>
          <w:p w:rsidR="00624F9E" w:rsidRPr="00BA6957" w:rsidRDefault="00624F9E" w:rsidP="00BA6957">
            <w:pPr>
              <w:pStyle w:val="TableTextEntries"/>
              <w:rPr>
                <w:sz w:val="16"/>
                <w:szCs w:val="16"/>
              </w:rPr>
            </w:pPr>
            <w:r w:rsidRPr="00BA6957">
              <w:rPr>
                <w:sz w:val="16"/>
                <w:szCs w:val="16"/>
              </w:rPr>
              <w:t>Amber</w:t>
            </w:r>
          </w:p>
        </w:tc>
        <w:tc>
          <w:tcPr>
            <w:tcW w:w="0" w:type="auto"/>
            <w:vMerge/>
          </w:tcPr>
          <w:p w:rsidR="00624F9E" w:rsidRPr="00BA6957" w:rsidRDefault="00624F9E" w:rsidP="00BA6957">
            <w:pPr>
              <w:pStyle w:val="TableTextEntries"/>
              <w:rPr>
                <w:color w:val="FFFFFF" w:themeColor="background1"/>
                <w:sz w:val="16"/>
                <w:szCs w:val="16"/>
              </w:rPr>
            </w:pPr>
          </w:p>
        </w:tc>
        <w:tc>
          <w:tcPr>
            <w:tcW w:w="0" w:type="auto"/>
            <w:vMerge/>
            <w:shd w:val="clear" w:color="auto" w:fill="669900"/>
            <w:noWrap/>
          </w:tcPr>
          <w:p w:rsidR="00624F9E" w:rsidRPr="00BA6957" w:rsidRDefault="00624F9E" w:rsidP="00BA6957">
            <w:pPr>
              <w:pStyle w:val="TableTextEntries"/>
              <w:rPr>
                <w:sz w:val="16"/>
                <w:szCs w:val="16"/>
              </w:rPr>
            </w:pPr>
          </w:p>
        </w:tc>
      </w:tr>
      <w:tr w:rsidR="00050236" w:rsidRPr="00BA6957" w:rsidTr="00A67A64">
        <w:trPr>
          <w:cnfStyle w:val="000000010000" w:firstRow="0" w:lastRow="0" w:firstColumn="0" w:lastColumn="0" w:oddVBand="0" w:evenVBand="0" w:oddHBand="0" w:evenHBand="1" w:firstRowFirstColumn="0" w:firstRowLastColumn="0" w:lastRowFirstColumn="0" w:lastRowLastColumn="0"/>
        </w:trPr>
        <w:tc>
          <w:tcPr>
            <w:tcW w:w="0" w:type="auto"/>
          </w:tcPr>
          <w:p w:rsidR="00050236" w:rsidRPr="00BA6957" w:rsidRDefault="00050236" w:rsidP="00BA6957">
            <w:pPr>
              <w:pStyle w:val="TableTextEntries"/>
              <w:rPr>
                <w:sz w:val="16"/>
                <w:szCs w:val="16"/>
              </w:rPr>
            </w:pPr>
            <w:r w:rsidRPr="00BA6957">
              <w:rPr>
                <w:sz w:val="16"/>
                <w:szCs w:val="16"/>
              </w:rPr>
              <w:t>Objective 2: Policy and institutional impediments to trade and investment addressed in sector</w:t>
            </w:r>
            <w:r w:rsidR="00AD1C7A" w:rsidRPr="00BA6957">
              <w:rPr>
                <w:sz w:val="16"/>
                <w:szCs w:val="16"/>
              </w:rPr>
              <w:t>s</w:t>
            </w:r>
            <w:r w:rsidRPr="00BA6957">
              <w:rPr>
                <w:sz w:val="16"/>
                <w:szCs w:val="16"/>
              </w:rPr>
              <w:t xml:space="preserve"> that contribute to inclusive growth</w:t>
            </w:r>
          </w:p>
        </w:tc>
        <w:tc>
          <w:tcPr>
            <w:tcW w:w="0" w:type="auto"/>
            <w:shd w:val="clear" w:color="auto" w:fill="669900"/>
            <w:noWrap/>
          </w:tcPr>
          <w:p w:rsidR="00050236" w:rsidRPr="00BA6957" w:rsidRDefault="00050236" w:rsidP="00BA6957">
            <w:pPr>
              <w:pStyle w:val="TableTextEntries"/>
              <w:rPr>
                <w:sz w:val="16"/>
                <w:szCs w:val="16"/>
              </w:rPr>
            </w:pPr>
            <w:r w:rsidRPr="00BA6957">
              <w:rPr>
                <w:sz w:val="16"/>
                <w:szCs w:val="16"/>
              </w:rPr>
              <w:t>Green</w:t>
            </w:r>
          </w:p>
        </w:tc>
        <w:tc>
          <w:tcPr>
            <w:tcW w:w="0" w:type="auto"/>
          </w:tcPr>
          <w:p w:rsidR="00050236" w:rsidRPr="00BA6957" w:rsidRDefault="00050236" w:rsidP="00BA6957">
            <w:pPr>
              <w:pStyle w:val="TableTextEntries"/>
              <w:rPr>
                <w:color w:val="FFFFFF" w:themeColor="background1"/>
                <w:sz w:val="16"/>
                <w:szCs w:val="16"/>
              </w:rPr>
            </w:pPr>
          </w:p>
        </w:tc>
        <w:tc>
          <w:tcPr>
            <w:tcW w:w="0" w:type="auto"/>
            <w:shd w:val="clear" w:color="auto" w:fill="669900"/>
            <w:noWrap/>
          </w:tcPr>
          <w:p w:rsidR="00050236" w:rsidRPr="00BA6957" w:rsidRDefault="00050236" w:rsidP="00BA6957">
            <w:pPr>
              <w:pStyle w:val="TableTextEntries"/>
              <w:rPr>
                <w:sz w:val="16"/>
                <w:szCs w:val="16"/>
              </w:rPr>
            </w:pPr>
            <w:r w:rsidRPr="00BA6957">
              <w:rPr>
                <w:sz w:val="16"/>
                <w:szCs w:val="16"/>
              </w:rPr>
              <w:t>Green</w:t>
            </w:r>
          </w:p>
        </w:tc>
      </w:tr>
      <w:tr w:rsidR="00050236" w:rsidRPr="00BA6957" w:rsidTr="00A67A64">
        <w:trPr>
          <w:cnfStyle w:val="000000010000" w:firstRow="0" w:lastRow="0" w:firstColumn="0" w:lastColumn="0" w:oddVBand="0" w:evenVBand="0" w:oddHBand="0" w:evenHBand="1" w:firstRowFirstColumn="0" w:firstRowLastColumn="0" w:lastRowFirstColumn="0" w:lastRowLastColumn="0"/>
        </w:trPr>
        <w:tc>
          <w:tcPr>
            <w:tcW w:w="0" w:type="auto"/>
          </w:tcPr>
          <w:p w:rsidR="00050236" w:rsidRPr="00BA6957" w:rsidRDefault="00050236" w:rsidP="00BA6957">
            <w:pPr>
              <w:pStyle w:val="BodyText"/>
              <w:keepNext/>
              <w:spacing w:before="40" w:after="40"/>
              <w:rPr>
                <w:sz w:val="16"/>
                <w:szCs w:val="16"/>
              </w:rPr>
            </w:pPr>
            <w:r w:rsidRPr="00BA6957">
              <w:rPr>
                <w:sz w:val="16"/>
                <w:szCs w:val="16"/>
              </w:rPr>
              <w:t>Objective 3: Improve inclusive access to finance, productive assets, and market opportunities</w:t>
            </w:r>
          </w:p>
        </w:tc>
        <w:tc>
          <w:tcPr>
            <w:tcW w:w="0" w:type="auto"/>
            <w:shd w:val="clear" w:color="auto" w:fill="669900"/>
            <w:noWrap/>
          </w:tcPr>
          <w:p w:rsidR="00050236" w:rsidRPr="00BA6957" w:rsidRDefault="00050236" w:rsidP="00BA6957">
            <w:pPr>
              <w:pStyle w:val="TableTextEntries"/>
              <w:rPr>
                <w:sz w:val="16"/>
                <w:szCs w:val="16"/>
              </w:rPr>
            </w:pPr>
            <w:r w:rsidRPr="00BA6957">
              <w:rPr>
                <w:sz w:val="16"/>
                <w:szCs w:val="16"/>
              </w:rPr>
              <w:t>Green</w:t>
            </w:r>
          </w:p>
        </w:tc>
        <w:tc>
          <w:tcPr>
            <w:tcW w:w="0" w:type="auto"/>
          </w:tcPr>
          <w:p w:rsidR="00050236" w:rsidRPr="00BA6957" w:rsidRDefault="00050236" w:rsidP="00BA6957">
            <w:pPr>
              <w:pStyle w:val="TableTextEntries"/>
              <w:rPr>
                <w:color w:val="FFFFFF" w:themeColor="background1"/>
                <w:sz w:val="16"/>
                <w:szCs w:val="16"/>
              </w:rPr>
            </w:pPr>
          </w:p>
        </w:tc>
        <w:tc>
          <w:tcPr>
            <w:tcW w:w="0" w:type="auto"/>
            <w:shd w:val="clear" w:color="auto" w:fill="E36C0A" w:themeFill="accent6" w:themeFillShade="BF"/>
            <w:noWrap/>
          </w:tcPr>
          <w:p w:rsidR="00050236" w:rsidRPr="00BA6957" w:rsidRDefault="00050236" w:rsidP="00BA6957">
            <w:pPr>
              <w:pStyle w:val="TableTextEntries"/>
              <w:rPr>
                <w:sz w:val="16"/>
                <w:szCs w:val="16"/>
              </w:rPr>
            </w:pPr>
            <w:r w:rsidRPr="00BA6957">
              <w:rPr>
                <w:sz w:val="16"/>
                <w:szCs w:val="16"/>
              </w:rPr>
              <w:t>Amber</w:t>
            </w:r>
          </w:p>
        </w:tc>
      </w:tr>
      <w:tr w:rsidR="00050236" w:rsidRPr="00BA6957" w:rsidTr="00A67A64">
        <w:trPr>
          <w:cnfStyle w:val="000000010000" w:firstRow="0" w:lastRow="0" w:firstColumn="0" w:lastColumn="0" w:oddVBand="0" w:evenVBand="0" w:oddHBand="0" w:evenHBand="1" w:firstRowFirstColumn="0" w:firstRowLastColumn="0" w:lastRowFirstColumn="0" w:lastRowLastColumn="0"/>
        </w:trPr>
        <w:tc>
          <w:tcPr>
            <w:tcW w:w="0" w:type="auto"/>
          </w:tcPr>
          <w:p w:rsidR="00050236" w:rsidRPr="00BA6957" w:rsidRDefault="00050236" w:rsidP="00BA6957">
            <w:pPr>
              <w:pStyle w:val="BodyText"/>
              <w:keepNext/>
              <w:spacing w:before="40" w:after="40"/>
              <w:rPr>
                <w:sz w:val="16"/>
                <w:szCs w:val="16"/>
              </w:rPr>
            </w:pPr>
            <w:r w:rsidRPr="00BA6957">
              <w:rPr>
                <w:sz w:val="16"/>
                <w:szCs w:val="16"/>
              </w:rPr>
              <w:t>Objective 4: Improve physical access to markets and basic services</w:t>
            </w:r>
          </w:p>
        </w:tc>
        <w:tc>
          <w:tcPr>
            <w:tcW w:w="0" w:type="auto"/>
            <w:shd w:val="clear" w:color="auto" w:fill="669900"/>
            <w:noWrap/>
          </w:tcPr>
          <w:p w:rsidR="00050236" w:rsidRPr="00BA6957" w:rsidRDefault="00050236" w:rsidP="00BA6957">
            <w:pPr>
              <w:pStyle w:val="TableTextEntries"/>
              <w:rPr>
                <w:sz w:val="16"/>
                <w:szCs w:val="16"/>
              </w:rPr>
            </w:pPr>
            <w:r w:rsidRPr="00BA6957">
              <w:rPr>
                <w:sz w:val="16"/>
                <w:szCs w:val="16"/>
              </w:rPr>
              <w:t>Green</w:t>
            </w:r>
          </w:p>
        </w:tc>
        <w:tc>
          <w:tcPr>
            <w:tcW w:w="0" w:type="auto"/>
          </w:tcPr>
          <w:p w:rsidR="00050236" w:rsidRPr="00BA6957" w:rsidRDefault="00050236" w:rsidP="00BA6957">
            <w:pPr>
              <w:pStyle w:val="TableTextEntries"/>
              <w:rPr>
                <w:color w:val="FFFFFF" w:themeColor="background1"/>
                <w:sz w:val="16"/>
                <w:szCs w:val="16"/>
              </w:rPr>
            </w:pPr>
          </w:p>
        </w:tc>
        <w:tc>
          <w:tcPr>
            <w:tcW w:w="0" w:type="auto"/>
            <w:shd w:val="clear" w:color="auto" w:fill="669900"/>
            <w:noWrap/>
          </w:tcPr>
          <w:p w:rsidR="00050236" w:rsidRPr="00BA6957" w:rsidRDefault="00050236" w:rsidP="00BA6957">
            <w:pPr>
              <w:pStyle w:val="TableTextEntries"/>
              <w:rPr>
                <w:sz w:val="16"/>
                <w:szCs w:val="16"/>
              </w:rPr>
            </w:pPr>
            <w:r w:rsidRPr="00BA6957">
              <w:rPr>
                <w:sz w:val="16"/>
                <w:szCs w:val="16"/>
              </w:rPr>
              <w:t>Green</w:t>
            </w:r>
          </w:p>
        </w:tc>
      </w:tr>
    </w:tbl>
    <w:p w:rsidR="000D733F" w:rsidRPr="00BA6957" w:rsidRDefault="000D733F" w:rsidP="00BA6957">
      <w:pPr>
        <w:pStyle w:val="Note"/>
        <w:jc w:val="left"/>
        <w:rPr>
          <w:sz w:val="16"/>
          <w:szCs w:val="16"/>
        </w:rPr>
      </w:pPr>
      <w:r w:rsidRPr="00BA6957">
        <w:rPr>
          <w:sz w:val="16"/>
          <w:szCs w:val="16"/>
        </w:rPr>
        <w:t xml:space="preserve">Note: </w:t>
      </w:r>
    </w:p>
    <w:p w:rsidR="000D733F" w:rsidRPr="00BA6957" w:rsidRDefault="000D733F" w:rsidP="00BA6957">
      <w:pPr>
        <w:pStyle w:val="Note"/>
        <w:jc w:val="left"/>
        <w:rPr>
          <w:sz w:val="16"/>
          <w:szCs w:val="16"/>
        </w:rPr>
      </w:pPr>
      <w:r w:rsidRPr="00BA6957">
        <w:rPr>
          <w:color w:val="72AF2F"/>
          <w:sz w:val="16"/>
          <w:szCs w:val="16"/>
        </w:rPr>
        <w:sym w:font="Webdings" w:char="F067"/>
      </w:r>
      <w:r w:rsidRPr="00BA6957">
        <w:rPr>
          <w:sz w:val="16"/>
          <w:szCs w:val="16"/>
        </w:rPr>
        <w:t> </w:t>
      </w:r>
      <w:r w:rsidRPr="00BA6957">
        <w:rPr>
          <w:sz w:val="16"/>
          <w:szCs w:val="16"/>
        </w:rPr>
        <w:t xml:space="preserve"> Green. Progress is as expected </w:t>
      </w:r>
      <w:r w:rsidR="00581979" w:rsidRPr="00BA6957">
        <w:rPr>
          <w:sz w:val="16"/>
          <w:szCs w:val="16"/>
        </w:rPr>
        <w:t xml:space="preserve">at this stage of implementation </w:t>
      </w:r>
      <w:r w:rsidRPr="00BA6957">
        <w:rPr>
          <w:sz w:val="16"/>
          <w:szCs w:val="16"/>
        </w:rPr>
        <w:t>and it is likely that the objective will be achieved. Standard program management practices are sufficient.</w:t>
      </w:r>
    </w:p>
    <w:p w:rsidR="000D733F" w:rsidRPr="00BA6957" w:rsidRDefault="000D733F" w:rsidP="00BA6957">
      <w:pPr>
        <w:pStyle w:val="Note"/>
        <w:jc w:val="left"/>
        <w:rPr>
          <w:sz w:val="16"/>
          <w:szCs w:val="16"/>
        </w:rPr>
      </w:pPr>
      <w:r w:rsidRPr="00BA6957">
        <w:rPr>
          <w:color w:val="E36C0A"/>
          <w:sz w:val="16"/>
          <w:szCs w:val="16"/>
        </w:rPr>
        <w:sym w:font="Webdings" w:char="F067"/>
      </w:r>
      <w:r w:rsidRPr="00BA6957">
        <w:rPr>
          <w:sz w:val="16"/>
          <w:szCs w:val="16"/>
        </w:rPr>
        <w:t> </w:t>
      </w:r>
      <w:r w:rsidRPr="00BA6957">
        <w:rPr>
          <w:sz w:val="16"/>
          <w:szCs w:val="16"/>
        </w:rPr>
        <w:t xml:space="preserve"> Amber. Progress is somewhat less than expected </w:t>
      </w:r>
      <w:r w:rsidR="00581979" w:rsidRPr="00BA6957">
        <w:rPr>
          <w:sz w:val="16"/>
          <w:szCs w:val="16"/>
        </w:rPr>
        <w:t xml:space="preserve">at this stage of implementation </w:t>
      </w:r>
      <w:r w:rsidRPr="00BA6957">
        <w:rPr>
          <w:sz w:val="16"/>
          <w:szCs w:val="16"/>
        </w:rPr>
        <w:t>and restorative action will be necessary if the objective is to be achieved. Close performance monitoring is recommended.</w:t>
      </w:r>
    </w:p>
    <w:p w:rsidR="000D733F" w:rsidRPr="00BA6957" w:rsidRDefault="000D733F" w:rsidP="00BA6957">
      <w:pPr>
        <w:pStyle w:val="Note"/>
        <w:jc w:val="left"/>
        <w:rPr>
          <w:sz w:val="16"/>
          <w:szCs w:val="16"/>
        </w:rPr>
      </w:pPr>
      <w:r w:rsidRPr="00BA6957">
        <w:rPr>
          <w:color w:val="FF0000"/>
          <w:sz w:val="16"/>
          <w:szCs w:val="16"/>
        </w:rPr>
        <w:sym w:font="Webdings" w:char="F067"/>
      </w:r>
      <w:r w:rsidRPr="00BA6957">
        <w:rPr>
          <w:sz w:val="16"/>
          <w:szCs w:val="16"/>
        </w:rPr>
        <w:t> </w:t>
      </w:r>
      <w:r w:rsidRPr="00BA6957">
        <w:rPr>
          <w:sz w:val="16"/>
          <w:szCs w:val="16"/>
        </w:rPr>
        <w:t xml:space="preserve"> Red. Progress is significantly less than expected </w:t>
      </w:r>
      <w:r w:rsidR="00581979" w:rsidRPr="00BA6957">
        <w:rPr>
          <w:sz w:val="16"/>
          <w:szCs w:val="16"/>
        </w:rPr>
        <w:t xml:space="preserve">at this stage of implementation </w:t>
      </w:r>
      <w:r w:rsidRPr="00BA6957">
        <w:rPr>
          <w:sz w:val="16"/>
          <w:szCs w:val="16"/>
        </w:rPr>
        <w:t>and the objective is not likely to be met given available resources and priorities. Recasting the objective may be required.</w:t>
      </w:r>
    </w:p>
    <w:p w:rsidR="00D569EB" w:rsidRPr="00BA6957" w:rsidRDefault="000D733F" w:rsidP="00BA6957">
      <w:pPr>
        <w:pStyle w:val="Note"/>
        <w:jc w:val="left"/>
        <w:rPr>
          <w:sz w:val="16"/>
          <w:szCs w:val="16"/>
        </w:rPr>
      </w:pPr>
      <w:r w:rsidRPr="00BA6957">
        <w:rPr>
          <w:sz w:val="16"/>
          <w:szCs w:val="16"/>
        </w:rPr>
        <w:t xml:space="preserve">Reporting period:  </w:t>
      </w:r>
    </w:p>
    <w:p w:rsidR="00D569EB" w:rsidRPr="00962508" w:rsidRDefault="00D569EB" w:rsidP="00BA6957">
      <w:pPr>
        <w:spacing w:after="200" w:line="276" w:lineRule="auto"/>
        <w:rPr>
          <w:rFonts w:ascii="Franklin Gothic Book" w:eastAsia="Times New Roman" w:hAnsi="Franklin Gothic Book"/>
          <w:b/>
          <w:sz w:val="14"/>
          <w:szCs w:val="14"/>
        </w:rPr>
      </w:pPr>
    </w:p>
    <w:tbl>
      <w:tblPr>
        <w:tblStyle w:val="APPR"/>
        <w:tblW w:w="5000" w:type="pct"/>
        <w:tblLook w:val="04A0" w:firstRow="1" w:lastRow="0" w:firstColumn="1" w:lastColumn="0" w:noHBand="0" w:noVBand="1"/>
      </w:tblPr>
      <w:tblGrid>
        <w:gridCol w:w="7986"/>
        <w:gridCol w:w="1313"/>
      </w:tblGrid>
      <w:tr w:rsidR="00705B61" w:rsidRPr="00962508" w:rsidTr="00D40465">
        <w:trPr>
          <w:cnfStyle w:val="100000000000" w:firstRow="1" w:lastRow="0" w:firstColumn="0" w:lastColumn="0" w:oddVBand="0" w:evenVBand="0" w:oddHBand="0" w:evenHBand="0" w:firstRowFirstColumn="0" w:firstRowLastColumn="0" w:lastRowFirstColumn="0" w:lastRowLastColumn="0"/>
        </w:trPr>
        <w:tc>
          <w:tcPr>
            <w:tcW w:w="7494" w:type="dxa"/>
            <w:tcBorders>
              <w:left w:val="nil"/>
              <w:right w:val="nil"/>
            </w:tcBorders>
            <w:hideMark/>
          </w:tcPr>
          <w:p w:rsidR="00705B61" w:rsidRPr="00962508" w:rsidRDefault="00705B61" w:rsidP="00BA6957">
            <w:pPr>
              <w:keepNext/>
              <w:numPr>
                <w:ilvl w:val="2"/>
                <w:numId w:val="0"/>
              </w:numPr>
              <w:outlineLvl w:val="2"/>
              <w:rPr>
                <w:rFonts w:ascii="Helvetica" w:eastAsia="Times New Roman" w:hAnsi="Helvetica" w:cs="Arial"/>
                <w:i/>
                <w:color w:val="124486"/>
                <w:kern w:val="28"/>
                <w:sz w:val="22"/>
                <w:szCs w:val="22"/>
                <w:lang w:eastAsia="zh-CN"/>
              </w:rPr>
            </w:pPr>
            <w:r w:rsidRPr="00962508">
              <w:rPr>
                <w:rFonts w:ascii="Franklin Gothic Book" w:hAnsi="Franklin Gothic Book"/>
                <w:iCs/>
                <w:sz w:val="21"/>
                <w:szCs w:val="21"/>
              </w:rPr>
              <w:lastRenderedPageBreak/>
              <w:t>Objective 1 – More girls and boys, especially those experiencing disadvantage, complete good quality basic education, achieving literacy, numeracy and other relevant life skills</w:t>
            </w:r>
            <w:r w:rsidR="00FD45E4" w:rsidRPr="00962508">
              <w:rPr>
                <w:rStyle w:val="EndnoteReference"/>
                <w:iCs/>
                <w:szCs w:val="21"/>
              </w:rPr>
              <w:endnoteReference w:id="5"/>
            </w:r>
          </w:p>
        </w:tc>
        <w:tc>
          <w:tcPr>
            <w:tcW w:w="1199" w:type="dxa"/>
            <w:tcBorders>
              <w:left w:val="nil"/>
              <w:right w:val="nil"/>
            </w:tcBorders>
            <w:shd w:val="clear" w:color="auto" w:fill="669900"/>
            <w:noWrap/>
            <w:hideMark/>
          </w:tcPr>
          <w:p w:rsidR="00705B61" w:rsidRPr="00962508" w:rsidRDefault="00705B61" w:rsidP="00BA6957">
            <w:pPr>
              <w:keepLines/>
              <w:spacing w:before="40" w:after="40" w:line="200" w:lineRule="atLeast"/>
              <w:rPr>
                <w:rFonts w:ascii="Franklin Gothic Book" w:eastAsia="Times New Roman" w:hAnsi="Franklin Gothic Book"/>
                <w:b w:val="0"/>
                <w:iCs/>
                <w:sz w:val="17"/>
                <w:szCs w:val="17"/>
                <w:lang w:eastAsia="en-US"/>
              </w:rPr>
            </w:pPr>
          </w:p>
          <w:p w:rsidR="00705B61" w:rsidRPr="00962508" w:rsidRDefault="00705B61" w:rsidP="00BA6957">
            <w:pPr>
              <w:keepLines/>
              <w:spacing w:before="40" w:after="40" w:line="200" w:lineRule="atLeast"/>
              <w:rPr>
                <w:rFonts w:ascii="Franklin Gothic Book" w:eastAsia="Times New Roman" w:hAnsi="Franklin Gothic Book"/>
                <w:b w:val="0"/>
                <w:iCs/>
                <w:sz w:val="17"/>
                <w:szCs w:val="17"/>
                <w:lang w:eastAsia="en-US"/>
              </w:rPr>
            </w:pPr>
            <w:r w:rsidRPr="00962508">
              <w:rPr>
                <w:rFonts w:ascii="Franklin Gothic Book" w:eastAsia="Times New Roman" w:hAnsi="Franklin Gothic Book"/>
                <w:b w:val="0"/>
                <w:iCs/>
                <w:sz w:val="17"/>
                <w:szCs w:val="17"/>
                <w:lang w:eastAsia="en-US"/>
              </w:rPr>
              <w:t>Green</w:t>
            </w:r>
          </w:p>
        </w:tc>
      </w:tr>
    </w:tbl>
    <w:p w:rsidR="00D77D0D" w:rsidRPr="00962508" w:rsidRDefault="00D77D0D" w:rsidP="00BA6957">
      <w:pPr>
        <w:spacing w:before="120"/>
        <w:rPr>
          <w:rFonts w:ascii="Franklin Gothic Book" w:eastAsia="Times New Roman" w:hAnsi="Franklin Gothic Book"/>
          <w:i/>
          <w:sz w:val="16"/>
          <w:szCs w:val="16"/>
        </w:rPr>
      </w:pPr>
      <w:r w:rsidRPr="00962508">
        <w:rPr>
          <w:rFonts w:ascii="Franklin Gothic Book" w:eastAsia="Times New Roman" w:hAnsi="Franklin Gothic Book"/>
          <w:i/>
          <w:sz w:val="16"/>
          <w:szCs w:val="16"/>
        </w:rPr>
        <w:t xml:space="preserve">Note: </w:t>
      </w:r>
      <w:r w:rsidR="00CF0081" w:rsidRPr="00962508">
        <w:rPr>
          <w:rFonts w:ascii="Franklin Gothic Book" w:eastAsia="Times New Roman" w:hAnsi="Franklin Gothic Book"/>
          <w:i/>
          <w:sz w:val="16"/>
          <w:szCs w:val="16"/>
        </w:rPr>
        <w:t>This is a new objective, reflecting t</w:t>
      </w:r>
      <w:r w:rsidRPr="00962508">
        <w:rPr>
          <w:rFonts w:ascii="Franklin Gothic Book" w:eastAsia="Times New Roman" w:hAnsi="Franklin Gothic Book"/>
          <w:i/>
          <w:sz w:val="16"/>
          <w:szCs w:val="16"/>
        </w:rPr>
        <w:t xml:space="preserve">he </w:t>
      </w:r>
      <w:r w:rsidR="00CF0081" w:rsidRPr="00962508">
        <w:rPr>
          <w:rFonts w:ascii="Franklin Gothic Book" w:eastAsia="Times New Roman" w:hAnsi="Franklin Gothic Book"/>
          <w:i/>
          <w:sz w:val="16"/>
          <w:szCs w:val="16"/>
        </w:rPr>
        <w:t xml:space="preserve">new </w:t>
      </w:r>
      <w:r w:rsidRPr="00962508">
        <w:rPr>
          <w:rFonts w:ascii="Franklin Gothic Book" w:eastAsia="Times New Roman" w:hAnsi="Franklin Gothic Book"/>
          <w:i/>
          <w:sz w:val="16"/>
          <w:szCs w:val="16"/>
        </w:rPr>
        <w:t>Australia-Laos Education Delivery Strategy 2013-18</w:t>
      </w:r>
      <w:r w:rsidR="00CF0081" w:rsidRPr="00962508">
        <w:rPr>
          <w:rFonts w:ascii="Franklin Gothic Book" w:eastAsia="Times New Roman" w:hAnsi="Franklin Gothic Book"/>
          <w:i/>
          <w:sz w:val="16"/>
          <w:szCs w:val="16"/>
        </w:rPr>
        <w:t xml:space="preserve"> and </w:t>
      </w:r>
      <w:r w:rsidR="00D569EB" w:rsidRPr="00962508">
        <w:rPr>
          <w:rFonts w:ascii="Franklin Gothic Book" w:eastAsia="Times New Roman" w:hAnsi="Franklin Gothic Book"/>
          <w:i/>
          <w:sz w:val="16"/>
          <w:szCs w:val="16"/>
        </w:rPr>
        <w:t xml:space="preserve">Australia’s </w:t>
      </w:r>
      <w:r w:rsidR="00CF0081" w:rsidRPr="00962508">
        <w:rPr>
          <w:rFonts w:ascii="Franklin Gothic Book" w:eastAsia="Times New Roman" w:hAnsi="Franklin Gothic Book"/>
          <w:i/>
          <w:sz w:val="16"/>
          <w:szCs w:val="16"/>
        </w:rPr>
        <w:t>major new basic education investment.</w:t>
      </w:r>
      <w:r w:rsidRPr="00962508">
        <w:rPr>
          <w:rFonts w:ascii="Franklin Gothic Book" w:eastAsia="Times New Roman" w:hAnsi="Franklin Gothic Book"/>
          <w:i/>
          <w:sz w:val="16"/>
          <w:szCs w:val="16"/>
        </w:rPr>
        <w:t xml:space="preserve"> </w:t>
      </w:r>
      <w:r w:rsidR="00CF0081" w:rsidRPr="00962508">
        <w:rPr>
          <w:rFonts w:ascii="Franklin Gothic Book" w:eastAsia="Times New Roman" w:hAnsi="Franklin Gothic Book"/>
          <w:i/>
          <w:sz w:val="16"/>
          <w:szCs w:val="16"/>
        </w:rPr>
        <w:t>The new o</w:t>
      </w:r>
      <w:r w:rsidRPr="00962508">
        <w:rPr>
          <w:rFonts w:ascii="Franklin Gothic Book" w:eastAsia="Times New Roman" w:hAnsi="Franklin Gothic Book"/>
          <w:i/>
          <w:sz w:val="16"/>
          <w:szCs w:val="16"/>
        </w:rPr>
        <w:t>bjective incorporates the two previous education objectives of 1) Mitigation of key constraints to equitable access to a basic quality education in targeted poor geographic areas; and 2) Better management of Government of Laos and donor resources available to the education sector.</w:t>
      </w:r>
      <w:r w:rsidR="007722F4">
        <w:rPr>
          <w:rFonts w:ascii="Franklin Gothic Book" w:eastAsia="Times New Roman" w:hAnsi="Franklin Gothic Book"/>
          <w:i/>
          <w:sz w:val="16"/>
          <w:szCs w:val="16"/>
        </w:rPr>
        <w:t xml:space="preserve"> Previous objectives are  also addressed below.</w:t>
      </w:r>
    </w:p>
    <w:p w:rsidR="00705B61" w:rsidRPr="00256476" w:rsidRDefault="00CB694F" w:rsidP="00BA6957">
      <w:pPr>
        <w:pStyle w:val="ListBullet"/>
        <w:numPr>
          <w:ilvl w:val="0"/>
          <w:numId w:val="0"/>
        </w:numPr>
        <w:tabs>
          <w:tab w:val="clear" w:pos="284"/>
          <w:tab w:val="center" w:pos="4252"/>
        </w:tabs>
        <w:spacing w:before="120"/>
        <w:rPr>
          <w:rFonts w:eastAsia="Calibri"/>
          <w:b/>
          <w:lang w:eastAsia="en-US"/>
        </w:rPr>
      </w:pPr>
      <w:r>
        <w:rPr>
          <w:rFonts w:eastAsia="Calibri"/>
          <w:b/>
          <w:lang w:eastAsia="en-US"/>
        </w:rPr>
        <w:t>Twelve</w:t>
      </w:r>
      <w:r w:rsidRPr="00256476">
        <w:rPr>
          <w:rFonts w:eastAsia="Calibri"/>
          <w:b/>
          <w:lang w:eastAsia="en-US"/>
        </w:rPr>
        <w:t xml:space="preserve"> </w:t>
      </w:r>
      <w:r w:rsidR="00962508" w:rsidRPr="00256476">
        <w:rPr>
          <w:rFonts w:eastAsia="Calibri"/>
          <w:b/>
          <w:lang w:eastAsia="en-US"/>
        </w:rPr>
        <w:t xml:space="preserve">of </w:t>
      </w:r>
      <w:r w:rsidR="00705B61" w:rsidRPr="00256476">
        <w:rPr>
          <w:rFonts w:eastAsia="Calibri"/>
          <w:b/>
          <w:lang w:eastAsia="en-US"/>
        </w:rPr>
        <w:t xml:space="preserve">the </w:t>
      </w:r>
      <w:r w:rsidR="00F93401" w:rsidRPr="00256476">
        <w:rPr>
          <w:rFonts w:eastAsia="Calibri"/>
          <w:b/>
          <w:lang w:eastAsia="en-US"/>
        </w:rPr>
        <w:t>fi</w:t>
      </w:r>
      <w:r w:rsidR="00F93401">
        <w:rPr>
          <w:rFonts w:eastAsia="Calibri"/>
          <w:b/>
          <w:lang w:eastAsia="en-US"/>
        </w:rPr>
        <w:t>fteen</w:t>
      </w:r>
      <w:r w:rsidR="00F93401" w:rsidRPr="00256476">
        <w:rPr>
          <w:rFonts w:eastAsia="Calibri"/>
          <w:b/>
          <w:lang w:eastAsia="en-US"/>
        </w:rPr>
        <w:t xml:space="preserve"> </w:t>
      </w:r>
      <w:r w:rsidR="00E11A1A">
        <w:rPr>
          <w:rFonts w:eastAsia="Calibri"/>
          <w:b/>
          <w:lang w:eastAsia="en-US"/>
        </w:rPr>
        <w:t xml:space="preserve">performance </w:t>
      </w:r>
      <w:r w:rsidR="00705B61" w:rsidRPr="00256476">
        <w:rPr>
          <w:rFonts w:eastAsia="Calibri"/>
          <w:b/>
          <w:lang w:eastAsia="en-US"/>
        </w:rPr>
        <w:t xml:space="preserve">milestones </w:t>
      </w:r>
      <w:r w:rsidR="00D40465">
        <w:rPr>
          <w:rFonts w:eastAsia="Calibri"/>
          <w:b/>
          <w:lang w:eastAsia="en-US"/>
        </w:rPr>
        <w:t xml:space="preserve">set </w:t>
      </w:r>
      <w:r w:rsidR="00705B61" w:rsidRPr="00256476">
        <w:rPr>
          <w:rFonts w:eastAsia="Calibri"/>
          <w:b/>
          <w:lang w:eastAsia="en-US"/>
        </w:rPr>
        <w:t xml:space="preserve">for this objective </w:t>
      </w:r>
      <w:r w:rsidR="00433E26">
        <w:rPr>
          <w:rFonts w:eastAsia="Calibri"/>
          <w:b/>
          <w:lang w:eastAsia="en-US"/>
        </w:rPr>
        <w:t xml:space="preserve">in 2014-15 </w:t>
      </w:r>
      <w:r w:rsidR="00705B61" w:rsidRPr="00256476">
        <w:rPr>
          <w:rFonts w:eastAsia="Calibri"/>
          <w:b/>
          <w:lang w:eastAsia="en-US"/>
        </w:rPr>
        <w:t>were met.</w:t>
      </w:r>
    </w:p>
    <w:p w:rsidR="00E21B4B" w:rsidRPr="00342E12" w:rsidRDefault="00046458" w:rsidP="00BA6957">
      <w:pPr>
        <w:spacing w:after="180" w:line="280" w:lineRule="exact"/>
        <w:rPr>
          <w:rFonts w:ascii="Franklin Gothic Book" w:eastAsia="Times New Roman" w:hAnsi="Franklin Gothic Book"/>
          <w:sz w:val="21"/>
        </w:rPr>
      </w:pPr>
      <w:r w:rsidRPr="00342E12">
        <w:rPr>
          <w:rFonts w:ascii="Franklin Gothic Book" w:eastAsia="Times New Roman" w:hAnsi="Franklin Gothic Book"/>
          <w:sz w:val="21"/>
        </w:rPr>
        <w:t>The main investment contributing to this strategy objective in 2014-15 was the Laos Basic Education and School Meals WATSAN program</w:t>
      </w:r>
      <w:r w:rsidR="00E327AB" w:rsidRPr="00342E12">
        <w:rPr>
          <w:rFonts w:ascii="Franklin Gothic Book" w:eastAsia="Times New Roman" w:hAnsi="Franklin Gothic Book"/>
          <w:sz w:val="21"/>
        </w:rPr>
        <w:t xml:space="preserve"> (</w:t>
      </w:r>
      <w:r w:rsidR="00E327AB" w:rsidRPr="00342E12">
        <w:rPr>
          <w:rFonts w:ascii="Franklin Gothic Book" w:hAnsi="Franklin Gothic Book"/>
          <w:lang w:eastAsia="zh-CN"/>
        </w:rPr>
        <w:t>$18 million over 2012-2017)</w:t>
      </w:r>
      <w:r w:rsidRPr="00342E12">
        <w:rPr>
          <w:rFonts w:ascii="Franklin Gothic Book" w:eastAsia="Times New Roman" w:hAnsi="Franklin Gothic Book"/>
          <w:sz w:val="21"/>
        </w:rPr>
        <w:t>. This program aims to improve participation and learning outcomes of children in primary school through provision of basic water and sanitation infrastructure</w:t>
      </w:r>
      <w:r w:rsidR="008111F8" w:rsidRPr="00342E12">
        <w:rPr>
          <w:rFonts w:ascii="Franklin Gothic Book" w:eastAsia="Times New Roman" w:hAnsi="Franklin Gothic Book"/>
          <w:sz w:val="21"/>
        </w:rPr>
        <w:t>, hygiene instruction</w:t>
      </w:r>
      <w:r w:rsidRPr="00342E12">
        <w:rPr>
          <w:rFonts w:ascii="Franklin Gothic Book" w:eastAsia="Times New Roman" w:hAnsi="Franklin Gothic Book"/>
          <w:sz w:val="21"/>
        </w:rPr>
        <w:t xml:space="preserve"> and school meals. The reporting period saw the conclusion</w:t>
      </w:r>
      <w:r w:rsidR="00342E12">
        <w:rPr>
          <w:rFonts w:ascii="Franklin Gothic Book" w:eastAsia="Times New Roman" w:hAnsi="Franklin Gothic Book"/>
          <w:sz w:val="21"/>
        </w:rPr>
        <w:t xml:space="preserve"> </w:t>
      </w:r>
      <w:r w:rsidR="00342E12" w:rsidRPr="00342E12">
        <w:rPr>
          <w:rFonts w:ascii="Franklin Gothic Book" w:eastAsia="Times New Roman" w:hAnsi="Franklin Gothic Book"/>
          <w:sz w:val="21"/>
        </w:rPr>
        <w:t>in August 2014</w:t>
      </w:r>
      <w:r w:rsidRPr="00342E12">
        <w:rPr>
          <w:rFonts w:ascii="Franklin Gothic Book" w:eastAsia="Times New Roman" w:hAnsi="Franklin Gothic Book"/>
          <w:sz w:val="21"/>
        </w:rPr>
        <w:t xml:space="preserve"> of the program’s flagship investment, the Education For All</w:t>
      </w:r>
      <w:r w:rsidR="00E21B4B" w:rsidRPr="00342E12">
        <w:rPr>
          <w:rFonts w:ascii="Franklin Gothic Book" w:eastAsia="Times New Roman" w:hAnsi="Franklin Gothic Book"/>
          <w:sz w:val="21"/>
        </w:rPr>
        <w:t>:</w:t>
      </w:r>
      <w:r w:rsidRPr="00342E12">
        <w:rPr>
          <w:rFonts w:ascii="Franklin Gothic Book" w:eastAsia="Times New Roman" w:hAnsi="Franklin Gothic Book"/>
          <w:sz w:val="21"/>
        </w:rPr>
        <w:t xml:space="preserve"> Fast Track Initiative</w:t>
      </w:r>
      <w:r w:rsidR="00E21B4B" w:rsidRPr="00342E12">
        <w:rPr>
          <w:rFonts w:ascii="Franklin Gothic Book" w:eastAsia="Times New Roman" w:hAnsi="Franklin Gothic Book"/>
          <w:sz w:val="21"/>
        </w:rPr>
        <w:t xml:space="preserve"> (EFA-FTI)</w:t>
      </w:r>
      <w:r w:rsidR="00F726F9">
        <w:rPr>
          <w:rFonts w:ascii="Franklin Gothic Book" w:eastAsia="Times New Roman" w:hAnsi="Franklin Gothic Book"/>
          <w:sz w:val="21"/>
        </w:rPr>
        <w:t>. T</w:t>
      </w:r>
      <w:r w:rsidRPr="00342E12">
        <w:rPr>
          <w:rFonts w:ascii="Franklin Gothic Book" w:eastAsia="Times New Roman" w:hAnsi="Franklin Gothic Book"/>
          <w:sz w:val="21"/>
        </w:rPr>
        <w:t>he mobilisation of its replacement, the Basic Education Quality and Access in Laos (BEQUAL) Progra</w:t>
      </w:r>
      <w:r w:rsidR="00342E12">
        <w:rPr>
          <w:rFonts w:ascii="Franklin Gothic Book" w:eastAsia="Times New Roman" w:hAnsi="Franklin Gothic Book"/>
          <w:sz w:val="21"/>
        </w:rPr>
        <w:t>m</w:t>
      </w:r>
      <w:r w:rsidR="00E21B4B" w:rsidRPr="00342E12">
        <w:rPr>
          <w:rFonts w:ascii="Franklin Gothic Book" w:eastAsia="Times New Roman" w:hAnsi="Franklin Gothic Book"/>
          <w:sz w:val="21"/>
        </w:rPr>
        <w:t xml:space="preserve"> </w:t>
      </w:r>
      <w:r w:rsidR="00F726F9">
        <w:rPr>
          <w:rFonts w:ascii="Franklin Gothic Book" w:eastAsia="Times New Roman" w:hAnsi="Franklin Gothic Book"/>
          <w:sz w:val="21"/>
        </w:rPr>
        <w:t xml:space="preserve">did not commence until </w:t>
      </w:r>
      <w:r w:rsidR="00E21B4B" w:rsidRPr="00342E12">
        <w:rPr>
          <w:rFonts w:ascii="Franklin Gothic Book" w:eastAsia="Times New Roman" w:hAnsi="Franklin Gothic Book"/>
          <w:sz w:val="21"/>
        </w:rPr>
        <w:t>May 2015</w:t>
      </w:r>
      <w:r w:rsidRPr="00342E12">
        <w:rPr>
          <w:rFonts w:ascii="Franklin Gothic Book" w:eastAsia="Times New Roman" w:hAnsi="Franklin Gothic Book"/>
          <w:sz w:val="21"/>
        </w:rPr>
        <w:t>. Th</w:t>
      </w:r>
      <w:r w:rsidR="00342E12">
        <w:rPr>
          <w:rFonts w:ascii="Franklin Gothic Book" w:eastAsia="Times New Roman" w:hAnsi="Franklin Gothic Book"/>
          <w:sz w:val="21"/>
        </w:rPr>
        <w:t>is</w:t>
      </w:r>
      <w:r w:rsidRPr="00342E12">
        <w:rPr>
          <w:rFonts w:ascii="Franklin Gothic Book" w:eastAsia="Times New Roman" w:hAnsi="Franklin Gothic Book"/>
          <w:sz w:val="21"/>
        </w:rPr>
        <w:t xml:space="preserve"> meant that </w:t>
      </w:r>
      <w:r w:rsidR="00E21B4B" w:rsidRPr="00342E12">
        <w:rPr>
          <w:rFonts w:ascii="Franklin Gothic Book" w:eastAsia="Times New Roman" w:hAnsi="Franklin Gothic Book"/>
          <w:sz w:val="21"/>
        </w:rPr>
        <w:t xml:space="preserve">neither </w:t>
      </w:r>
      <w:r w:rsidR="00342E12">
        <w:rPr>
          <w:rFonts w:ascii="Franklin Gothic Book" w:eastAsia="Times New Roman" w:hAnsi="Franklin Gothic Book"/>
          <w:sz w:val="21"/>
        </w:rPr>
        <w:t xml:space="preserve">program could </w:t>
      </w:r>
      <w:r w:rsidR="00E21B4B" w:rsidRPr="00342E12">
        <w:rPr>
          <w:rFonts w:ascii="Franklin Gothic Book" w:eastAsia="Times New Roman" w:hAnsi="Franklin Gothic Book"/>
          <w:sz w:val="21"/>
        </w:rPr>
        <w:t>contribute to substantive development outputs during the reporting period.</w:t>
      </w:r>
    </w:p>
    <w:p w:rsidR="00A20FE5" w:rsidRPr="00962508" w:rsidRDefault="006B5C41" w:rsidP="00BA6957">
      <w:pPr>
        <w:spacing w:after="180" w:line="280" w:lineRule="exact"/>
        <w:rPr>
          <w:rFonts w:ascii="Franklin Gothic Book" w:eastAsia="Times New Roman" w:hAnsi="Franklin Gothic Book"/>
          <w:sz w:val="21"/>
        </w:rPr>
      </w:pPr>
      <w:r w:rsidRPr="00342E12">
        <w:rPr>
          <w:rFonts w:ascii="Franklin Gothic Book" w:eastAsia="Times New Roman" w:hAnsi="Franklin Gothic Book"/>
          <w:sz w:val="21"/>
        </w:rPr>
        <w:t xml:space="preserve">While </w:t>
      </w:r>
      <w:r w:rsidR="003B718F" w:rsidRPr="00342E12">
        <w:rPr>
          <w:rFonts w:ascii="Franklin Gothic Book" w:eastAsia="Times New Roman" w:hAnsi="Franklin Gothic Book"/>
          <w:sz w:val="21"/>
        </w:rPr>
        <w:t xml:space="preserve">net </w:t>
      </w:r>
      <w:r w:rsidR="001D2D62" w:rsidRPr="00342E12">
        <w:rPr>
          <w:rFonts w:ascii="Franklin Gothic Book" w:eastAsia="Times New Roman" w:hAnsi="Franklin Gothic Book"/>
          <w:sz w:val="21"/>
        </w:rPr>
        <w:t>primary school enrolment</w:t>
      </w:r>
      <w:r w:rsidRPr="00342E12">
        <w:rPr>
          <w:rFonts w:ascii="Franklin Gothic Book" w:eastAsia="Times New Roman" w:hAnsi="Franklin Gothic Book"/>
          <w:sz w:val="21"/>
        </w:rPr>
        <w:t xml:space="preserve"> has improved </w:t>
      </w:r>
      <w:r w:rsidR="001D2D62" w:rsidRPr="00342E12">
        <w:rPr>
          <w:rFonts w:ascii="Franklin Gothic Book" w:eastAsia="Times New Roman" w:hAnsi="Franklin Gothic Book"/>
          <w:sz w:val="21"/>
        </w:rPr>
        <w:t>in</w:t>
      </w:r>
      <w:r w:rsidRPr="00342E12">
        <w:rPr>
          <w:rFonts w:ascii="Franklin Gothic Book" w:eastAsia="Times New Roman" w:hAnsi="Franklin Gothic Book"/>
          <w:sz w:val="21"/>
        </w:rPr>
        <w:t xml:space="preserve"> recent years,</w:t>
      </w:r>
      <w:r w:rsidR="004759B1" w:rsidRPr="00342E12">
        <w:rPr>
          <w:rFonts w:ascii="Franklin Gothic Book" w:eastAsia="Times New Roman" w:hAnsi="Franklin Gothic Book"/>
          <w:sz w:val="21"/>
        </w:rPr>
        <w:t xml:space="preserve"> Laos continues to experience</w:t>
      </w:r>
      <w:r w:rsidRPr="00342E12">
        <w:rPr>
          <w:rFonts w:ascii="Franklin Gothic Book" w:eastAsia="Times New Roman" w:hAnsi="Franklin Gothic Book"/>
          <w:sz w:val="21"/>
        </w:rPr>
        <w:t xml:space="preserve"> high rates of dropout</w:t>
      </w:r>
      <w:r w:rsidR="00F6797D" w:rsidRPr="00342E12">
        <w:rPr>
          <w:rFonts w:ascii="Franklin Gothic Book" w:eastAsia="Times New Roman" w:hAnsi="Franklin Gothic Book"/>
          <w:sz w:val="21"/>
        </w:rPr>
        <w:t>s</w:t>
      </w:r>
      <w:r w:rsidR="00C64EB7" w:rsidRPr="00342E12">
        <w:rPr>
          <w:rFonts w:ascii="Franklin Gothic Book" w:eastAsia="Times New Roman" w:hAnsi="Franklin Gothic Book"/>
          <w:sz w:val="21"/>
        </w:rPr>
        <w:t xml:space="preserve"> and </w:t>
      </w:r>
      <w:r w:rsidRPr="00342E12">
        <w:rPr>
          <w:rFonts w:ascii="Franklin Gothic Book" w:eastAsia="Times New Roman" w:hAnsi="Franklin Gothic Book"/>
          <w:sz w:val="21"/>
        </w:rPr>
        <w:t>repetition</w:t>
      </w:r>
      <w:r w:rsidR="00F6797D" w:rsidRPr="00342E12">
        <w:rPr>
          <w:rFonts w:ascii="Franklin Gothic Book" w:eastAsia="Times New Roman" w:hAnsi="Franklin Gothic Book"/>
          <w:sz w:val="21"/>
        </w:rPr>
        <w:t>s</w:t>
      </w:r>
      <w:r w:rsidR="00D77D0D" w:rsidRPr="00342E12">
        <w:rPr>
          <w:rFonts w:ascii="Franklin Gothic Book" w:eastAsia="Times New Roman" w:hAnsi="Franklin Gothic Book"/>
          <w:sz w:val="21"/>
        </w:rPr>
        <w:t xml:space="preserve"> </w:t>
      </w:r>
      <w:r w:rsidR="004759B1" w:rsidRPr="00342E12">
        <w:rPr>
          <w:rFonts w:ascii="Franklin Gothic Book" w:eastAsia="Times New Roman" w:hAnsi="Franklin Gothic Book"/>
          <w:sz w:val="21"/>
        </w:rPr>
        <w:t>and poor learning outcomes.</w:t>
      </w:r>
      <w:r w:rsidRPr="00342E12">
        <w:rPr>
          <w:rFonts w:ascii="Franklin Gothic Book" w:eastAsia="Times New Roman" w:hAnsi="Franklin Gothic Book"/>
          <w:sz w:val="21"/>
        </w:rPr>
        <w:t xml:space="preserve"> Only </w:t>
      </w:r>
      <w:r w:rsidR="00D569EB" w:rsidRPr="00342E12">
        <w:rPr>
          <w:rFonts w:ascii="Franklin Gothic Book" w:eastAsia="Times New Roman" w:hAnsi="Franklin Gothic Book"/>
          <w:sz w:val="21"/>
        </w:rPr>
        <w:t>77.8</w:t>
      </w:r>
      <w:r w:rsidRPr="00342E12">
        <w:rPr>
          <w:rFonts w:ascii="Franklin Gothic Book" w:eastAsia="Times New Roman" w:hAnsi="Franklin Gothic Book"/>
          <w:sz w:val="21"/>
        </w:rPr>
        <w:t xml:space="preserve"> per cent of students </w:t>
      </w:r>
      <w:r w:rsidR="00A20FE5" w:rsidRPr="00342E12">
        <w:rPr>
          <w:rFonts w:ascii="Franklin Gothic Book" w:eastAsia="Times New Roman" w:hAnsi="Franklin Gothic Book"/>
          <w:sz w:val="21"/>
        </w:rPr>
        <w:t>(</w:t>
      </w:r>
      <w:r w:rsidR="00F815A6" w:rsidRPr="00342E12">
        <w:rPr>
          <w:rFonts w:ascii="Franklin Gothic Book" w:eastAsia="Times New Roman" w:hAnsi="Franklin Gothic Book"/>
          <w:sz w:val="21"/>
        </w:rPr>
        <w:t xml:space="preserve">up </w:t>
      </w:r>
      <w:r w:rsidR="00A20FE5" w:rsidRPr="00342E12">
        <w:rPr>
          <w:rFonts w:ascii="Franklin Gothic Book" w:eastAsia="Times New Roman" w:hAnsi="Franklin Gothic Book"/>
          <w:sz w:val="21"/>
        </w:rPr>
        <w:t xml:space="preserve">from 77.5 per cent in 2013-14) </w:t>
      </w:r>
      <w:r w:rsidRPr="00342E12">
        <w:rPr>
          <w:rFonts w:ascii="Franklin Gothic Book" w:eastAsia="Times New Roman" w:hAnsi="Franklin Gothic Book"/>
          <w:sz w:val="21"/>
        </w:rPr>
        <w:t xml:space="preserve">complete a full five years of primary </w:t>
      </w:r>
      <w:r w:rsidR="006C5E1A" w:rsidRPr="00342E12">
        <w:rPr>
          <w:rFonts w:ascii="Franklin Gothic Book" w:eastAsia="Times New Roman" w:hAnsi="Franklin Gothic Book"/>
          <w:sz w:val="21"/>
        </w:rPr>
        <w:t>education</w:t>
      </w:r>
      <w:r w:rsidRPr="00342E12">
        <w:rPr>
          <w:rFonts w:ascii="Franklin Gothic Book" w:eastAsia="Times New Roman" w:hAnsi="Franklin Gothic Book"/>
          <w:sz w:val="21"/>
        </w:rPr>
        <w:t xml:space="preserve">. </w:t>
      </w:r>
      <w:r w:rsidR="00157605" w:rsidRPr="00342E12">
        <w:rPr>
          <w:rFonts w:ascii="Franklin Gothic Book" w:eastAsia="Times New Roman" w:hAnsi="Franklin Gothic Book"/>
          <w:sz w:val="21"/>
        </w:rPr>
        <w:t>Quality is poor with o</w:t>
      </w:r>
      <w:r w:rsidR="00A61172" w:rsidRPr="00342E12">
        <w:rPr>
          <w:rFonts w:ascii="Franklin Gothic Book" w:eastAsia="Times New Roman" w:hAnsi="Franklin Gothic Book"/>
          <w:sz w:val="21"/>
        </w:rPr>
        <w:t>nly 42 per cent of those who reach</w:t>
      </w:r>
      <w:r w:rsidR="00157605" w:rsidRPr="00342E12">
        <w:rPr>
          <w:rFonts w:ascii="Franklin Gothic Book" w:eastAsia="Times New Roman" w:hAnsi="Franklin Gothic Book"/>
          <w:sz w:val="21"/>
        </w:rPr>
        <w:t xml:space="preserve"> Grade 5 able to read fluently and understand what they have read.</w:t>
      </w:r>
      <w:r w:rsidR="006C5E1A" w:rsidRPr="00342E12">
        <w:rPr>
          <w:rStyle w:val="EndnoteReference"/>
          <w:rFonts w:eastAsia="Times New Roman"/>
        </w:rPr>
        <w:endnoteReference w:id="6"/>
      </w:r>
      <w:r w:rsidR="00157605" w:rsidRPr="00342E12">
        <w:rPr>
          <w:rFonts w:ascii="Franklin Gothic Book" w:eastAsia="Times New Roman" w:hAnsi="Franklin Gothic Book"/>
          <w:sz w:val="21"/>
        </w:rPr>
        <w:t xml:space="preserve"> </w:t>
      </w:r>
      <w:r w:rsidR="000F3128" w:rsidRPr="00342E12">
        <w:rPr>
          <w:rFonts w:ascii="Franklin Gothic Book" w:eastAsia="Times New Roman" w:hAnsi="Franklin Gothic Book"/>
          <w:sz w:val="21"/>
        </w:rPr>
        <w:t>There has been progress towards</w:t>
      </w:r>
      <w:r w:rsidR="00A20FE5" w:rsidRPr="00342E12">
        <w:rPr>
          <w:rFonts w:ascii="Franklin Gothic Book" w:eastAsia="Times New Roman" w:hAnsi="Franklin Gothic Book"/>
          <w:sz w:val="21"/>
        </w:rPr>
        <w:t xml:space="preserve"> achieving gender parity in primary education</w:t>
      </w:r>
      <w:r w:rsidR="000F3128" w:rsidRPr="00342E12">
        <w:rPr>
          <w:rFonts w:ascii="Franklin Gothic Book" w:eastAsia="Times New Roman" w:hAnsi="Franklin Gothic Book"/>
          <w:sz w:val="21"/>
        </w:rPr>
        <w:t>,</w:t>
      </w:r>
      <w:r w:rsidR="00A20FE5" w:rsidRPr="00342E12">
        <w:rPr>
          <w:rFonts w:ascii="Franklin Gothic Book" w:eastAsia="Times New Roman" w:hAnsi="Franklin Gothic Book"/>
          <w:sz w:val="21"/>
        </w:rPr>
        <w:t xml:space="preserve"> with 97 girls for every 100 boys </w:t>
      </w:r>
      <w:r w:rsidR="009E7F61" w:rsidRPr="00342E12">
        <w:rPr>
          <w:rFonts w:ascii="Franklin Gothic Book" w:eastAsia="Times New Roman" w:hAnsi="Franklin Gothic Book"/>
          <w:sz w:val="21"/>
        </w:rPr>
        <w:t>starting primary school</w:t>
      </w:r>
      <w:r w:rsidR="00157605" w:rsidRPr="00342E12">
        <w:rPr>
          <w:rFonts w:ascii="Franklin Gothic Book" w:eastAsia="Times New Roman" w:hAnsi="Franklin Gothic Book"/>
          <w:sz w:val="21"/>
        </w:rPr>
        <w:t xml:space="preserve">. </w:t>
      </w:r>
      <w:r w:rsidR="00342E12">
        <w:rPr>
          <w:rFonts w:ascii="Franklin Gothic Book" w:eastAsia="Times New Roman" w:hAnsi="Franklin Gothic Book"/>
          <w:sz w:val="21"/>
        </w:rPr>
        <w:t>However, w</w:t>
      </w:r>
      <w:r w:rsidR="00157605" w:rsidRPr="00342E12">
        <w:rPr>
          <w:rFonts w:ascii="Franklin Gothic Book" w:eastAsia="Times New Roman" w:hAnsi="Franklin Gothic Book"/>
          <w:sz w:val="21"/>
        </w:rPr>
        <w:t>hile girls are more l</w:t>
      </w:r>
      <w:r w:rsidR="001849A3" w:rsidRPr="00342E12">
        <w:rPr>
          <w:rFonts w:ascii="Franklin Gothic Book" w:eastAsia="Times New Roman" w:hAnsi="Franklin Gothic Book"/>
          <w:sz w:val="21"/>
        </w:rPr>
        <w:t xml:space="preserve">ikely to complete </w:t>
      </w:r>
      <w:r w:rsidR="00157605" w:rsidRPr="00342E12">
        <w:rPr>
          <w:rFonts w:ascii="Franklin Gothic Book" w:eastAsia="Times New Roman" w:hAnsi="Franklin Gothic Book"/>
          <w:sz w:val="21"/>
        </w:rPr>
        <w:t xml:space="preserve">primary education </w:t>
      </w:r>
      <w:r w:rsidR="00C4292E" w:rsidRPr="00342E12">
        <w:rPr>
          <w:rFonts w:ascii="Franklin Gothic Book" w:eastAsia="Times New Roman" w:hAnsi="Franklin Gothic Book"/>
          <w:sz w:val="21"/>
        </w:rPr>
        <w:t xml:space="preserve">than boys </w:t>
      </w:r>
      <w:r w:rsidR="00157605" w:rsidRPr="00342E12">
        <w:rPr>
          <w:rFonts w:ascii="Franklin Gothic Book" w:eastAsia="Times New Roman" w:hAnsi="Franklin Gothic Book"/>
          <w:sz w:val="21"/>
        </w:rPr>
        <w:t>(</w:t>
      </w:r>
      <w:r w:rsidR="001849A3" w:rsidRPr="00342E12">
        <w:rPr>
          <w:rFonts w:ascii="Franklin Gothic Book" w:eastAsia="Times New Roman" w:hAnsi="Franklin Gothic Book"/>
          <w:sz w:val="21"/>
        </w:rPr>
        <w:t xml:space="preserve">79.2 </w:t>
      </w:r>
      <w:r w:rsidR="00A20FE5" w:rsidRPr="00342E12">
        <w:rPr>
          <w:rFonts w:ascii="Franklin Gothic Book" w:eastAsia="Times New Roman" w:hAnsi="Franklin Gothic Book"/>
          <w:sz w:val="21"/>
        </w:rPr>
        <w:t>per cent of girls reach grade 5</w:t>
      </w:r>
      <w:r w:rsidR="00F42609" w:rsidRPr="00342E12">
        <w:rPr>
          <w:rFonts w:ascii="Franklin Gothic Book" w:eastAsia="Times New Roman" w:hAnsi="Franklin Gothic Book"/>
          <w:sz w:val="21"/>
        </w:rPr>
        <w:t xml:space="preserve"> compared to </w:t>
      </w:r>
      <w:r w:rsidR="001849A3" w:rsidRPr="00342E12">
        <w:rPr>
          <w:rFonts w:ascii="Franklin Gothic Book" w:eastAsia="Times New Roman" w:hAnsi="Franklin Gothic Book"/>
          <w:sz w:val="21"/>
        </w:rPr>
        <w:t xml:space="preserve">76.6 </w:t>
      </w:r>
      <w:r w:rsidR="00F42609" w:rsidRPr="00342E12">
        <w:rPr>
          <w:rFonts w:ascii="Franklin Gothic Book" w:eastAsia="Times New Roman" w:hAnsi="Franklin Gothic Book"/>
          <w:sz w:val="21"/>
        </w:rPr>
        <w:t>per cent of boys)</w:t>
      </w:r>
      <w:r w:rsidR="00157605" w:rsidRPr="00342E12">
        <w:rPr>
          <w:rFonts w:ascii="Franklin Gothic Book" w:eastAsia="Times New Roman" w:hAnsi="Franklin Gothic Book"/>
          <w:sz w:val="21"/>
        </w:rPr>
        <w:t xml:space="preserve">, they are less likely to enrol into secondary </w:t>
      </w:r>
      <w:r w:rsidR="006C5E1A" w:rsidRPr="00342E12">
        <w:rPr>
          <w:rFonts w:ascii="Franklin Gothic Book" w:eastAsia="Times New Roman" w:hAnsi="Franklin Gothic Book"/>
          <w:sz w:val="21"/>
        </w:rPr>
        <w:t>education (gender parity is 0.9</w:t>
      </w:r>
      <w:r w:rsidR="00032C6F" w:rsidRPr="00342E12">
        <w:rPr>
          <w:rFonts w:ascii="Franklin Gothic Book" w:eastAsia="Times New Roman" w:hAnsi="Franklin Gothic Book"/>
          <w:sz w:val="21"/>
        </w:rPr>
        <w:t>5</w:t>
      </w:r>
      <w:r w:rsidR="006C5E1A" w:rsidRPr="00342E12">
        <w:rPr>
          <w:rFonts w:ascii="Franklin Gothic Book" w:eastAsia="Times New Roman" w:hAnsi="Franklin Gothic Book"/>
          <w:sz w:val="21"/>
        </w:rPr>
        <w:t xml:space="preserve"> in lower secondary and 0.8</w:t>
      </w:r>
      <w:r w:rsidR="00032C6F" w:rsidRPr="00342E12">
        <w:rPr>
          <w:rFonts w:ascii="Franklin Gothic Book" w:eastAsia="Times New Roman" w:hAnsi="Franklin Gothic Book"/>
          <w:sz w:val="21"/>
        </w:rPr>
        <w:t>8</w:t>
      </w:r>
      <w:r w:rsidR="006C5E1A" w:rsidRPr="00342E12">
        <w:rPr>
          <w:rFonts w:ascii="Franklin Gothic Book" w:eastAsia="Times New Roman" w:hAnsi="Franklin Gothic Book"/>
          <w:sz w:val="21"/>
        </w:rPr>
        <w:t xml:space="preserve"> in upper secondary).</w:t>
      </w:r>
      <w:r w:rsidR="00157605" w:rsidRPr="00342E12">
        <w:rPr>
          <w:rFonts w:ascii="Franklin Gothic Book" w:eastAsia="Times New Roman" w:hAnsi="Franklin Gothic Book"/>
          <w:sz w:val="21"/>
        </w:rPr>
        <w:t xml:space="preserve"> </w:t>
      </w:r>
      <w:r w:rsidR="006C5E1A" w:rsidRPr="00342E12">
        <w:rPr>
          <w:rFonts w:ascii="Franklin Gothic Book" w:eastAsia="Times New Roman" w:hAnsi="Franklin Gothic Book"/>
          <w:sz w:val="21"/>
        </w:rPr>
        <w:t>D</w:t>
      </w:r>
      <w:r w:rsidR="00157605" w:rsidRPr="00342E12">
        <w:rPr>
          <w:rFonts w:ascii="Franklin Gothic Book" w:eastAsia="Times New Roman" w:hAnsi="Franklin Gothic Book"/>
          <w:sz w:val="21"/>
        </w:rPr>
        <w:t xml:space="preserve">isparities continue to widen </w:t>
      </w:r>
      <w:r w:rsidR="006C5E1A" w:rsidRPr="00342E12">
        <w:rPr>
          <w:rFonts w:ascii="Franklin Gothic Book" w:eastAsia="Times New Roman" w:hAnsi="Franklin Gothic Book"/>
          <w:sz w:val="21"/>
        </w:rPr>
        <w:t xml:space="preserve">significantly </w:t>
      </w:r>
      <w:r w:rsidR="00157605" w:rsidRPr="00342E12">
        <w:rPr>
          <w:rFonts w:ascii="Franklin Gothic Book" w:eastAsia="Times New Roman" w:hAnsi="Franklin Gothic Book"/>
          <w:sz w:val="21"/>
        </w:rPr>
        <w:t xml:space="preserve">at the tertiary </w:t>
      </w:r>
      <w:r w:rsidR="006C5E1A" w:rsidRPr="00342E12">
        <w:rPr>
          <w:rFonts w:ascii="Franklin Gothic Book" w:eastAsia="Times New Roman" w:hAnsi="Franklin Gothic Book"/>
          <w:sz w:val="21"/>
        </w:rPr>
        <w:t>and</w:t>
      </w:r>
      <w:r w:rsidR="006C5E1A" w:rsidRPr="00812293">
        <w:rPr>
          <w:rFonts w:ascii="Franklin Gothic Book" w:eastAsia="Times New Roman" w:hAnsi="Franklin Gothic Book"/>
          <w:sz w:val="21"/>
        </w:rPr>
        <w:t xml:space="preserve"> vocational </w:t>
      </w:r>
      <w:r w:rsidR="00157605" w:rsidRPr="00812293">
        <w:rPr>
          <w:rFonts w:ascii="Franklin Gothic Book" w:eastAsia="Times New Roman" w:hAnsi="Franklin Gothic Book"/>
          <w:sz w:val="21"/>
        </w:rPr>
        <w:t>levels</w:t>
      </w:r>
      <w:r w:rsidR="006C5E1A" w:rsidRPr="00812293">
        <w:rPr>
          <w:rFonts w:ascii="Franklin Gothic Book" w:eastAsia="Times New Roman" w:hAnsi="Franklin Gothic Book"/>
          <w:sz w:val="21"/>
        </w:rPr>
        <w:t xml:space="preserve"> of the education system, with gender parity rates of 0.</w:t>
      </w:r>
      <w:r w:rsidR="00032C6F" w:rsidRPr="00812293">
        <w:rPr>
          <w:rFonts w:ascii="Franklin Gothic Book" w:eastAsia="Times New Roman" w:hAnsi="Franklin Gothic Book"/>
          <w:sz w:val="21"/>
        </w:rPr>
        <w:t>74</w:t>
      </w:r>
      <w:r w:rsidR="006C5E1A" w:rsidRPr="00812293">
        <w:rPr>
          <w:rFonts w:ascii="Franklin Gothic Book" w:eastAsia="Times New Roman" w:hAnsi="Franklin Gothic Book"/>
          <w:sz w:val="21"/>
        </w:rPr>
        <w:t xml:space="preserve"> and 0.6</w:t>
      </w:r>
      <w:r w:rsidR="00032C6F" w:rsidRPr="00812293">
        <w:rPr>
          <w:rFonts w:ascii="Franklin Gothic Book" w:eastAsia="Times New Roman" w:hAnsi="Franklin Gothic Book"/>
          <w:sz w:val="21"/>
        </w:rPr>
        <w:t>0</w:t>
      </w:r>
      <w:r w:rsidR="006C5E1A" w:rsidRPr="00812293">
        <w:rPr>
          <w:rFonts w:ascii="Franklin Gothic Book" w:eastAsia="Times New Roman" w:hAnsi="Franklin Gothic Book"/>
          <w:sz w:val="21"/>
        </w:rPr>
        <w:t xml:space="preserve"> respectively.</w:t>
      </w:r>
    </w:p>
    <w:p w:rsidR="00D5319E" w:rsidRDefault="00A01DD0" w:rsidP="00BA6957">
      <w:pPr>
        <w:spacing w:after="180" w:line="280" w:lineRule="exact"/>
        <w:rPr>
          <w:rFonts w:ascii="Franklin Gothic Book" w:eastAsia="Times New Roman" w:hAnsi="Franklin Gothic Book"/>
          <w:iCs/>
          <w:sz w:val="21"/>
          <w:szCs w:val="21"/>
        </w:rPr>
      </w:pPr>
      <w:r w:rsidRPr="00962508">
        <w:rPr>
          <w:rFonts w:ascii="Franklin Gothic Book" w:eastAsia="Times New Roman" w:hAnsi="Franklin Gothic Book"/>
          <w:sz w:val="21"/>
        </w:rPr>
        <w:t>BEQUAL</w:t>
      </w:r>
      <w:r w:rsidR="00BD114D" w:rsidRPr="00962508">
        <w:rPr>
          <w:rFonts w:ascii="Franklin Gothic Book" w:eastAsia="Times New Roman" w:hAnsi="Franklin Gothic Book"/>
          <w:sz w:val="21"/>
        </w:rPr>
        <w:t xml:space="preserve"> </w:t>
      </w:r>
      <w:r w:rsidR="007F2DCF" w:rsidRPr="00962508">
        <w:rPr>
          <w:rFonts w:ascii="Franklin Gothic Book" w:eastAsia="Times New Roman" w:hAnsi="Franklin Gothic Book"/>
          <w:sz w:val="21"/>
        </w:rPr>
        <w:t xml:space="preserve">represents a shift in Australia’s approach, from </w:t>
      </w:r>
      <w:r w:rsidR="000F3128">
        <w:rPr>
          <w:rFonts w:ascii="Franklin Gothic Book" w:eastAsia="Times New Roman" w:hAnsi="Franklin Gothic Book"/>
          <w:sz w:val="21"/>
        </w:rPr>
        <w:t xml:space="preserve">funding projects managed by </w:t>
      </w:r>
      <w:r w:rsidR="00E24603">
        <w:rPr>
          <w:rFonts w:ascii="Franklin Gothic Book" w:eastAsia="Times New Roman" w:hAnsi="Franklin Gothic Book"/>
          <w:sz w:val="21"/>
        </w:rPr>
        <w:t>multilateral organisations</w:t>
      </w:r>
      <w:r w:rsidR="007F2DCF" w:rsidRPr="00962508">
        <w:rPr>
          <w:rFonts w:ascii="Franklin Gothic Book" w:eastAsia="Times New Roman" w:hAnsi="Franklin Gothic Book"/>
          <w:sz w:val="21"/>
        </w:rPr>
        <w:t xml:space="preserve"> to </w:t>
      </w:r>
      <w:r w:rsidR="000F3128">
        <w:rPr>
          <w:rFonts w:ascii="Franklin Gothic Book" w:eastAsia="Times New Roman" w:hAnsi="Franklin Gothic Book"/>
          <w:sz w:val="21"/>
        </w:rPr>
        <w:t>implementing activities directly</w:t>
      </w:r>
      <w:r w:rsidR="007F2DCF" w:rsidRPr="00962508">
        <w:rPr>
          <w:rFonts w:ascii="Franklin Gothic Book" w:eastAsia="Times New Roman" w:hAnsi="Franklin Gothic Book"/>
          <w:sz w:val="21"/>
        </w:rPr>
        <w:t xml:space="preserve"> with the </w:t>
      </w:r>
      <w:r w:rsidR="003B718F" w:rsidRPr="00962508">
        <w:rPr>
          <w:rFonts w:ascii="Franklin Gothic Book" w:eastAsia="Times New Roman" w:hAnsi="Franklin Gothic Book"/>
          <w:sz w:val="21"/>
        </w:rPr>
        <w:t xml:space="preserve">Lao </w:t>
      </w:r>
      <w:r w:rsidR="007F2DCF" w:rsidRPr="00962508">
        <w:rPr>
          <w:rFonts w:ascii="Franklin Gothic Book" w:eastAsia="Times New Roman" w:hAnsi="Franklin Gothic Book"/>
          <w:sz w:val="21"/>
        </w:rPr>
        <w:t>Government</w:t>
      </w:r>
      <w:r w:rsidR="003B718F" w:rsidRPr="00962508">
        <w:rPr>
          <w:rFonts w:ascii="Franklin Gothic Book" w:eastAsia="Times New Roman" w:hAnsi="Franklin Gothic Book"/>
          <w:sz w:val="21"/>
        </w:rPr>
        <w:t>.</w:t>
      </w:r>
      <w:r w:rsidR="00A36BFF" w:rsidRPr="00962508">
        <w:rPr>
          <w:rFonts w:ascii="Franklin Gothic Book" w:eastAsia="Times New Roman" w:hAnsi="Franklin Gothic Book"/>
          <w:sz w:val="21"/>
        </w:rPr>
        <w:t xml:space="preserve"> </w:t>
      </w:r>
      <w:r w:rsidR="007722F4">
        <w:rPr>
          <w:rFonts w:ascii="Franklin Gothic Book" w:eastAsia="Times New Roman" w:hAnsi="Franklin Gothic Book"/>
          <w:sz w:val="21"/>
        </w:rPr>
        <w:t xml:space="preserve">To improve the visibility and sustainability of Australian aid, </w:t>
      </w:r>
      <w:r w:rsidR="00507C50" w:rsidRPr="00962508">
        <w:rPr>
          <w:rFonts w:ascii="Franklin Gothic Book" w:eastAsia="Times New Roman" w:hAnsi="Franklin Gothic Book"/>
          <w:sz w:val="21"/>
        </w:rPr>
        <w:t xml:space="preserve">BEQUAL </w:t>
      </w:r>
      <w:r w:rsidR="001F7D24">
        <w:rPr>
          <w:rFonts w:ascii="Franklin Gothic Book" w:eastAsia="Times New Roman" w:hAnsi="Franklin Gothic Book"/>
          <w:sz w:val="21"/>
        </w:rPr>
        <w:t>has been designed</w:t>
      </w:r>
      <w:r w:rsidR="0000311E" w:rsidRPr="00962508">
        <w:rPr>
          <w:rFonts w:ascii="Franklin Gothic Book" w:eastAsia="Times New Roman" w:hAnsi="Franklin Gothic Book"/>
          <w:sz w:val="21"/>
        </w:rPr>
        <w:t xml:space="preserve"> to support the Ministry</w:t>
      </w:r>
      <w:r w:rsidR="00F815A6">
        <w:rPr>
          <w:rFonts w:ascii="Franklin Gothic Book" w:eastAsia="Times New Roman" w:hAnsi="Franklin Gothic Book"/>
          <w:sz w:val="21"/>
        </w:rPr>
        <w:t xml:space="preserve"> of Education and Sports’ (MoES)</w:t>
      </w:r>
      <w:r w:rsidR="00507C50" w:rsidRPr="00962508">
        <w:rPr>
          <w:rFonts w:ascii="Franklin Gothic Book" w:eastAsia="Times New Roman" w:hAnsi="Franklin Gothic Book"/>
          <w:sz w:val="21"/>
        </w:rPr>
        <w:t xml:space="preserve"> priorities, </w:t>
      </w:r>
      <w:r w:rsidR="00D5319E" w:rsidRPr="00962508">
        <w:rPr>
          <w:rFonts w:ascii="Franklin Gothic Book" w:eastAsia="Times New Roman" w:hAnsi="Franklin Gothic Book"/>
          <w:sz w:val="21"/>
        </w:rPr>
        <w:t xml:space="preserve">using </w:t>
      </w:r>
      <w:r w:rsidR="007722F4">
        <w:rPr>
          <w:rFonts w:ascii="Franklin Gothic Book" w:eastAsia="Times New Roman" w:hAnsi="Franklin Gothic Book"/>
          <w:sz w:val="21"/>
        </w:rPr>
        <w:t>its</w:t>
      </w:r>
      <w:r w:rsidR="007722F4" w:rsidRPr="00962508">
        <w:rPr>
          <w:rFonts w:ascii="Franklin Gothic Book" w:eastAsia="Times New Roman" w:hAnsi="Franklin Gothic Book"/>
          <w:sz w:val="21"/>
        </w:rPr>
        <w:t xml:space="preserve"> </w:t>
      </w:r>
      <w:r w:rsidR="00D5319E" w:rsidRPr="00962508">
        <w:rPr>
          <w:rFonts w:ascii="Franklin Gothic Book" w:eastAsia="Times New Roman" w:hAnsi="Franklin Gothic Book"/>
          <w:sz w:val="21"/>
        </w:rPr>
        <w:t>systems</w:t>
      </w:r>
      <w:r w:rsidR="00342E12">
        <w:rPr>
          <w:rFonts w:ascii="Franklin Gothic Book" w:eastAsia="Times New Roman" w:hAnsi="Franklin Gothic Book"/>
          <w:sz w:val="21"/>
        </w:rPr>
        <w:t xml:space="preserve"> </w:t>
      </w:r>
      <w:r w:rsidR="00D5319E" w:rsidRPr="00962508">
        <w:rPr>
          <w:rFonts w:ascii="Franklin Gothic Book" w:eastAsia="Times New Roman" w:hAnsi="Franklin Gothic Book"/>
          <w:sz w:val="21"/>
        </w:rPr>
        <w:t>wherever possible</w:t>
      </w:r>
      <w:r w:rsidR="008E1C80" w:rsidRPr="00962508">
        <w:rPr>
          <w:rFonts w:ascii="Franklin Gothic Book" w:eastAsia="Times New Roman" w:hAnsi="Franklin Gothic Book"/>
          <w:sz w:val="21"/>
        </w:rPr>
        <w:t xml:space="preserve">. </w:t>
      </w:r>
      <w:r w:rsidR="007722F4">
        <w:rPr>
          <w:rFonts w:ascii="Franklin Gothic Book" w:eastAsia="Times New Roman" w:hAnsi="Franklin Gothic Book"/>
          <w:sz w:val="21"/>
        </w:rPr>
        <w:t xml:space="preserve">We will also </w:t>
      </w:r>
      <w:r w:rsidR="003B68AB" w:rsidRPr="00962508">
        <w:rPr>
          <w:rFonts w:ascii="Franklin Gothic Book" w:eastAsia="Times New Roman" w:hAnsi="Franklin Gothic Book"/>
          <w:iCs/>
          <w:sz w:val="21"/>
          <w:szCs w:val="21"/>
        </w:rPr>
        <w:t>draw on the expertise of</w:t>
      </w:r>
      <w:r w:rsidR="003C7DB3" w:rsidRPr="00962508">
        <w:rPr>
          <w:rFonts w:ascii="Franklin Gothic Book" w:eastAsia="Times New Roman" w:hAnsi="Franklin Gothic Book"/>
          <w:iCs/>
          <w:sz w:val="21"/>
          <w:szCs w:val="21"/>
        </w:rPr>
        <w:t xml:space="preserve"> the United Nations Children’s Fund (</w:t>
      </w:r>
      <w:r w:rsidR="003B68AB" w:rsidRPr="00962508">
        <w:rPr>
          <w:rFonts w:ascii="Franklin Gothic Book" w:eastAsia="Times New Roman" w:hAnsi="Franklin Gothic Book"/>
          <w:iCs/>
          <w:sz w:val="21"/>
          <w:szCs w:val="21"/>
        </w:rPr>
        <w:t>UNICEF</w:t>
      </w:r>
      <w:r w:rsidR="003C7DB3" w:rsidRPr="00962508">
        <w:rPr>
          <w:rFonts w:ascii="Franklin Gothic Book" w:eastAsia="Times New Roman" w:hAnsi="Franklin Gothic Book"/>
          <w:iCs/>
          <w:sz w:val="21"/>
          <w:szCs w:val="21"/>
        </w:rPr>
        <w:t>)</w:t>
      </w:r>
      <w:r w:rsidR="00946D8F">
        <w:rPr>
          <w:rFonts w:ascii="Franklin Gothic Book" w:eastAsia="Times New Roman" w:hAnsi="Franklin Gothic Book"/>
          <w:iCs/>
          <w:sz w:val="21"/>
          <w:szCs w:val="21"/>
        </w:rPr>
        <w:t>,</w:t>
      </w:r>
      <w:r w:rsidR="003B68AB" w:rsidRPr="00962508">
        <w:rPr>
          <w:rFonts w:ascii="Franklin Gothic Book" w:eastAsia="Times New Roman" w:hAnsi="Franklin Gothic Book"/>
          <w:iCs/>
          <w:sz w:val="21"/>
          <w:szCs w:val="21"/>
        </w:rPr>
        <w:t xml:space="preserve"> the World Food Programme </w:t>
      </w:r>
      <w:r w:rsidR="003C7DB3" w:rsidRPr="00962508">
        <w:rPr>
          <w:rFonts w:ascii="Franklin Gothic Book" w:eastAsia="Times New Roman" w:hAnsi="Franklin Gothic Book"/>
          <w:iCs/>
          <w:sz w:val="21"/>
          <w:szCs w:val="21"/>
        </w:rPr>
        <w:t xml:space="preserve">(WFP) </w:t>
      </w:r>
      <w:r w:rsidR="003B68AB" w:rsidRPr="00962508">
        <w:rPr>
          <w:rFonts w:ascii="Franklin Gothic Book" w:eastAsia="Times New Roman" w:hAnsi="Franklin Gothic Book"/>
          <w:iCs/>
          <w:sz w:val="21"/>
          <w:szCs w:val="21"/>
        </w:rPr>
        <w:t>and civil society</w:t>
      </w:r>
      <w:r w:rsidR="00507C50" w:rsidRPr="00962508">
        <w:rPr>
          <w:rFonts w:ascii="Franklin Gothic Book" w:eastAsia="Times New Roman" w:hAnsi="Franklin Gothic Book"/>
          <w:iCs/>
          <w:sz w:val="21"/>
          <w:szCs w:val="21"/>
        </w:rPr>
        <w:t>.</w:t>
      </w:r>
    </w:p>
    <w:p w:rsidR="000661E7" w:rsidRDefault="003B68AB" w:rsidP="00BA6957">
      <w:pPr>
        <w:spacing w:after="160" w:line="280" w:lineRule="exact"/>
        <w:rPr>
          <w:rFonts w:ascii="Franklin Gothic Book" w:eastAsia="Times New Roman" w:hAnsi="Franklin Gothic Book"/>
          <w:sz w:val="21"/>
        </w:rPr>
      </w:pPr>
      <w:r w:rsidRPr="00962508">
        <w:rPr>
          <w:rFonts w:ascii="Franklin Gothic Book" w:eastAsia="Times New Roman" w:hAnsi="Franklin Gothic Book"/>
          <w:sz w:val="21"/>
        </w:rPr>
        <w:t xml:space="preserve">Australia and Laos </w:t>
      </w:r>
      <w:r w:rsidR="00346E5B">
        <w:rPr>
          <w:rFonts w:ascii="Franklin Gothic Book" w:eastAsia="Times New Roman" w:hAnsi="Franklin Gothic Book"/>
          <w:sz w:val="21"/>
        </w:rPr>
        <w:t>finalised an implementation agreement</w:t>
      </w:r>
      <w:r w:rsidRPr="00962508">
        <w:rPr>
          <w:rFonts w:ascii="Franklin Gothic Book" w:eastAsia="Times New Roman" w:hAnsi="Franklin Gothic Book"/>
          <w:sz w:val="21"/>
        </w:rPr>
        <w:t xml:space="preserve"> </w:t>
      </w:r>
      <w:r w:rsidR="003C7DB3" w:rsidRPr="00962508">
        <w:rPr>
          <w:rFonts w:ascii="Franklin Gothic Book" w:eastAsia="Times New Roman" w:hAnsi="Franklin Gothic Book"/>
          <w:sz w:val="21"/>
        </w:rPr>
        <w:t>for BEQUAL on 26 January 2015</w:t>
      </w:r>
      <w:r w:rsidR="00F726F9">
        <w:rPr>
          <w:rFonts w:ascii="Franklin Gothic Book" w:eastAsia="Times New Roman" w:hAnsi="Franklin Gothic Book"/>
          <w:sz w:val="21"/>
        </w:rPr>
        <w:t>. H</w:t>
      </w:r>
      <w:r w:rsidR="003C7DB3" w:rsidRPr="00962508">
        <w:rPr>
          <w:rFonts w:ascii="Franklin Gothic Book" w:eastAsia="Times New Roman" w:hAnsi="Franklin Gothic Book"/>
          <w:sz w:val="21"/>
        </w:rPr>
        <w:t>owever</w:t>
      </w:r>
      <w:r w:rsidR="006B20B5" w:rsidRPr="00962508">
        <w:rPr>
          <w:rFonts w:ascii="Franklin Gothic Book" w:eastAsia="Times New Roman" w:hAnsi="Franklin Gothic Book"/>
          <w:sz w:val="21"/>
        </w:rPr>
        <w:t>,</w:t>
      </w:r>
      <w:r w:rsidR="003C7DB3" w:rsidRPr="00962508">
        <w:rPr>
          <w:rFonts w:ascii="Franklin Gothic Book" w:eastAsia="Times New Roman" w:hAnsi="Franklin Gothic Book"/>
          <w:sz w:val="21"/>
        </w:rPr>
        <w:t xml:space="preserve"> </w:t>
      </w:r>
      <w:r w:rsidRPr="00962508">
        <w:rPr>
          <w:rFonts w:ascii="Franklin Gothic Book" w:eastAsia="Times New Roman" w:hAnsi="Franklin Gothic Book"/>
          <w:sz w:val="21"/>
        </w:rPr>
        <w:t xml:space="preserve">the Australian budget </w:t>
      </w:r>
      <w:r w:rsidR="00BD114D">
        <w:rPr>
          <w:rFonts w:ascii="Franklin Gothic Book" w:eastAsia="Times New Roman" w:hAnsi="Franklin Gothic Book"/>
          <w:sz w:val="21"/>
        </w:rPr>
        <w:t xml:space="preserve">process </w:t>
      </w:r>
      <w:r w:rsidRPr="00962508">
        <w:rPr>
          <w:rFonts w:ascii="Franklin Gothic Book" w:eastAsia="Times New Roman" w:hAnsi="Franklin Gothic Book"/>
          <w:sz w:val="21"/>
        </w:rPr>
        <w:t xml:space="preserve">delayed mobilisation of </w:t>
      </w:r>
      <w:r w:rsidR="00A70AB5">
        <w:rPr>
          <w:rFonts w:ascii="Franklin Gothic Book" w:eastAsia="Times New Roman" w:hAnsi="Franklin Gothic Book"/>
          <w:sz w:val="21"/>
        </w:rPr>
        <w:t xml:space="preserve">a managing contractor </w:t>
      </w:r>
      <w:r w:rsidRPr="00962508">
        <w:rPr>
          <w:rFonts w:ascii="Franklin Gothic Book" w:eastAsia="Times New Roman" w:hAnsi="Franklin Gothic Book"/>
          <w:sz w:val="21"/>
        </w:rPr>
        <w:t>until May 2015</w:t>
      </w:r>
      <w:r w:rsidR="00F42609" w:rsidRPr="00962508">
        <w:rPr>
          <w:rFonts w:ascii="Franklin Gothic Book" w:eastAsia="Times New Roman" w:hAnsi="Franklin Gothic Book"/>
          <w:sz w:val="21"/>
        </w:rPr>
        <w:t>. We</w:t>
      </w:r>
      <w:r w:rsidR="00507C50" w:rsidRPr="00962508">
        <w:rPr>
          <w:rFonts w:ascii="Franklin Gothic Book" w:eastAsia="Times New Roman" w:hAnsi="Franklin Gothic Book"/>
          <w:sz w:val="21"/>
        </w:rPr>
        <w:t xml:space="preserve"> </w:t>
      </w:r>
      <w:r w:rsidR="00BD114D">
        <w:rPr>
          <w:rFonts w:ascii="Franklin Gothic Book" w:eastAsia="Times New Roman" w:hAnsi="Franklin Gothic Book"/>
          <w:sz w:val="21"/>
        </w:rPr>
        <w:t>dealt with</w:t>
      </w:r>
      <w:r w:rsidR="00BD114D" w:rsidRPr="00962508">
        <w:rPr>
          <w:rFonts w:ascii="Franklin Gothic Book" w:eastAsia="Times New Roman" w:hAnsi="Franklin Gothic Book"/>
          <w:sz w:val="21"/>
        </w:rPr>
        <w:t xml:space="preserve"> </w:t>
      </w:r>
      <w:r w:rsidR="00F42609" w:rsidRPr="00962508">
        <w:rPr>
          <w:rFonts w:ascii="Franklin Gothic Book" w:eastAsia="Times New Roman" w:hAnsi="Franklin Gothic Book"/>
          <w:sz w:val="21"/>
        </w:rPr>
        <w:t xml:space="preserve">this </w:t>
      </w:r>
      <w:r w:rsidR="00346E5B">
        <w:rPr>
          <w:rFonts w:ascii="Franklin Gothic Book" w:eastAsia="Times New Roman" w:hAnsi="Franklin Gothic Book"/>
          <w:sz w:val="21"/>
        </w:rPr>
        <w:t>through direct engagement</w:t>
      </w:r>
      <w:r w:rsidR="00507C50" w:rsidRPr="00962508">
        <w:rPr>
          <w:rFonts w:ascii="Franklin Gothic Book" w:eastAsia="Times New Roman" w:hAnsi="Franklin Gothic Book"/>
          <w:sz w:val="21"/>
        </w:rPr>
        <w:t xml:space="preserve"> with MoES and</w:t>
      </w:r>
      <w:r w:rsidR="008E1C80" w:rsidRPr="00962508">
        <w:rPr>
          <w:rFonts w:ascii="Franklin Gothic Book" w:eastAsia="Times New Roman" w:hAnsi="Franklin Gothic Book"/>
          <w:sz w:val="21"/>
        </w:rPr>
        <w:t xml:space="preserve"> short-term arrangements with other partners</w:t>
      </w:r>
      <w:r w:rsidR="007722F4">
        <w:rPr>
          <w:rFonts w:ascii="Franklin Gothic Book" w:eastAsia="Times New Roman" w:hAnsi="Franklin Gothic Book"/>
          <w:sz w:val="21"/>
        </w:rPr>
        <w:t>.</w:t>
      </w:r>
      <w:r w:rsidR="008E1C80" w:rsidRPr="00962508">
        <w:rPr>
          <w:rFonts w:ascii="Franklin Gothic Book" w:eastAsia="Times New Roman" w:hAnsi="Franklin Gothic Book"/>
          <w:sz w:val="21"/>
        </w:rPr>
        <w:t xml:space="preserve"> </w:t>
      </w:r>
      <w:r w:rsidR="005B2468" w:rsidRPr="00962508">
        <w:rPr>
          <w:rFonts w:ascii="Franklin Gothic Book" w:eastAsia="Times New Roman" w:hAnsi="Franklin Gothic Book"/>
          <w:sz w:val="21"/>
        </w:rPr>
        <w:t>T</w:t>
      </w:r>
      <w:r w:rsidRPr="00962508">
        <w:rPr>
          <w:rFonts w:ascii="Franklin Gothic Book" w:eastAsia="Times New Roman" w:hAnsi="Franklin Gothic Book"/>
          <w:sz w:val="21"/>
        </w:rPr>
        <w:t xml:space="preserve">he </w:t>
      </w:r>
      <w:r w:rsidR="001F7D24">
        <w:rPr>
          <w:rFonts w:ascii="Franklin Gothic Book" w:eastAsia="Times New Roman" w:hAnsi="Franklin Gothic Book"/>
          <w:sz w:val="21"/>
        </w:rPr>
        <w:t xml:space="preserve">program </w:t>
      </w:r>
      <w:r w:rsidR="007722F4">
        <w:rPr>
          <w:rFonts w:ascii="Franklin Gothic Book" w:eastAsia="Times New Roman" w:hAnsi="Franklin Gothic Book"/>
          <w:sz w:val="21"/>
        </w:rPr>
        <w:t xml:space="preserve">has </w:t>
      </w:r>
      <w:r w:rsidR="0098299A">
        <w:rPr>
          <w:rFonts w:ascii="Franklin Gothic Book" w:eastAsia="Times New Roman" w:hAnsi="Franklin Gothic Book"/>
          <w:sz w:val="21"/>
        </w:rPr>
        <w:t xml:space="preserve">supported </w:t>
      </w:r>
      <w:r w:rsidR="007722F4">
        <w:rPr>
          <w:rFonts w:ascii="Franklin Gothic Book" w:eastAsia="Times New Roman" w:hAnsi="Franklin Gothic Book"/>
          <w:sz w:val="21"/>
        </w:rPr>
        <w:t>MoES</w:t>
      </w:r>
      <w:r w:rsidR="0098299A">
        <w:rPr>
          <w:rFonts w:ascii="Franklin Gothic Book" w:eastAsia="Times New Roman" w:hAnsi="Franklin Gothic Book"/>
          <w:sz w:val="21"/>
        </w:rPr>
        <w:t xml:space="preserve"> to: </w:t>
      </w:r>
      <w:r w:rsidR="007722F4">
        <w:rPr>
          <w:rFonts w:ascii="Franklin Gothic Book" w:eastAsia="Times New Roman" w:hAnsi="Franklin Gothic Book"/>
          <w:sz w:val="21"/>
        </w:rPr>
        <w:t xml:space="preserve">select </w:t>
      </w:r>
      <w:r w:rsidR="003B0D97">
        <w:rPr>
          <w:rFonts w:ascii="Franklin Gothic Book" w:eastAsia="Times New Roman" w:hAnsi="Franklin Gothic Book"/>
          <w:sz w:val="21"/>
        </w:rPr>
        <w:t xml:space="preserve">204 </w:t>
      </w:r>
      <w:r w:rsidRPr="00962508">
        <w:rPr>
          <w:rFonts w:ascii="Franklin Gothic Book" w:eastAsia="Times New Roman" w:hAnsi="Franklin Gothic Book"/>
          <w:sz w:val="21"/>
        </w:rPr>
        <w:t>villages for the</w:t>
      </w:r>
      <w:r w:rsidR="0098299A">
        <w:rPr>
          <w:rFonts w:ascii="Franklin Gothic Book" w:eastAsia="Times New Roman" w:hAnsi="Franklin Gothic Book"/>
          <w:sz w:val="21"/>
        </w:rPr>
        <w:t xml:space="preserve"> </w:t>
      </w:r>
      <w:r w:rsidRPr="00962508">
        <w:rPr>
          <w:rFonts w:ascii="Franklin Gothic Book" w:eastAsia="Times New Roman" w:hAnsi="Franklin Gothic Book"/>
          <w:sz w:val="21"/>
        </w:rPr>
        <w:t xml:space="preserve">first cohort of </w:t>
      </w:r>
      <w:r w:rsidR="003B0D97">
        <w:rPr>
          <w:rFonts w:ascii="Franklin Gothic Book" w:eastAsia="Times New Roman" w:hAnsi="Franklin Gothic Book"/>
          <w:sz w:val="21"/>
        </w:rPr>
        <w:t xml:space="preserve">220 </w:t>
      </w:r>
      <w:r w:rsidRPr="00962508">
        <w:rPr>
          <w:rFonts w:ascii="Franklin Gothic Book" w:eastAsia="Times New Roman" w:hAnsi="Franklin Gothic Book"/>
          <w:sz w:val="21"/>
        </w:rPr>
        <w:t xml:space="preserve">teacher scholarships </w:t>
      </w:r>
      <w:r w:rsidR="003B0D97">
        <w:rPr>
          <w:rFonts w:ascii="Franklin Gothic Book" w:eastAsia="Times New Roman" w:hAnsi="Franklin Gothic Book"/>
          <w:sz w:val="21"/>
        </w:rPr>
        <w:t xml:space="preserve">(140 women, </w:t>
      </w:r>
      <w:r w:rsidR="00946D8F">
        <w:rPr>
          <w:rFonts w:ascii="Franklin Gothic Book" w:eastAsia="Times New Roman" w:hAnsi="Franklin Gothic Book"/>
          <w:sz w:val="21"/>
        </w:rPr>
        <w:t>achieving</w:t>
      </w:r>
      <w:r w:rsidR="003B0D97">
        <w:rPr>
          <w:rFonts w:ascii="Franklin Gothic Book" w:eastAsia="Times New Roman" w:hAnsi="Franklin Gothic Book"/>
          <w:sz w:val="21"/>
        </w:rPr>
        <w:t xml:space="preserve"> the target of 60 per cent of the scholarship</w:t>
      </w:r>
      <w:r w:rsidR="007722F4">
        <w:rPr>
          <w:rFonts w:ascii="Franklin Gothic Book" w:eastAsia="Times New Roman" w:hAnsi="Franklin Gothic Book"/>
          <w:sz w:val="21"/>
        </w:rPr>
        <w:t>s</w:t>
      </w:r>
      <w:r w:rsidR="003B0D97">
        <w:rPr>
          <w:rFonts w:ascii="Franklin Gothic Book" w:eastAsia="Times New Roman" w:hAnsi="Franklin Gothic Book"/>
          <w:sz w:val="21"/>
        </w:rPr>
        <w:t xml:space="preserve">) </w:t>
      </w:r>
      <w:r w:rsidR="00E24603">
        <w:rPr>
          <w:rFonts w:ascii="Franklin Gothic Book" w:eastAsia="Times New Roman" w:hAnsi="Franklin Gothic Book"/>
          <w:sz w:val="21"/>
        </w:rPr>
        <w:t>to address shortages in rural communities</w:t>
      </w:r>
      <w:r w:rsidR="0098299A">
        <w:rPr>
          <w:rFonts w:ascii="Franklin Gothic Book" w:eastAsia="Times New Roman" w:hAnsi="Franklin Gothic Book"/>
          <w:sz w:val="21"/>
        </w:rPr>
        <w:t>;</w:t>
      </w:r>
      <w:r w:rsidR="00F42609" w:rsidRPr="00962508">
        <w:rPr>
          <w:rFonts w:ascii="Franklin Gothic Book" w:eastAsia="Times New Roman" w:hAnsi="Franklin Gothic Book"/>
          <w:sz w:val="21"/>
        </w:rPr>
        <w:t xml:space="preserve"> </w:t>
      </w:r>
      <w:r w:rsidR="00A70AB5">
        <w:rPr>
          <w:rFonts w:ascii="Franklin Gothic Book" w:eastAsia="Times New Roman" w:hAnsi="Franklin Gothic Book"/>
          <w:sz w:val="21"/>
        </w:rPr>
        <w:t>develop</w:t>
      </w:r>
      <w:r w:rsidR="00A70AB5" w:rsidRPr="00962508">
        <w:rPr>
          <w:rFonts w:ascii="Franklin Gothic Book" w:eastAsia="Times New Roman" w:hAnsi="Franklin Gothic Book"/>
          <w:sz w:val="21"/>
        </w:rPr>
        <w:t xml:space="preserve"> </w:t>
      </w:r>
      <w:r w:rsidR="00F42609" w:rsidRPr="00962508">
        <w:rPr>
          <w:rFonts w:ascii="Franklin Gothic Book" w:eastAsia="Times New Roman" w:hAnsi="Franklin Gothic Book"/>
          <w:sz w:val="21"/>
        </w:rPr>
        <w:t>strategies for</w:t>
      </w:r>
      <w:r w:rsidR="006B20B5" w:rsidRPr="00962508">
        <w:rPr>
          <w:rFonts w:ascii="Franklin Gothic Book" w:eastAsia="Times New Roman" w:hAnsi="Franklin Gothic Book"/>
          <w:sz w:val="21"/>
        </w:rPr>
        <w:t xml:space="preserve"> improving teacher training</w:t>
      </w:r>
      <w:r w:rsidR="003B0D97">
        <w:rPr>
          <w:rFonts w:ascii="Franklin Gothic Book" w:eastAsia="Times New Roman" w:hAnsi="Franklin Gothic Book"/>
          <w:sz w:val="21"/>
        </w:rPr>
        <w:t>;</w:t>
      </w:r>
      <w:r w:rsidR="00F42609" w:rsidRPr="00962508">
        <w:rPr>
          <w:rFonts w:ascii="Franklin Gothic Book" w:eastAsia="Times New Roman" w:hAnsi="Franklin Gothic Book"/>
          <w:sz w:val="21"/>
        </w:rPr>
        <w:t xml:space="preserve"> </w:t>
      </w:r>
      <w:r w:rsidR="006B20B5" w:rsidRPr="00962508">
        <w:rPr>
          <w:rFonts w:ascii="Franklin Gothic Book" w:eastAsia="Times New Roman" w:hAnsi="Franklin Gothic Book"/>
          <w:sz w:val="21"/>
        </w:rPr>
        <w:t>revis</w:t>
      </w:r>
      <w:r w:rsidR="007722F4">
        <w:rPr>
          <w:rFonts w:ascii="Franklin Gothic Book" w:eastAsia="Times New Roman" w:hAnsi="Franklin Gothic Book"/>
          <w:sz w:val="21"/>
        </w:rPr>
        <w:t>e</w:t>
      </w:r>
      <w:r w:rsidR="006B20B5" w:rsidRPr="00962508">
        <w:rPr>
          <w:rFonts w:ascii="Franklin Gothic Book" w:eastAsia="Times New Roman" w:hAnsi="Franklin Gothic Book"/>
          <w:sz w:val="21"/>
        </w:rPr>
        <w:t xml:space="preserve"> the</w:t>
      </w:r>
      <w:r w:rsidR="00507C50" w:rsidRPr="00962508">
        <w:rPr>
          <w:rFonts w:ascii="Franklin Gothic Book" w:eastAsia="Times New Roman" w:hAnsi="Franklin Gothic Book"/>
          <w:sz w:val="21"/>
        </w:rPr>
        <w:t xml:space="preserve"> primary curriculum</w:t>
      </w:r>
      <w:r w:rsidR="003B0D97">
        <w:rPr>
          <w:rFonts w:ascii="Franklin Gothic Book" w:eastAsia="Times New Roman" w:hAnsi="Franklin Gothic Book"/>
          <w:sz w:val="21"/>
        </w:rPr>
        <w:t>;</w:t>
      </w:r>
      <w:r w:rsidR="005B2468" w:rsidRPr="00962508">
        <w:rPr>
          <w:rFonts w:ascii="Franklin Gothic Book" w:eastAsia="Times New Roman" w:hAnsi="Franklin Gothic Book"/>
          <w:sz w:val="21"/>
        </w:rPr>
        <w:t xml:space="preserve"> </w:t>
      </w:r>
      <w:r w:rsidR="00A70AB5">
        <w:rPr>
          <w:rFonts w:ascii="Franklin Gothic Book" w:eastAsia="Times New Roman" w:hAnsi="Franklin Gothic Book"/>
          <w:sz w:val="21"/>
        </w:rPr>
        <w:t>promot</w:t>
      </w:r>
      <w:r w:rsidR="007722F4">
        <w:rPr>
          <w:rFonts w:ascii="Franklin Gothic Book" w:eastAsia="Times New Roman" w:hAnsi="Franklin Gothic Book"/>
          <w:sz w:val="21"/>
        </w:rPr>
        <w:t>e</w:t>
      </w:r>
      <w:r w:rsidR="00A70AB5" w:rsidRPr="00962508">
        <w:rPr>
          <w:rFonts w:ascii="Franklin Gothic Book" w:eastAsia="Times New Roman" w:hAnsi="Franklin Gothic Book"/>
          <w:sz w:val="21"/>
        </w:rPr>
        <w:t xml:space="preserve"> </w:t>
      </w:r>
      <w:r w:rsidR="006B20B5" w:rsidRPr="00962508">
        <w:rPr>
          <w:rFonts w:ascii="Franklin Gothic Book" w:eastAsia="Times New Roman" w:hAnsi="Franklin Gothic Book"/>
          <w:sz w:val="21"/>
        </w:rPr>
        <w:t xml:space="preserve">more effective </w:t>
      </w:r>
      <w:r w:rsidR="005B2468" w:rsidRPr="00962508">
        <w:rPr>
          <w:rFonts w:ascii="Franklin Gothic Book" w:eastAsia="Times New Roman" w:hAnsi="Franklin Gothic Book"/>
          <w:sz w:val="21"/>
        </w:rPr>
        <w:t>teaching and l</w:t>
      </w:r>
      <w:r w:rsidR="00507C50" w:rsidRPr="00962508">
        <w:rPr>
          <w:rFonts w:ascii="Franklin Gothic Book" w:eastAsia="Times New Roman" w:hAnsi="Franklin Gothic Book"/>
          <w:sz w:val="21"/>
        </w:rPr>
        <w:t>earning resource</w:t>
      </w:r>
      <w:r w:rsidR="006B20B5" w:rsidRPr="00962508">
        <w:rPr>
          <w:rFonts w:ascii="Franklin Gothic Book" w:eastAsia="Times New Roman" w:hAnsi="Franklin Gothic Book"/>
          <w:sz w:val="21"/>
        </w:rPr>
        <w:t>s</w:t>
      </w:r>
      <w:r w:rsidR="003B0D97">
        <w:rPr>
          <w:rFonts w:ascii="Franklin Gothic Book" w:eastAsia="Times New Roman" w:hAnsi="Franklin Gothic Book"/>
          <w:sz w:val="21"/>
        </w:rPr>
        <w:t>;</w:t>
      </w:r>
      <w:r w:rsidR="006B20B5" w:rsidRPr="00962508">
        <w:rPr>
          <w:rFonts w:ascii="Franklin Gothic Book" w:eastAsia="Times New Roman" w:hAnsi="Franklin Gothic Book"/>
          <w:sz w:val="21"/>
        </w:rPr>
        <w:t xml:space="preserve"> and rehabilitat</w:t>
      </w:r>
      <w:r w:rsidR="007722F4">
        <w:rPr>
          <w:rFonts w:ascii="Franklin Gothic Book" w:eastAsia="Times New Roman" w:hAnsi="Franklin Gothic Book"/>
          <w:sz w:val="21"/>
        </w:rPr>
        <w:t>e</w:t>
      </w:r>
      <w:r w:rsidR="006B20B5" w:rsidRPr="00962508">
        <w:rPr>
          <w:rFonts w:ascii="Franklin Gothic Book" w:eastAsia="Times New Roman" w:hAnsi="Franklin Gothic Book"/>
          <w:sz w:val="21"/>
        </w:rPr>
        <w:t xml:space="preserve"> </w:t>
      </w:r>
      <w:r w:rsidR="00346E5B">
        <w:rPr>
          <w:rFonts w:ascii="Franklin Gothic Book" w:eastAsia="Times New Roman" w:hAnsi="Franklin Gothic Book"/>
          <w:sz w:val="21"/>
        </w:rPr>
        <w:t xml:space="preserve">run-down </w:t>
      </w:r>
      <w:r w:rsidR="006B20B5" w:rsidRPr="00962508">
        <w:rPr>
          <w:rFonts w:ascii="Franklin Gothic Book" w:eastAsia="Times New Roman" w:hAnsi="Franklin Gothic Book"/>
          <w:sz w:val="21"/>
        </w:rPr>
        <w:t>infrastructure.</w:t>
      </w:r>
    </w:p>
    <w:p w:rsidR="0000311E" w:rsidRPr="00962508" w:rsidRDefault="000661E7" w:rsidP="000661E7">
      <w:pPr>
        <w:pStyle w:val="ListBullet"/>
        <w:numPr>
          <w:ilvl w:val="0"/>
          <w:numId w:val="0"/>
        </w:numPr>
      </w:pPr>
      <w:r>
        <w:t xml:space="preserve">In addition to the outcomes detailed below, ten of eleven process-related target milestones associated with our education sector engagement were achieved, including production of an independent completion report for the EFA-FTA, completion of an implementation agreement between Australia and Laos for BEQUAL, selection of a managing contractor for BEQUAL, and development of selection criteria to identify BEQUAL target schools. </w:t>
      </w:r>
    </w:p>
    <w:p w:rsidR="000661E7" w:rsidRDefault="000661E7" w:rsidP="00BA6957">
      <w:pPr>
        <w:pStyle w:val="ListBullet"/>
        <w:numPr>
          <w:ilvl w:val="0"/>
          <w:numId w:val="0"/>
        </w:numPr>
        <w:rPr>
          <w:b/>
          <w:i/>
        </w:rPr>
      </w:pPr>
    </w:p>
    <w:p w:rsidR="007E7FF9" w:rsidRPr="00962508" w:rsidRDefault="00F93401" w:rsidP="00BA6957">
      <w:pPr>
        <w:pStyle w:val="ListBullet"/>
        <w:numPr>
          <w:ilvl w:val="0"/>
          <w:numId w:val="0"/>
        </w:numPr>
        <w:rPr>
          <w:b/>
          <w:i/>
        </w:rPr>
      </w:pPr>
      <w:r>
        <w:rPr>
          <w:b/>
          <w:i/>
        </w:rPr>
        <w:lastRenderedPageBreak/>
        <w:t xml:space="preserve">Previous objective 1: </w:t>
      </w:r>
      <w:r w:rsidR="007E7FF9" w:rsidRPr="00962508">
        <w:rPr>
          <w:b/>
          <w:i/>
        </w:rPr>
        <w:t xml:space="preserve">Mitigation of key constraints to equitable access to a basic quality education in targeted poor geographic areas </w:t>
      </w:r>
    </w:p>
    <w:p w:rsidR="00D77D0D" w:rsidRPr="00962508" w:rsidRDefault="00E24603" w:rsidP="00BA6957">
      <w:pPr>
        <w:pStyle w:val="ListBullet"/>
        <w:numPr>
          <w:ilvl w:val="0"/>
          <w:numId w:val="0"/>
        </w:numPr>
        <w:rPr>
          <w:i/>
        </w:rPr>
      </w:pPr>
      <w:r>
        <w:rPr>
          <w:i/>
        </w:rPr>
        <w:t xml:space="preserve">Water, Sanitation and Hygiene </w:t>
      </w:r>
      <w:r w:rsidR="00D77D0D" w:rsidRPr="00962508">
        <w:rPr>
          <w:i/>
        </w:rPr>
        <w:t xml:space="preserve">and School Meals </w:t>
      </w:r>
    </w:p>
    <w:p w:rsidR="00A61172" w:rsidRDefault="00AF4014" w:rsidP="00BA6957">
      <w:pPr>
        <w:pStyle w:val="ListBullet"/>
        <w:numPr>
          <w:ilvl w:val="0"/>
          <w:numId w:val="0"/>
        </w:numPr>
      </w:pPr>
      <w:r>
        <w:t>Poor access to clean water and sanitation</w:t>
      </w:r>
      <w:r w:rsidR="00F726F9">
        <w:t xml:space="preserve">, and </w:t>
      </w:r>
      <w:r>
        <w:t>food insecurity</w:t>
      </w:r>
      <w:r w:rsidR="00F726F9">
        <w:t>,</w:t>
      </w:r>
      <w:r>
        <w:t xml:space="preserve"> are key factors affecting attendance </w:t>
      </w:r>
      <w:r w:rsidR="007722F4">
        <w:t xml:space="preserve">at </w:t>
      </w:r>
      <w:r>
        <w:t xml:space="preserve">rural </w:t>
      </w:r>
      <w:r w:rsidR="007722F4">
        <w:t>schools</w:t>
      </w:r>
      <w:r>
        <w:t>, particularly for girls. Only</w:t>
      </w:r>
      <w:r w:rsidR="005B4913">
        <w:t xml:space="preserve"> 55</w:t>
      </w:r>
      <w:r>
        <w:t xml:space="preserve"> per cent of primary schools have both functional water suppl</w:t>
      </w:r>
      <w:r w:rsidR="00E24603">
        <w:t>y and sanitation facilities and o</w:t>
      </w:r>
      <w:r>
        <w:t xml:space="preserve">ne third of households </w:t>
      </w:r>
      <w:r w:rsidR="00E24603">
        <w:t>are food insecure</w:t>
      </w:r>
      <w:r>
        <w:t xml:space="preserve">. </w:t>
      </w:r>
      <w:r w:rsidR="006C5E1A">
        <w:t xml:space="preserve">Australia continued to </w:t>
      </w:r>
      <w:r w:rsidR="001F7D24">
        <w:t>address</w:t>
      </w:r>
      <w:r w:rsidR="006C5E1A">
        <w:t xml:space="preserve"> these constraints through our partnerships with UNICEF and WFP.</w:t>
      </w:r>
    </w:p>
    <w:p w:rsidR="00604388" w:rsidRPr="00962508" w:rsidRDefault="007722F4" w:rsidP="00BA6957">
      <w:pPr>
        <w:pStyle w:val="ListBullet"/>
        <w:numPr>
          <w:ilvl w:val="0"/>
          <w:numId w:val="0"/>
        </w:numPr>
      </w:pPr>
      <w:r>
        <w:t xml:space="preserve">Australia supported </w:t>
      </w:r>
      <w:r w:rsidR="00A01DD0" w:rsidRPr="00962508">
        <w:t xml:space="preserve">UNICEF </w:t>
      </w:r>
      <w:r>
        <w:t xml:space="preserve">to </w:t>
      </w:r>
      <w:r w:rsidR="00A01DD0" w:rsidRPr="00962508">
        <w:t>provide a</w:t>
      </w:r>
      <w:r w:rsidR="00705B61" w:rsidRPr="00962508">
        <w:t xml:space="preserve">ccess to clean water and functional sanitation facilities </w:t>
      </w:r>
      <w:r w:rsidR="00A01DD0" w:rsidRPr="00962508">
        <w:t xml:space="preserve">to </w:t>
      </w:r>
      <w:r w:rsidR="00705B61" w:rsidRPr="00962508">
        <w:t>101 schools</w:t>
      </w:r>
      <w:r w:rsidR="00A01DD0" w:rsidRPr="00962508">
        <w:t xml:space="preserve">, </w:t>
      </w:r>
      <w:r w:rsidR="00705B61" w:rsidRPr="00962508">
        <w:t>benefiting more than 16,9</w:t>
      </w:r>
      <w:r w:rsidR="00287220" w:rsidRPr="00962508">
        <w:t>78</w:t>
      </w:r>
      <w:r w:rsidR="00705B61" w:rsidRPr="00962508">
        <w:t xml:space="preserve"> students (8,137 girls).</w:t>
      </w:r>
      <w:r w:rsidR="00295FB7">
        <w:t xml:space="preserve"> This was close to our </w:t>
      </w:r>
      <w:r w:rsidR="007130DB">
        <w:t xml:space="preserve">2014-15 </w:t>
      </w:r>
      <w:r w:rsidR="00295FB7">
        <w:t>target of 115 schools.</w:t>
      </w:r>
      <w:r w:rsidR="00705B61" w:rsidRPr="00962508">
        <w:t xml:space="preserve"> </w:t>
      </w:r>
      <w:r w:rsidR="00A2123E" w:rsidRPr="00962508">
        <w:t>In</w:t>
      </w:r>
      <w:r w:rsidR="00BC3F81" w:rsidRPr="00962508">
        <w:t xml:space="preserve"> 50</w:t>
      </w:r>
      <w:r w:rsidR="00A2123E" w:rsidRPr="00962508">
        <w:t xml:space="preserve"> communities, more than 26,500 people benefitted from the </w:t>
      </w:r>
      <w:r w:rsidR="00A2123E" w:rsidRPr="00962508" w:rsidDel="00125ECC">
        <w:t>construction</w:t>
      </w:r>
      <w:r w:rsidR="00A2123E" w:rsidRPr="00962508">
        <w:t xml:space="preserve"> of 102 boreholes, well above the annual target of </w:t>
      </w:r>
      <w:r w:rsidR="00BC3F81" w:rsidRPr="00962508">
        <w:t>7</w:t>
      </w:r>
      <w:r>
        <w:t>5</w:t>
      </w:r>
      <w:r w:rsidR="00A2123E" w:rsidRPr="00962508">
        <w:t xml:space="preserve">. </w:t>
      </w:r>
      <w:r w:rsidR="00604388" w:rsidRPr="00962508">
        <w:t>However</w:t>
      </w:r>
      <w:r>
        <w:t>,</w:t>
      </w:r>
      <w:r w:rsidR="00604388" w:rsidRPr="00962508">
        <w:t xml:space="preserve"> some concerns have emerged around</w:t>
      </w:r>
      <w:r w:rsidR="005B2468" w:rsidRPr="00962508">
        <w:t xml:space="preserve"> UNICEF’s quality assuranc</w:t>
      </w:r>
      <w:r>
        <w:t>e</w:t>
      </w:r>
      <w:r w:rsidR="00604388" w:rsidRPr="00962508">
        <w:t>.</w:t>
      </w:r>
    </w:p>
    <w:p w:rsidR="00855731" w:rsidRDefault="00705B61" w:rsidP="00BA6957">
      <w:pPr>
        <w:pStyle w:val="ListBullet"/>
        <w:numPr>
          <w:ilvl w:val="0"/>
          <w:numId w:val="0"/>
        </w:numPr>
      </w:pPr>
      <w:r w:rsidRPr="00962508">
        <w:rPr>
          <w:szCs w:val="21"/>
        </w:rPr>
        <w:t>More than 149,000 students (68,780 girls) living in the most food insecure districts were provided with mid-morning snack</w:t>
      </w:r>
      <w:r w:rsidR="00287220" w:rsidRPr="00962508">
        <w:rPr>
          <w:szCs w:val="21"/>
        </w:rPr>
        <w:t>s</w:t>
      </w:r>
      <w:r w:rsidR="0036467C">
        <w:rPr>
          <w:szCs w:val="21"/>
        </w:rPr>
        <w:t>,</w:t>
      </w:r>
      <w:r w:rsidR="00BC3F81" w:rsidRPr="00962508">
        <w:rPr>
          <w:szCs w:val="21"/>
        </w:rPr>
        <w:t xml:space="preserve"> through </w:t>
      </w:r>
      <w:r w:rsidR="0036467C">
        <w:rPr>
          <w:szCs w:val="21"/>
        </w:rPr>
        <w:t xml:space="preserve">our support to </w:t>
      </w:r>
      <w:r w:rsidR="00BC3F81" w:rsidRPr="00962508">
        <w:rPr>
          <w:szCs w:val="21"/>
        </w:rPr>
        <w:t>WFP</w:t>
      </w:r>
      <w:r w:rsidR="0036467C">
        <w:rPr>
          <w:szCs w:val="21"/>
        </w:rPr>
        <w:t>,</w:t>
      </w:r>
      <w:r w:rsidR="005B2468" w:rsidRPr="00962508">
        <w:rPr>
          <w:szCs w:val="21"/>
        </w:rPr>
        <w:t xml:space="preserve"> </w:t>
      </w:r>
      <w:r w:rsidR="00BC3F81" w:rsidRPr="00962508">
        <w:rPr>
          <w:szCs w:val="21"/>
        </w:rPr>
        <w:t>to</w:t>
      </w:r>
      <w:r w:rsidRPr="00962508">
        <w:rPr>
          <w:szCs w:val="21"/>
        </w:rPr>
        <w:t xml:space="preserve"> </w:t>
      </w:r>
      <w:r w:rsidR="00D37D2F" w:rsidRPr="00962508">
        <w:rPr>
          <w:szCs w:val="21"/>
        </w:rPr>
        <w:t>encourage participation</w:t>
      </w:r>
      <w:r w:rsidRPr="00962508">
        <w:rPr>
          <w:szCs w:val="21"/>
        </w:rPr>
        <w:t xml:space="preserve"> in school. Due to exchange rate gains and </w:t>
      </w:r>
      <w:r w:rsidR="002679DA" w:rsidRPr="00962508">
        <w:rPr>
          <w:szCs w:val="21"/>
        </w:rPr>
        <w:t xml:space="preserve">a </w:t>
      </w:r>
      <w:r w:rsidRPr="00962508">
        <w:rPr>
          <w:szCs w:val="21"/>
        </w:rPr>
        <w:t>change in the tranche amount</w:t>
      </w:r>
      <w:r w:rsidR="009E5DCE" w:rsidRPr="00962508">
        <w:rPr>
          <w:szCs w:val="21"/>
        </w:rPr>
        <w:t xml:space="preserve"> </w:t>
      </w:r>
      <w:r w:rsidR="00D37D2F" w:rsidRPr="00962508">
        <w:rPr>
          <w:szCs w:val="21"/>
        </w:rPr>
        <w:t xml:space="preserve">for 2014-15 </w:t>
      </w:r>
      <w:r w:rsidR="009E5DCE" w:rsidRPr="00962508">
        <w:t xml:space="preserve">(from $2.5 million to $3 </w:t>
      </w:r>
      <w:r w:rsidR="002679DA" w:rsidRPr="00962508">
        <w:t>million</w:t>
      </w:r>
      <w:r w:rsidR="009E5DCE" w:rsidRPr="00962508">
        <w:t>)</w:t>
      </w:r>
      <w:r w:rsidRPr="00962508">
        <w:rPr>
          <w:szCs w:val="21"/>
        </w:rPr>
        <w:t xml:space="preserve">, </w:t>
      </w:r>
      <w:r w:rsidR="00B53ED0" w:rsidRPr="00962508">
        <w:t>WFP has been able to reach 150,000 children – nearly twice the intended 76,500 beneficiaries.</w:t>
      </w:r>
      <w:r w:rsidR="00B53ED0" w:rsidRPr="00962508">
        <w:rPr>
          <w:szCs w:val="21"/>
        </w:rPr>
        <w:t xml:space="preserve"> </w:t>
      </w:r>
      <w:r w:rsidRPr="00962508">
        <w:t xml:space="preserve">However, other key activities including piloting </w:t>
      </w:r>
      <w:r w:rsidR="00BD114D">
        <w:t>‘</w:t>
      </w:r>
      <w:r w:rsidRPr="00962508">
        <w:t>Home Grown School Meals</w:t>
      </w:r>
      <w:r w:rsidR="00BD114D">
        <w:t>’</w:t>
      </w:r>
      <w:r w:rsidR="005B2468" w:rsidRPr="00962508">
        <w:t>,</w:t>
      </w:r>
      <w:r w:rsidRPr="00962508">
        <w:t xml:space="preserve"> have </w:t>
      </w:r>
      <w:r w:rsidR="00A70AB5">
        <w:t>moved</w:t>
      </w:r>
      <w:r w:rsidR="00A70AB5" w:rsidRPr="00962508">
        <w:t xml:space="preserve"> </w:t>
      </w:r>
      <w:r w:rsidR="00BD114D">
        <w:t>slowly</w:t>
      </w:r>
      <w:r w:rsidRPr="00962508">
        <w:t>.</w:t>
      </w:r>
      <w:r w:rsidR="005B2468" w:rsidRPr="00962508">
        <w:t xml:space="preserve"> In addition,</w:t>
      </w:r>
      <w:r w:rsidR="00855731" w:rsidRPr="00962508">
        <w:t xml:space="preserve"> WFP field monitoring indicates that while mid-morning snacks help </w:t>
      </w:r>
      <w:r w:rsidR="005B2468" w:rsidRPr="00962508">
        <w:t>improve</w:t>
      </w:r>
      <w:r w:rsidR="00855731" w:rsidRPr="00962508">
        <w:t xml:space="preserve"> children’s nutritional intake and concentration, they are provided too early in the day to substantially </w:t>
      </w:r>
      <w:r w:rsidR="00346E5B">
        <w:t>improve</w:t>
      </w:r>
      <w:r w:rsidR="00855731" w:rsidRPr="00962508">
        <w:t xml:space="preserve"> attendance. WFP has committed to shift its focus to school lunches.</w:t>
      </w:r>
    </w:p>
    <w:p w:rsidR="00705B61" w:rsidRPr="00812293" w:rsidRDefault="00705B61" w:rsidP="00BA6957">
      <w:pPr>
        <w:pStyle w:val="ListBullet"/>
        <w:numPr>
          <w:ilvl w:val="0"/>
          <w:numId w:val="0"/>
        </w:numPr>
        <w:tabs>
          <w:tab w:val="clear" w:pos="284"/>
        </w:tabs>
        <w:rPr>
          <w:i/>
        </w:rPr>
      </w:pPr>
      <w:r w:rsidRPr="00812293">
        <w:rPr>
          <w:i/>
        </w:rPr>
        <w:t>E</w:t>
      </w:r>
      <w:r w:rsidR="00D50B2B" w:rsidRPr="00812293">
        <w:rPr>
          <w:i/>
        </w:rPr>
        <w:t>ducation For All Fast Track Initiative (E</w:t>
      </w:r>
      <w:r w:rsidRPr="00812293">
        <w:rPr>
          <w:i/>
        </w:rPr>
        <w:t>FA-FTI</w:t>
      </w:r>
      <w:r w:rsidR="00D50B2B" w:rsidRPr="00812293">
        <w:rPr>
          <w:i/>
        </w:rPr>
        <w:t>)</w:t>
      </w:r>
      <w:r w:rsidRPr="00812293">
        <w:rPr>
          <w:i/>
        </w:rPr>
        <w:t xml:space="preserve"> </w:t>
      </w:r>
    </w:p>
    <w:p w:rsidR="004E46C0" w:rsidRPr="00962508" w:rsidRDefault="004E46C0" w:rsidP="00BA6957">
      <w:pPr>
        <w:pStyle w:val="ListBullet"/>
        <w:numPr>
          <w:ilvl w:val="0"/>
          <w:numId w:val="0"/>
        </w:numPr>
      </w:pPr>
      <w:r w:rsidRPr="00812293">
        <w:t>Most targets of the program were achieved</w:t>
      </w:r>
      <w:r w:rsidR="00247844" w:rsidRPr="00812293">
        <w:t xml:space="preserve"> a</w:t>
      </w:r>
      <w:r w:rsidR="00BF0C63" w:rsidRPr="00812293">
        <w:t xml:space="preserve">nd many were exceeded. </w:t>
      </w:r>
      <w:r w:rsidRPr="00812293">
        <w:t xml:space="preserve">Districts supported by EFA-FTI reached a </w:t>
      </w:r>
      <w:r w:rsidR="00346E5B" w:rsidRPr="00812293">
        <w:t xml:space="preserve">retention </w:t>
      </w:r>
      <w:r w:rsidRPr="00812293">
        <w:t xml:space="preserve">rate to grade 5 of </w:t>
      </w:r>
      <w:r w:rsidR="001F7D24" w:rsidRPr="00812293">
        <w:t xml:space="preserve">69 </w:t>
      </w:r>
      <w:r w:rsidRPr="00812293">
        <w:t xml:space="preserve">per cent </w:t>
      </w:r>
      <w:r w:rsidR="003B0D97">
        <w:t>(</w:t>
      </w:r>
      <w:r w:rsidRPr="00812293">
        <w:t>from 54 per cent in 2008-09)</w:t>
      </w:r>
      <w:r w:rsidR="00247844" w:rsidRPr="00812293">
        <w:t xml:space="preserve">, </w:t>
      </w:r>
      <w:r w:rsidRPr="00812293">
        <w:t>gender parity reached 0.97 (from 0.88 in 2008-09)</w:t>
      </w:r>
      <w:r w:rsidR="00247844" w:rsidRPr="00812293">
        <w:t xml:space="preserve"> and t</w:t>
      </w:r>
      <w:r w:rsidRPr="00812293">
        <w:t xml:space="preserve">he proportion of </w:t>
      </w:r>
      <w:r w:rsidR="00247844" w:rsidRPr="00812293">
        <w:t>six to ten</w:t>
      </w:r>
      <w:r w:rsidRPr="00812293">
        <w:t xml:space="preserve"> year old girls reaching grade 5 increased </w:t>
      </w:r>
      <w:r w:rsidR="00247844" w:rsidRPr="00812293">
        <w:t>to 67 per cent (</w:t>
      </w:r>
      <w:r w:rsidRPr="00812293">
        <w:t xml:space="preserve">from 40 per cent </w:t>
      </w:r>
      <w:r w:rsidR="00247844" w:rsidRPr="00812293">
        <w:t xml:space="preserve">in </w:t>
      </w:r>
      <w:r w:rsidRPr="00812293">
        <w:t xml:space="preserve">2008-09). </w:t>
      </w:r>
      <w:r w:rsidR="00247844" w:rsidRPr="00812293">
        <w:t xml:space="preserve">EFA-FTI achieved </w:t>
      </w:r>
      <w:r w:rsidR="005B2468" w:rsidRPr="00812293">
        <w:t xml:space="preserve">these </w:t>
      </w:r>
      <w:r w:rsidR="00247844" w:rsidRPr="00812293">
        <w:t xml:space="preserve">results </w:t>
      </w:r>
      <w:r w:rsidR="005B2468" w:rsidRPr="00812293">
        <w:t>by</w:t>
      </w:r>
      <w:r w:rsidR="00247844" w:rsidRPr="00812293">
        <w:t xml:space="preserve"> </w:t>
      </w:r>
      <w:r w:rsidRPr="00812293">
        <w:t>provi</w:t>
      </w:r>
      <w:r w:rsidR="005B2468" w:rsidRPr="00812293">
        <w:t xml:space="preserve">ding </w:t>
      </w:r>
      <w:r w:rsidRPr="00812293">
        <w:t>380 new schools, training 2,623 principals (475 females</w:t>
      </w:r>
      <w:r w:rsidR="00BE0585" w:rsidRPr="00812293">
        <w:t xml:space="preserve"> - </w:t>
      </w:r>
      <w:r w:rsidRPr="00812293">
        <w:t>reflecting the proportion of female</w:t>
      </w:r>
      <w:r w:rsidR="003C5696" w:rsidRPr="00812293">
        <w:t xml:space="preserve"> principals</w:t>
      </w:r>
      <w:r w:rsidRPr="00812293">
        <w:t>)</w:t>
      </w:r>
      <w:r w:rsidR="00247844" w:rsidRPr="00812293">
        <w:t xml:space="preserve">, training </w:t>
      </w:r>
      <w:r w:rsidRPr="00812293">
        <w:t>10,620 members of Village Education Development Committees (2,799 females</w:t>
      </w:r>
      <w:r w:rsidR="00BE0585" w:rsidRPr="00812293">
        <w:t xml:space="preserve"> -</w:t>
      </w:r>
      <w:r w:rsidRPr="00812293">
        <w:t xml:space="preserve"> reflecting the proportion of female</w:t>
      </w:r>
      <w:r w:rsidR="003C5696" w:rsidRPr="00812293">
        <w:t xml:space="preserve"> members</w:t>
      </w:r>
      <w:r w:rsidRPr="00812293">
        <w:t>)</w:t>
      </w:r>
      <w:r w:rsidR="00247844" w:rsidRPr="00812293">
        <w:t>, training</w:t>
      </w:r>
      <w:r w:rsidR="005B2468" w:rsidRPr="00812293">
        <w:t xml:space="preserve"> </w:t>
      </w:r>
      <w:r w:rsidRPr="00812293">
        <w:t>398 new pre-primary teachers (</w:t>
      </w:r>
      <w:r w:rsidR="00BE0585" w:rsidRPr="00812293">
        <w:t>200</w:t>
      </w:r>
      <w:r w:rsidRPr="00812293">
        <w:t xml:space="preserve"> females) and </w:t>
      </w:r>
      <w:r w:rsidR="00247844" w:rsidRPr="00812293">
        <w:t xml:space="preserve">upgrading </w:t>
      </w:r>
      <w:r w:rsidRPr="00812293">
        <w:t>qualification</w:t>
      </w:r>
      <w:r w:rsidR="00BE0585" w:rsidRPr="00812293">
        <w:t>s</w:t>
      </w:r>
      <w:r w:rsidRPr="00812293">
        <w:t xml:space="preserve"> of 5,998 existing primary teachers (</w:t>
      </w:r>
      <w:r w:rsidR="00BE0585" w:rsidRPr="00812293">
        <w:t>2,550</w:t>
      </w:r>
      <w:r w:rsidRPr="00812293">
        <w:t xml:space="preserve"> females).</w:t>
      </w:r>
      <w:r w:rsidR="00FB74BF">
        <w:rPr>
          <w:rStyle w:val="EndnoteReference"/>
        </w:rPr>
        <w:endnoteReference w:id="7"/>
      </w:r>
    </w:p>
    <w:p w:rsidR="00902DB8" w:rsidRPr="00962508" w:rsidRDefault="004E46C0" w:rsidP="00BA6957">
      <w:pPr>
        <w:pStyle w:val="ListBullet"/>
        <w:numPr>
          <w:ilvl w:val="0"/>
          <w:numId w:val="0"/>
        </w:numPr>
      </w:pPr>
      <w:r w:rsidRPr="00962508">
        <w:t xml:space="preserve">However, </w:t>
      </w:r>
      <w:r w:rsidR="00902DB8" w:rsidRPr="00962508">
        <w:t>a</w:t>
      </w:r>
      <w:r w:rsidRPr="00962508">
        <w:t>ccording to a</w:t>
      </w:r>
      <w:r w:rsidR="00FB5F19">
        <w:t xml:space="preserve"> 2014</w:t>
      </w:r>
      <w:r w:rsidRPr="00962508">
        <w:t xml:space="preserve"> independent evaluation, EFA-FTI did not make an adequate improvement to learning outcomes</w:t>
      </w:r>
      <w:r w:rsidR="00BE0585" w:rsidRPr="00962508">
        <w:t>,</w:t>
      </w:r>
      <w:r w:rsidRPr="00962508">
        <w:t xml:space="preserve"> particularly </w:t>
      </w:r>
      <w:r w:rsidR="00247844" w:rsidRPr="00962508">
        <w:t xml:space="preserve">in </w:t>
      </w:r>
      <w:r w:rsidRPr="00962508">
        <w:t xml:space="preserve">reading. </w:t>
      </w:r>
      <w:r w:rsidR="00902DB8" w:rsidRPr="00962508">
        <w:t>The evaluation cited the tight timeframe of EFA-FTI</w:t>
      </w:r>
      <w:r w:rsidR="003C5696" w:rsidRPr="00962508">
        <w:t xml:space="preserve"> and a heavy f</w:t>
      </w:r>
      <w:r w:rsidR="00902DB8" w:rsidRPr="00962508">
        <w:t>ocus on tasks and inputs rather than</w:t>
      </w:r>
      <w:r w:rsidR="003C5696" w:rsidRPr="00962508">
        <w:t xml:space="preserve"> the</w:t>
      </w:r>
      <w:r w:rsidR="00902DB8" w:rsidRPr="00962508">
        <w:t xml:space="preserve"> quality </w:t>
      </w:r>
      <w:r w:rsidR="003C5696" w:rsidRPr="00962508">
        <w:t xml:space="preserve">of </w:t>
      </w:r>
      <w:r w:rsidR="00902DB8" w:rsidRPr="00962508">
        <w:t xml:space="preserve">outputs and outcomes. The findings of the evaluation validated the amber rating reported in the APPR 2013-14. </w:t>
      </w:r>
      <w:r w:rsidR="00A117B8">
        <w:t xml:space="preserve">Lessons </w:t>
      </w:r>
      <w:r w:rsidR="00E37852">
        <w:t xml:space="preserve">learnt </w:t>
      </w:r>
      <w:r w:rsidR="007722F4">
        <w:t xml:space="preserve">about </w:t>
      </w:r>
      <w:r w:rsidR="00CA70E2">
        <w:t xml:space="preserve">the limitations of partner-based </w:t>
      </w:r>
      <w:r w:rsidR="00A117B8">
        <w:t>delivery modalit</w:t>
      </w:r>
      <w:r w:rsidR="00941F34">
        <w:t>ies</w:t>
      </w:r>
      <w:r w:rsidR="00A117B8">
        <w:t xml:space="preserve"> and the overemphasis, in places, on one</w:t>
      </w:r>
      <w:r w:rsidR="00BD114D">
        <w:t>-</w:t>
      </w:r>
      <w:r w:rsidR="00A117B8">
        <w:t xml:space="preserve">off outputs, have been reflected in BEQUAL. We will take a more sustainable </w:t>
      </w:r>
      <w:r w:rsidR="00941F34">
        <w:t xml:space="preserve">and </w:t>
      </w:r>
      <w:r w:rsidR="00A117B8">
        <w:t xml:space="preserve">institutional approach to delivering </w:t>
      </w:r>
      <w:r w:rsidR="00DA5AB4">
        <w:t xml:space="preserve">future </w:t>
      </w:r>
      <w:r w:rsidR="00A117B8">
        <w:t xml:space="preserve">outputs – such as strengthening teacher skills </w:t>
      </w:r>
      <w:r w:rsidR="00427996">
        <w:t xml:space="preserve">by </w:t>
      </w:r>
      <w:r w:rsidR="00941F34">
        <w:t xml:space="preserve">enhancing the capacity of </w:t>
      </w:r>
      <w:r w:rsidR="00427996">
        <w:t>teacher training college</w:t>
      </w:r>
      <w:r w:rsidR="00941F34">
        <w:t>s</w:t>
      </w:r>
      <w:r w:rsidR="00CA70E2">
        <w:t xml:space="preserve"> rather than providing project-based one-off training</w:t>
      </w:r>
      <w:r w:rsidR="00427996">
        <w:t>.</w:t>
      </w:r>
    </w:p>
    <w:p w:rsidR="007E7FF9" w:rsidRPr="00962508" w:rsidRDefault="00F93401" w:rsidP="00BA6957">
      <w:pPr>
        <w:spacing w:after="160" w:line="280" w:lineRule="exact"/>
        <w:rPr>
          <w:rFonts w:ascii="Franklin Gothic Book" w:eastAsia="Times New Roman" w:hAnsi="Franklin Gothic Book"/>
          <w:b/>
          <w:i/>
          <w:sz w:val="21"/>
        </w:rPr>
      </w:pPr>
      <w:r>
        <w:rPr>
          <w:rFonts w:ascii="Franklin Gothic Book" w:eastAsia="Times New Roman" w:hAnsi="Franklin Gothic Book"/>
          <w:b/>
          <w:i/>
          <w:sz w:val="21"/>
        </w:rPr>
        <w:t xml:space="preserve">Previous objective 2: </w:t>
      </w:r>
      <w:r w:rsidR="007E7FF9" w:rsidRPr="00962508">
        <w:rPr>
          <w:rFonts w:ascii="Franklin Gothic Book" w:eastAsia="Times New Roman" w:hAnsi="Franklin Gothic Book"/>
          <w:b/>
          <w:i/>
          <w:sz w:val="21"/>
        </w:rPr>
        <w:t xml:space="preserve">Better management of </w:t>
      </w:r>
      <w:r w:rsidR="003C5696" w:rsidRPr="00962508">
        <w:rPr>
          <w:rFonts w:ascii="Franklin Gothic Book" w:eastAsia="Times New Roman" w:hAnsi="Franklin Gothic Book"/>
          <w:b/>
          <w:i/>
          <w:sz w:val="21"/>
        </w:rPr>
        <w:t xml:space="preserve">Lao </w:t>
      </w:r>
      <w:r w:rsidR="007E7FF9" w:rsidRPr="00962508">
        <w:rPr>
          <w:rFonts w:ascii="Franklin Gothic Book" w:eastAsia="Times New Roman" w:hAnsi="Franklin Gothic Book"/>
          <w:b/>
          <w:i/>
          <w:sz w:val="21"/>
        </w:rPr>
        <w:t xml:space="preserve">Government and donor resources available to the education sector </w:t>
      </w:r>
    </w:p>
    <w:p w:rsidR="007662CC" w:rsidRPr="001F7D24" w:rsidRDefault="001F7D24" w:rsidP="00BA6957">
      <w:pPr>
        <w:spacing w:after="180" w:line="280" w:lineRule="exact"/>
        <w:rPr>
          <w:rFonts w:ascii="Franklin Gothic Book" w:eastAsia="Times New Roman" w:hAnsi="Franklin Gothic Book"/>
          <w:sz w:val="21"/>
        </w:rPr>
      </w:pPr>
      <w:r w:rsidRPr="001F7D24">
        <w:rPr>
          <w:rFonts w:ascii="Franklin Gothic Book" w:eastAsia="Times New Roman" w:hAnsi="Franklin Gothic Book"/>
          <w:sz w:val="21"/>
        </w:rPr>
        <w:t xml:space="preserve">Australia minimised the impact of the </w:t>
      </w:r>
      <w:r w:rsidR="00DA5AB4">
        <w:rPr>
          <w:rFonts w:ascii="Franklin Gothic Book" w:eastAsia="Times New Roman" w:hAnsi="Franklin Gothic Book"/>
          <w:sz w:val="21"/>
        </w:rPr>
        <w:t>budget reductions on</w:t>
      </w:r>
      <w:r w:rsidRPr="001F7D24">
        <w:rPr>
          <w:rFonts w:ascii="Franklin Gothic Book" w:eastAsia="Times New Roman" w:hAnsi="Franklin Gothic Book"/>
          <w:sz w:val="21"/>
        </w:rPr>
        <w:t xml:space="preserve"> BEQUAL, and </w:t>
      </w:r>
      <w:r w:rsidR="00DA5AB4">
        <w:rPr>
          <w:rFonts w:ascii="Franklin Gothic Book" w:eastAsia="Times New Roman" w:hAnsi="Franklin Gothic Book"/>
          <w:sz w:val="21"/>
        </w:rPr>
        <w:t xml:space="preserve">we </w:t>
      </w:r>
      <w:r w:rsidRPr="001F7D24">
        <w:rPr>
          <w:rFonts w:ascii="Franklin Gothic Book" w:eastAsia="Times New Roman" w:hAnsi="Franklin Gothic Book"/>
          <w:sz w:val="21"/>
        </w:rPr>
        <w:t xml:space="preserve">continue to be the largest bilateral donor in education. </w:t>
      </w:r>
      <w:r w:rsidR="007E7FF9" w:rsidRPr="001F7D24">
        <w:rPr>
          <w:rFonts w:ascii="Franklin Gothic Book" w:eastAsia="Times New Roman" w:hAnsi="Franklin Gothic Book"/>
          <w:sz w:val="21"/>
        </w:rPr>
        <w:t xml:space="preserve">Australia </w:t>
      </w:r>
      <w:r w:rsidR="00C8785C" w:rsidRPr="001F7D24">
        <w:rPr>
          <w:rFonts w:ascii="Franklin Gothic Book" w:eastAsia="Times New Roman" w:hAnsi="Franklin Gothic Book"/>
          <w:sz w:val="21"/>
        </w:rPr>
        <w:t>play</w:t>
      </w:r>
      <w:r w:rsidR="00DA5AB4">
        <w:rPr>
          <w:rFonts w:ascii="Franklin Gothic Book" w:eastAsia="Times New Roman" w:hAnsi="Franklin Gothic Book"/>
          <w:sz w:val="21"/>
        </w:rPr>
        <w:t>s</w:t>
      </w:r>
      <w:r w:rsidR="00C8785C" w:rsidRPr="001F7D24">
        <w:rPr>
          <w:rFonts w:ascii="Franklin Gothic Book" w:eastAsia="Times New Roman" w:hAnsi="Franklin Gothic Book"/>
          <w:sz w:val="21"/>
        </w:rPr>
        <w:t xml:space="preserve"> a </w:t>
      </w:r>
      <w:r w:rsidR="007662CC" w:rsidRPr="001F7D24">
        <w:rPr>
          <w:rFonts w:ascii="Franklin Gothic Book" w:eastAsia="Times New Roman" w:hAnsi="Franklin Gothic Book"/>
          <w:sz w:val="21"/>
        </w:rPr>
        <w:t>leading</w:t>
      </w:r>
      <w:r w:rsidR="00C8785C" w:rsidRPr="001F7D24">
        <w:rPr>
          <w:rFonts w:ascii="Franklin Gothic Book" w:eastAsia="Times New Roman" w:hAnsi="Franklin Gothic Book"/>
          <w:sz w:val="21"/>
        </w:rPr>
        <w:t xml:space="preserve"> </w:t>
      </w:r>
      <w:r w:rsidR="007662CC" w:rsidRPr="001F7D24">
        <w:rPr>
          <w:rFonts w:ascii="Franklin Gothic Book" w:eastAsia="Times New Roman" w:hAnsi="Franklin Gothic Book"/>
          <w:sz w:val="21"/>
        </w:rPr>
        <w:t xml:space="preserve">policy engagement </w:t>
      </w:r>
      <w:r w:rsidR="00C8785C" w:rsidRPr="001F7D24">
        <w:rPr>
          <w:rFonts w:ascii="Franklin Gothic Book" w:eastAsia="Times New Roman" w:hAnsi="Franklin Gothic Book"/>
          <w:sz w:val="21"/>
        </w:rPr>
        <w:t>role in</w:t>
      </w:r>
      <w:r w:rsidR="007662CC" w:rsidRPr="001F7D24">
        <w:rPr>
          <w:rFonts w:ascii="Franklin Gothic Book" w:eastAsia="Times New Roman" w:hAnsi="Franklin Gothic Book"/>
          <w:sz w:val="21"/>
        </w:rPr>
        <w:t xml:space="preserve"> the sector,</w:t>
      </w:r>
      <w:r w:rsidR="00C8785C" w:rsidRPr="001F7D24">
        <w:rPr>
          <w:rFonts w:ascii="Franklin Gothic Book" w:eastAsia="Times New Roman" w:hAnsi="Franklin Gothic Book"/>
          <w:sz w:val="21"/>
        </w:rPr>
        <w:t xml:space="preserve"> including</w:t>
      </w:r>
      <w:r w:rsidR="00BD114D" w:rsidRPr="001F7D24">
        <w:rPr>
          <w:rFonts w:ascii="Franklin Gothic Book" w:eastAsia="Times New Roman" w:hAnsi="Franklin Gothic Book"/>
          <w:sz w:val="21"/>
        </w:rPr>
        <w:t xml:space="preserve"> </w:t>
      </w:r>
      <w:r w:rsidR="007E7FF9" w:rsidRPr="001F7D24">
        <w:rPr>
          <w:rFonts w:ascii="Franklin Gothic Book" w:eastAsia="Times New Roman" w:hAnsi="Franklin Gothic Book"/>
          <w:sz w:val="21"/>
        </w:rPr>
        <w:t xml:space="preserve">as co-chair of the Education Sector Working Group (ESWG). </w:t>
      </w:r>
      <w:r w:rsidR="0036467C" w:rsidRPr="001F7D24">
        <w:rPr>
          <w:rFonts w:ascii="Franklin Gothic Book" w:eastAsia="Times New Roman" w:hAnsi="Franklin Gothic Book"/>
          <w:sz w:val="21"/>
        </w:rPr>
        <w:t>The ESWG comprises the Lao Government</w:t>
      </w:r>
      <w:r w:rsidR="00DA5AB4">
        <w:rPr>
          <w:rFonts w:ascii="Franklin Gothic Book" w:eastAsia="Times New Roman" w:hAnsi="Franklin Gothic Book"/>
          <w:sz w:val="21"/>
        </w:rPr>
        <w:t xml:space="preserve">, </w:t>
      </w:r>
      <w:r w:rsidR="0036467C" w:rsidRPr="001F7D24">
        <w:rPr>
          <w:rFonts w:ascii="Franklin Gothic Book" w:eastAsia="Times New Roman" w:hAnsi="Franklin Gothic Book"/>
          <w:sz w:val="21"/>
        </w:rPr>
        <w:t xml:space="preserve">donors and international NGOs. </w:t>
      </w:r>
      <w:r w:rsidR="007E7FF9" w:rsidRPr="001F7D24">
        <w:rPr>
          <w:rFonts w:ascii="Franklin Gothic Book" w:eastAsia="Times New Roman" w:hAnsi="Franklin Gothic Book"/>
          <w:sz w:val="21"/>
        </w:rPr>
        <w:t xml:space="preserve">Focal groups of the ESWG </w:t>
      </w:r>
      <w:r w:rsidR="003C5696" w:rsidRPr="001F7D24">
        <w:rPr>
          <w:rFonts w:ascii="Franklin Gothic Book" w:eastAsia="Times New Roman" w:hAnsi="Franklin Gothic Book"/>
          <w:sz w:val="21"/>
        </w:rPr>
        <w:t>s</w:t>
      </w:r>
      <w:r w:rsidR="007E7FF9" w:rsidRPr="001F7D24">
        <w:rPr>
          <w:rFonts w:ascii="Franklin Gothic Book" w:eastAsia="Times New Roman" w:hAnsi="Franklin Gothic Book"/>
          <w:sz w:val="21"/>
        </w:rPr>
        <w:t>trengthen</w:t>
      </w:r>
      <w:r w:rsidR="00BD114D" w:rsidRPr="001F7D24">
        <w:rPr>
          <w:rFonts w:ascii="Franklin Gothic Book" w:eastAsia="Times New Roman" w:hAnsi="Franklin Gothic Book"/>
          <w:sz w:val="21"/>
        </w:rPr>
        <w:t>ed</w:t>
      </w:r>
      <w:r w:rsidR="007E7FF9" w:rsidRPr="001F7D24">
        <w:rPr>
          <w:rFonts w:ascii="Franklin Gothic Book" w:eastAsia="Times New Roman" w:hAnsi="Franklin Gothic Book"/>
          <w:sz w:val="21"/>
        </w:rPr>
        <w:t xml:space="preserve"> coordination among development partners </w:t>
      </w:r>
      <w:r w:rsidR="003C5696" w:rsidRPr="001F7D24">
        <w:rPr>
          <w:rFonts w:ascii="Franklin Gothic Book" w:eastAsia="Times New Roman" w:hAnsi="Franklin Gothic Book"/>
          <w:sz w:val="21"/>
        </w:rPr>
        <w:t>and within MoES</w:t>
      </w:r>
      <w:r w:rsidR="007E7FF9" w:rsidRPr="001F7D24">
        <w:rPr>
          <w:rFonts w:ascii="Franklin Gothic Book" w:eastAsia="Times New Roman" w:hAnsi="Franklin Gothic Book"/>
          <w:sz w:val="21"/>
        </w:rPr>
        <w:t xml:space="preserve">. The ESWG became the vehicle for developing the </w:t>
      </w:r>
      <w:r w:rsidR="0036467C" w:rsidRPr="001F7D24">
        <w:rPr>
          <w:rFonts w:ascii="Franklin Gothic Book" w:eastAsia="Times New Roman" w:hAnsi="Franklin Gothic Book"/>
          <w:sz w:val="21"/>
        </w:rPr>
        <w:t xml:space="preserve">Lao Government’s new </w:t>
      </w:r>
      <w:r w:rsidR="007E7FF9" w:rsidRPr="001F7D24">
        <w:rPr>
          <w:rFonts w:ascii="Franklin Gothic Book" w:eastAsia="Times New Roman" w:hAnsi="Franklin Gothic Book"/>
          <w:sz w:val="21"/>
        </w:rPr>
        <w:t xml:space="preserve">Education Sector Development Plan </w:t>
      </w:r>
      <w:r w:rsidR="003C5696" w:rsidRPr="001F7D24">
        <w:rPr>
          <w:rFonts w:ascii="Franklin Gothic Book" w:eastAsia="Times New Roman" w:hAnsi="Franklin Gothic Book"/>
          <w:sz w:val="21"/>
        </w:rPr>
        <w:t xml:space="preserve">(ESDP) </w:t>
      </w:r>
      <w:r w:rsidR="007E7FF9" w:rsidRPr="001F7D24">
        <w:rPr>
          <w:rFonts w:ascii="Franklin Gothic Book" w:eastAsia="Times New Roman" w:hAnsi="Franklin Gothic Book"/>
          <w:sz w:val="21"/>
        </w:rPr>
        <w:t xml:space="preserve">and </w:t>
      </w:r>
      <w:r w:rsidR="00E26880" w:rsidRPr="001F7D24">
        <w:rPr>
          <w:rFonts w:ascii="Franklin Gothic Book" w:eastAsia="Times New Roman" w:hAnsi="Franklin Gothic Book"/>
          <w:sz w:val="21"/>
        </w:rPr>
        <w:t xml:space="preserve">providing inputs to </w:t>
      </w:r>
      <w:r w:rsidR="007E7FF9" w:rsidRPr="001F7D24">
        <w:rPr>
          <w:rFonts w:ascii="Franklin Gothic Book" w:eastAsia="Times New Roman" w:hAnsi="Franklin Gothic Book"/>
          <w:sz w:val="21"/>
        </w:rPr>
        <w:t xml:space="preserve">revising the </w:t>
      </w:r>
      <w:r w:rsidR="007E7FF9" w:rsidRPr="001F7D24">
        <w:rPr>
          <w:rFonts w:ascii="Franklin Gothic Book" w:eastAsia="Times New Roman" w:hAnsi="Franklin Gothic Book"/>
          <w:sz w:val="21"/>
        </w:rPr>
        <w:lastRenderedPageBreak/>
        <w:t>Education Law.</w:t>
      </w:r>
      <w:r w:rsidR="00247844" w:rsidRPr="001F7D24">
        <w:rPr>
          <w:rFonts w:ascii="Franklin Gothic Book" w:eastAsia="Times New Roman" w:hAnsi="Franklin Gothic Book"/>
          <w:sz w:val="21"/>
        </w:rPr>
        <w:t xml:space="preserve"> </w:t>
      </w:r>
      <w:r w:rsidR="00DA5AB4">
        <w:rPr>
          <w:rFonts w:ascii="Franklin Gothic Book" w:eastAsia="Times New Roman" w:hAnsi="Franklin Gothic Book"/>
          <w:sz w:val="21"/>
        </w:rPr>
        <w:t xml:space="preserve">As well as </w:t>
      </w:r>
      <w:r w:rsidR="007662CC" w:rsidRPr="001F7D24">
        <w:rPr>
          <w:rFonts w:ascii="Franklin Gothic Book" w:eastAsia="Times New Roman" w:hAnsi="Franklin Gothic Book"/>
          <w:sz w:val="21"/>
        </w:rPr>
        <w:t xml:space="preserve">leading </w:t>
      </w:r>
      <w:r w:rsidR="003C5696" w:rsidRPr="001F7D24">
        <w:rPr>
          <w:rFonts w:ascii="Franklin Gothic Book" w:eastAsia="Times New Roman" w:hAnsi="Franklin Gothic Book"/>
          <w:sz w:val="21"/>
        </w:rPr>
        <w:t xml:space="preserve">on </w:t>
      </w:r>
      <w:r w:rsidR="007662CC" w:rsidRPr="001F7D24">
        <w:rPr>
          <w:rFonts w:ascii="Franklin Gothic Book" w:eastAsia="Times New Roman" w:hAnsi="Franklin Gothic Book"/>
          <w:sz w:val="21"/>
        </w:rPr>
        <w:t xml:space="preserve">policy dialogue through the ESWG, Australia provided additional technical and policy advice. Technical advice ensured both </w:t>
      </w:r>
      <w:r w:rsidR="003C5696" w:rsidRPr="001F7D24">
        <w:rPr>
          <w:rFonts w:ascii="Franklin Gothic Book" w:eastAsia="Times New Roman" w:hAnsi="Franklin Gothic Book"/>
          <w:sz w:val="21"/>
        </w:rPr>
        <w:t xml:space="preserve">the </w:t>
      </w:r>
      <w:r w:rsidR="00346E5B" w:rsidRPr="001F7D24">
        <w:rPr>
          <w:rFonts w:ascii="Franklin Gothic Book" w:eastAsia="Times New Roman" w:hAnsi="Franklin Gothic Book"/>
          <w:sz w:val="21"/>
        </w:rPr>
        <w:t xml:space="preserve">Education </w:t>
      </w:r>
      <w:r w:rsidR="003C5696" w:rsidRPr="001F7D24">
        <w:rPr>
          <w:rFonts w:ascii="Franklin Gothic Book" w:eastAsia="Times New Roman" w:hAnsi="Franklin Gothic Book"/>
          <w:sz w:val="21"/>
        </w:rPr>
        <w:t>Law and ESDP</w:t>
      </w:r>
      <w:r w:rsidR="007662CC" w:rsidRPr="001F7D24">
        <w:rPr>
          <w:rFonts w:ascii="Franklin Gothic Book" w:eastAsia="Times New Roman" w:hAnsi="Franklin Gothic Book"/>
          <w:sz w:val="21"/>
        </w:rPr>
        <w:t xml:space="preserve"> were based on high levels of consultation and research. </w:t>
      </w:r>
      <w:r w:rsidR="00BC5899" w:rsidRPr="001F7D24">
        <w:rPr>
          <w:rFonts w:ascii="Franklin Gothic Book" w:eastAsia="Times New Roman" w:hAnsi="Franklin Gothic Book"/>
          <w:sz w:val="21"/>
        </w:rPr>
        <w:t>Australia</w:t>
      </w:r>
      <w:r w:rsidR="00DA5AB4">
        <w:rPr>
          <w:rFonts w:ascii="Franklin Gothic Book" w:eastAsia="Times New Roman" w:hAnsi="Franklin Gothic Book"/>
          <w:sz w:val="21"/>
        </w:rPr>
        <w:t xml:space="preserve"> </w:t>
      </w:r>
      <w:r w:rsidR="00BC5899" w:rsidRPr="001F7D24">
        <w:rPr>
          <w:rFonts w:ascii="Franklin Gothic Book" w:eastAsia="Times New Roman" w:hAnsi="Franklin Gothic Book"/>
          <w:sz w:val="21"/>
        </w:rPr>
        <w:t xml:space="preserve">helped ensure </w:t>
      </w:r>
      <w:r w:rsidR="00DA5AB4">
        <w:rPr>
          <w:rFonts w:ascii="Franklin Gothic Book" w:eastAsia="Times New Roman" w:hAnsi="Franklin Gothic Book"/>
          <w:sz w:val="21"/>
        </w:rPr>
        <w:t xml:space="preserve">the Law encapsulated the Lao </w:t>
      </w:r>
      <w:r w:rsidR="00160EA8">
        <w:rPr>
          <w:rFonts w:ascii="Franklin Gothic Book" w:eastAsia="Times New Roman" w:hAnsi="Franklin Gothic Book"/>
          <w:sz w:val="21"/>
        </w:rPr>
        <w:t>G</w:t>
      </w:r>
      <w:r w:rsidR="00DA5AB4">
        <w:rPr>
          <w:rFonts w:ascii="Franklin Gothic Book" w:eastAsia="Times New Roman" w:hAnsi="Franklin Gothic Book"/>
          <w:sz w:val="21"/>
        </w:rPr>
        <w:t>overnment’s commitment to</w:t>
      </w:r>
      <w:r w:rsidR="00BC5899" w:rsidRPr="001F7D24">
        <w:rPr>
          <w:rFonts w:ascii="Franklin Gothic Book" w:eastAsia="Times New Roman" w:hAnsi="Franklin Gothic Book"/>
          <w:sz w:val="21"/>
        </w:rPr>
        <w:t xml:space="preserve"> fee-free public primary education. </w:t>
      </w:r>
      <w:r w:rsidR="00DA5AB4">
        <w:rPr>
          <w:rFonts w:ascii="Franklin Gothic Book" w:eastAsia="Times New Roman" w:hAnsi="Franklin Gothic Book"/>
          <w:sz w:val="21"/>
        </w:rPr>
        <w:t>Our s</w:t>
      </w:r>
      <w:r w:rsidR="00BC5899" w:rsidRPr="001F7D24">
        <w:rPr>
          <w:rFonts w:ascii="Franklin Gothic Book" w:eastAsia="Times New Roman" w:hAnsi="Franklin Gothic Book"/>
          <w:sz w:val="21"/>
        </w:rPr>
        <w:t>upport for the ESDP</w:t>
      </w:r>
      <w:r w:rsidR="00DA5AB4">
        <w:rPr>
          <w:rFonts w:ascii="Franklin Gothic Book" w:eastAsia="Times New Roman" w:hAnsi="Franklin Gothic Book"/>
          <w:sz w:val="21"/>
        </w:rPr>
        <w:t xml:space="preserve"> contributed to</w:t>
      </w:r>
      <w:r w:rsidR="00BC5899" w:rsidRPr="001F7D24">
        <w:rPr>
          <w:rFonts w:ascii="Franklin Gothic Book" w:eastAsia="Times New Roman" w:hAnsi="Franklin Gothic Book"/>
          <w:sz w:val="21"/>
        </w:rPr>
        <w:t xml:space="preserve"> </w:t>
      </w:r>
      <w:r w:rsidR="00DA5AB4">
        <w:rPr>
          <w:rFonts w:ascii="Franklin Gothic Book" w:eastAsia="Times New Roman" w:hAnsi="Franklin Gothic Book"/>
          <w:sz w:val="21"/>
        </w:rPr>
        <w:t>its ability to better</w:t>
      </w:r>
      <w:r>
        <w:rPr>
          <w:rFonts w:ascii="Franklin Gothic Book" w:eastAsia="Times New Roman" w:hAnsi="Franklin Gothic Book"/>
          <w:sz w:val="21"/>
        </w:rPr>
        <w:t xml:space="preserve"> </w:t>
      </w:r>
      <w:r w:rsidRPr="001F7D24">
        <w:rPr>
          <w:rFonts w:ascii="Franklin Gothic Book" w:eastAsia="Times New Roman" w:hAnsi="Franklin Gothic Book"/>
          <w:sz w:val="21"/>
        </w:rPr>
        <w:t>guide government and donor investments in education</w:t>
      </w:r>
      <w:r w:rsidR="00BC5899" w:rsidRPr="001F7D24">
        <w:rPr>
          <w:rFonts w:ascii="Franklin Gothic Book" w:eastAsia="Times New Roman" w:hAnsi="Franklin Gothic Book"/>
          <w:sz w:val="21"/>
        </w:rPr>
        <w:t xml:space="preserve">. </w:t>
      </w:r>
      <w:r w:rsidR="007130DB">
        <w:rPr>
          <w:rFonts w:ascii="Franklin Gothic Book" w:eastAsia="Times New Roman" w:hAnsi="Franklin Gothic Book"/>
          <w:sz w:val="21"/>
        </w:rPr>
        <w:t>We had expected that the recommendations of a 2014 multi-donor/Lao Government joint education sector review mission would have been fully implemented by the Ministry of Education and Sport by the end of 2014-15, but progress has been very limited.</w:t>
      </w:r>
    </w:p>
    <w:p w:rsidR="007662CC" w:rsidRPr="00962508" w:rsidRDefault="007662CC" w:rsidP="00BA6957">
      <w:pPr>
        <w:pStyle w:val="ListBullet"/>
        <w:numPr>
          <w:ilvl w:val="0"/>
          <w:numId w:val="0"/>
        </w:numPr>
        <w:tabs>
          <w:tab w:val="clear" w:pos="284"/>
        </w:tabs>
      </w:pPr>
      <w:r w:rsidRPr="00962508">
        <w:t xml:space="preserve">As the Global Partnership for Education (GPE) Coordinating Agency, Australia played a key role in coordinating design consultations and preparing the funding application for GPE Phase Two (GPE 2). </w:t>
      </w:r>
      <w:r w:rsidR="007130DB">
        <w:t xml:space="preserve">We achieved our ambition of seeing the </w:t>
      </w:r>
      <w:r w:rsidRPr="00962508">
        <w:t>GPE</w:t>
      </w:r>
      <w:r w:rsidR="003F4D40">
        <w:t xml:space="preserve"> </w:t>
      </w:r>
      <w:r w:rsidRPr="00962508">
        <w:t xml:space="preserve">2 </w:t>
      </w:r>
      <w:r w:rsidR="007130DB">
        <w:t xml:space="preserve">approved in 2014-15, with GPE board approval obtained </w:t>
      </w:r>
      <w:r w:rsidRPr="00962508">
        <w:t xml:space="preserve">in </w:t>
      </w:r>
      <w:r w:rsidR="00040F72" w:rsidRPr="00962508">
        <w:t>December 2014 a</w:t>
      </w:r>
      <w:r w:rsidRPr="00962508">
        <w:t xml:space="preserve">nd </w:t>
      </w:r>
      <w:r w:rsidR="00803F09">
        <w:t xml:space="preserve">a </w:t>
      </w:r>
      <w:r w:rsidR="007130DB">
        <w:t xml:space="preserve">program </w:t>
      </w:r>
      <w:r w:rsidRPr="00962508">
        <w:t xml:space="preserve">launch </w:t>
      </w:r>
      <w:r w:rsidR="00040F72" w:rsidRPr="00962508">
        <w:t>in</w:t>
      </w:r>
      <w:r w:rsidRPr="00962508">
        <w:t xml:space="preserve"> </w:t>
      </w:r>
      <w:r w:rsidR="00E26880">
        <w:t>October</w:t>
      </w:r>
      <w:r w:rsidR="00E26880" w:rsidRPr="00962508">
        <w:t xml:space="preserve"> </w:t>
      </w:r>
      <w:r w:rsidRPr="00962508">
        <w:t xml:space="preserve">2015. The program will support </w:t>
      </w:r>
      <w:r w:rsidR="00DA5AB4">
        <w:t xml:space="preserve">increased </w:t>
      </w:r>
      <w:r w:rsidRPr="00962508">
        <w:t xml:space="preserve">funding for schools and </w:t>
      </w:r>
      <w:r w:rsidR="00346E5B">
        <w:t>improv</w:t>
      </w:r>
      <w:r w:rsidR="00DA5AB4">
        <w:t>ed</w:t>
      </w:r>
      <w:r w:rsidR="00346E5B">
        <w:t xml:space="preserve"> </w:t>
      </w:r>
      <w:r w:rsidRPr="00962508">
        <w:t xml:space="preserve">early grade literacy. </w:t>
      </w:r>
    </w:p>
    <w:p w:rsidR="00EB3A31" w:rsidRPr="00962508" w:rsidRDefault="00EB3A31" w:rsidP="00BA6957">
      <w:pPr>
        <w:pStyle w:val="ListBullet"/>
        <w:numPr>
          <w:ilvl w:val="0"/>
          <w:numId w:val="0"/>
        </w:numPr>
        <w:spacing w:after="0"/>
        <w:rPr>
          <w:szCs w:val="21"/>
        </w:rPr>
      </w:pPr>
    </w:p>
    <w:tbl>
      <w:tblPr>
        <w:tblStyle w:val="APPR1"/>
        <w:tblW w:w="5000" w:type="pct"/>
        <w:tblLook w:val="04A0" w:firstRow="1" w:lastRow="0" w:firstColumn="1" w:lastColumn="0" w:noHBand="0" w:noVBand="1"/>
      </w:tblPr>
      <w:tblGrid>
        <w:gridCol w:w="7956"/>
        <w:gridCol w:w="1343"/>
      </w:tblGrid>
      <w:tr w:rsidR="002424AB" w:rsidRPr="00962508" w:rsidTr="002424AB">
        <w:trPr>
          <w:cnfStyle w:val="100000000000" w:firstRow="1" w:lastRow="0" w:firstColumn="0" w:lastColumn="0" w:oddVBand="0" w:evenVBand="0" w:oddHBand="0" w:evenHBand="0" w:firstRowFirstColumn="0" w:firstRowLastColumn="0" w:lastRowFirstColumn="0" w:lastRowLastColumn="0"/>
        </w:trPr>
        <w:tc>
          <w:tcPr>
            <w:tcW w:w="7466" w:type="dxa"/>
            <w:tcBorders>
              <w:left w:val="nil"/>
              <w:right w:val="nil"/>
            </w:tcBorders>
            <w:hideMark/>
          </w:tcPr>
          <w:p w:rsidR="002424AB" w:rsidRPr="00962508" w:rsidRDefault="002424AB" w:rsidP="00BA6957">
            <w:pPr>
              <w:keepLines/>
              <w:spacing w:before="40" w:after="40" w:line="200" w:lineRule="atLeast"/>
              <w:rPr>
                <w:rFonts w:ascii="Franklin Gothic Book" w:hAnsi="Franklin Gothic Book"/>
                <w:iCs/>
                <w:sz w:val="21"/>
                <w:szCs w:val="21"/>
              </w:rPr>
            </w:pPr>
            <w:r w:rsidRPr="00962508">
              <w:rPr>
                <w:rFonts w:ascii="Franklin Gothic Book" w:hAnsi="Franklin Gothic Book"/>
                <w:iCs/>
                <w:sz w:val="21"/>
                <w:szCs w:val="21"/>
              </w:rPr>
              <w:t>Objective 2: Policy and institutional impediments to trade and investment addressed in sector</w:t>
            </w:r>
            <w:r w:rsidR="0013792C" w:rsidRPr="00962508">
              <w:rPr>
                <w:rFonts w:ascii="Franklin Gothic Book" w:hAnsi="Franklin Gothic Book"/>
                <w:iCs/>
                <w:sz w:val="21"/>
                <w:szCs w:val="21"/>
              </w:rPr>
              <w:t>s</w:t>
            </w:r>
            <w:r w:rsidRPr="00962508">
              <w:rPr>
                <w:rFonts w:ascii="Franklin Gothic Book" w:hAnsi="Franklin Gothic Book"/>
                <w:iCs/>
                <w:sz w:val="21"/>
                <w:szCs w:val="21"/>
              </w:rPr>
              <w:t xml:space="preserve"> that contribute to inclusive growth</w:t>
            </w:r>
          </w:p>
        </w:tc>
        <w:tc>
          <w:tcPr>
            <w:tcW w:w="1227" w:type="dxa"/>
            <w:tcBorders>
              <w:left w:val="nil"/>
              <w:right w:val="nil"/>
            </w:tcBorders>
            <w:shd w:val="clear" w:color="auto" w:fill="92D050"/>
            <w:noWrap/>
            <w:hideMark/>
          </w:tcPr>
          <w:p w:rsidR="002424AB" w:rsidRPr="00962508" w:rsidRDefault="002424AB" w:rsidP="00BA6957">
            <w:pPr>
              <w:keepLines/>
              <w:spacing w:before="40" w:after="40" w:line="200" w:lineRule="atLeast"/>
              <w:rPr>
                <w:rFonts w:ascii="Franklin Gothic Book" w:hAnsi="Franklin Gothic Book"/>
                <w:iCs/>
                <w:sz w:val="17"/>
                <w:szCs w:val="17"/>
              </w:rPr>
            </w:pPr>
            <w:r w:rsidRPr="00962508">
              <w:rPr>
                <w:rFonts w:ascii="Franklin Gothic Book" w:hAnsi="Franklin Gothic Book"/>
                <w:iCs/>
                <w:sz w:val="17"/>
                <w:szCs w:val="17"/>
              </w:rPr>
              <w:t>Green</w:t>
            </w:r>
          </w:p>
        </w:tc>
      </w:tr>
    </w:tbl>
    <w:p w:rsidR="00DA5AB4" w:rsidRPr="00962508" w:rsidRDefault="00DA5AB4" w:rsidP="00BA6957">
      <w:pPr>
        <w:keepNext/>
        <w:keepLines/>
        <w:spacing w:before="20" w:after="20" w:line="180" w:lineRule="atLeast"/>
        <w:rPr>
          <w:rFonts w:ascii="Franklin Gothic Book" w:eastAsia="Times New Roman" w:hAnsi="Franklin Gothic Book"/>
          <w:color w:val="72AF2F"/>
          <w:sz w:val="14"/>
          <w:szCs w:val="14"/>
        </w:rPr>
      </w:pPr>
    </w:p>
    <w:p w:rsidR="00E70C0E" w:rsidRPr="00256476" w:rsidRDefault="00B53ED0" w:rsidP="00BA6957">
      <w:pPr>
        <w:spacing w:after="160" w:line="280" w:lineRule="exact"/>
        <w:rPr>
          <w:rFonts w:ascii="Franklin Gothic Book" w:eastAsia="Times New Roman" w:hAnsi="Franklin Gothic Book"/>
          <w:b/>
          <w:sz w:val="21"/>
        </w:rPr>
      </w:pPr>
      <w:r w:rsidRPr="00256476">
        <w:rPr>
          <w:rFonts w:ascii="Franklin Gothic Book" w:eastAsia="Calibri" w:hAnsi="Franklin Gothic Book"/>
          <w:b/>
          <w:sz w:val="21"/>
          <w:lang w:eastAsia="en-US"/>
        </w:rPr>
        <w:t>All</w:t>
      </w:r>
      <w:r w:rsidR="00E70C0E" w:rsidRPr="00256476">
        <w:rPr>
          <w:rFonts w:ascii="Franklin Gothic Book" w:eastAsia="Calibri" w:hAnsi="Franklin Gothic Book"/>
          <w:b/>
          <w:sz w:val="21"/>
          <w:lang w:eastAsia="en-US"/>
        </w:rPr>
        <w:t xml:space="preserve"> </w:t>
      </w:r>
      <w:r w:rsidR="0013792C" w:rsidRPr="00256476">
        <w:rPr>
          <w:rFonts w:ascii="Franklin Gothic Book" w:eastAsia="Calibri" w:hAnsi="Franklin Gothic Book"/>
          <w:b/>
          <w:sz w:val="21"/>
          <w:lang w:eastAsia="en-US"/>
        </w:rPr>
        <w:t>nine</w:t>
      </w:r>
      <w:r w:rsidR="00E70C0E" w:rsidRPr="00256476">
        <w:rPr>
          <w:rFonts w:ascii="Franklin Gothic Book" w:eastAsia="Calibri" w:hAnsi="Franklin Gothic Book"/>
          <w:b/>
          <w:sz w:val="21"/>
          <w:lang w:eastAsia="en-US"/>
        </w:rPr>
        <w:t xml:space="preserve"> </w:t>
      </w:r>
      <w:r w:rsidR="00BE36E4">
        <w:rPr>
          <w:rFonts w:ascii="Franklin Gothic Book" w:eastAsia="Calibri" w:hAnsi="Franklin Gothic Book"/>
          <w:b/>
          <w:sz w:val="21"/>
          <w:lang w:eastAsia="en-US"/>
        </w:rPr>
        <w:t xml:space="preserve">performance </w:t>
      </w:r>
      <w:r w:rsidR="00E70C0E" w:rsidRPr="00256476">
        <w:rPr>
          <w:rFonts w:ascii="Franklin Gothic Book" w:eastAsia="Calibri" w:hAnsi="Franklin Gothic Book"/>
          <w:b/>
          <w:sz w:val="21"/>
          <w:lang w:eastAsia="en-US"/>
        </w:rPr>
        <w:t xml:space="preserve">milestones </w:t>
      </w:r>
      <w:r w:rsidR="00BE36E4">
        <w:rPr>
          <w:rFonts w:ascii="Franklin Gothic Book" w:eastAsia="Calibri" w:hAnsi="Franklin Gothic Book"/>
          <w:b/>
          <w:sz w:val="21"/>
          <w:lang w:eastAsia="en-US"/>
        </w:rPr>
        <w:t xml:space="preserve">set </w:t>
      </w:r>
      <w:r w:rsidR="00E70C0E" w:rsidRPr="00256476">
        <w:rPr>
          <w:rFonts w:ascii="Franklin Gothic Book" w:eastAsia="Calibri" w:hAnsi="Franklin Gothic Book"/>
          <w:b/>
          <w:sz w:val="21"/>
          <w:lang w:eastAsia="en-US"/>
        </w:rPr>
        <w:t xml:space="preserve">for this objective </w:t>
      </w:r>
      <w:r w:rsidR="00BE36E4">
        <w:rPr>
          <w:rFonts w:ascii="Franklin Gothic Book" w:eastAsia="Calibri" w:hAnsi="Franklin Gothic Book"/>
          <w:b/>
          <w:sz w:val="21"/>
          <w:lang w:eastAsia="en-US"/>
        </w:rPr>
        <w:t xml:space="preserve">in 2014-15 </w:t>
      </w:r>
      <w:r w:rsidR="00E70C0E" w:rsidRPr="00256476">
        <w:rPr>
          <w:rFonts w:ascii="Franklin Gothic Book" w:eastAsia="Calibri" w:hAnsi="Franklin Gothic Book"/>
          <w:b/>
          <w:sz w:val="21"/>
          <w:lang w:eastAsia="en-US"/>
        </w:rPr>
        <w:t>were met</w:t>
      </w:r>
      <w:r w:rsidR="00DA5AB4">
        <w:rPr>
          <w:rFonts w:ascii="Franklin Gothic Book" w:eastAsia="Calibri" w:hAnsi="Franklin Gothic Book"/>
          <w:b/>
          <w:sz w:val="21"/>
          <w:lang w:eastAsia="en-US"/>
        </w:rPr>
        <w:t>.</w:t>
      </w:r>
    </w:p>
    <w:p w:rsidR="00E70C0E" w:rsidRPr="00962508" w:rsidRDefault="0057564D" w:rsidP="00B67541">
      <w:pPr>
        <w:pStyle w:val="BodyText"/>
        <w:rPr>
          <w:lang w:eastAsia="zh-CN"/>
        </w:rPr>
      </w:pPr>
      <w:r>
        <w:rPr>
          <w:lang w:eastAsia="zh-CN"/>
        </w:rPr>
        <w:t xml:space="preserve">The investment that contributed to this objective </w:t>
      </w:r>
      <w:r w:rsidR="00E11A1A">
        <w:rPr>
          <w:lang w:eastAsia="zh-CN"/>
        </w:rPr>
        <w:t xml:space="preserve">in 2014-15 </w:t>
      </w:r>
      <w:r>
        <w:rPr>
          <w:lang w:eastAsia="zh-CN"/>
        </w:rPr>
        <w:t>was t</w:t>
      </w:r>
      <w:r w:rsidR="003B0D97" w:rsidRPr="00962508">
        <w:rPr>
          <w:lang w:eastAsia="zh-CN"/>
        </w:rPr>
        <w:t>he Trade Development Facility</w:t>
      </w:r>
      <w:r w:rsidR="00475E28">
        <w:rPr>
          <w:lang w:eastAsia="zh-CN"/>
        </w:rPr>
        <w:t xml:space="preserve"> </w:t>
      </w:r>
      <w:r w:rsidR="00DA5AB4">
        <w:rPr>
          <w:lang w:eastAsia="zh-CN"/>
        </w:rPr>
        <w:t xml:space="preserve">2 </w:t>
      </w:r>
      <w:r w:rsidR="00475E28">
        <w:t>(</w:t>
      </w:r>
      <w:r w:rsidR="00DA5AB4">
        <w:t xml:space="preserve">TDF 2: </w:t>
      </w:r>
      <w:r w:rsidR="003B0D97">
        <w:rPr>
          <w:lang w:eastAsia="zh-CN"/>
        </w:rPr>
        <w:t>$5 million</w:t>
      </w:r>
      <w:r w:rsidR="003B0D97" w:rsidRPr="00962508">
        <w:rPr>
          <w:lang w:eastAsia="zh-CN"/>
        </w:rPr>
        <w:t xml:space="preserve"> </w:t>
      </w:r>
      <w:r w:rsidR="003B0D97">
        <w:rPr>
          <w:lang w:eastAsia="zh-CN"/>
        </w:rPr>
        <w:t>over 2013-2017</w:t>
      </w:r>
      <w:r w:rsidR="00475E28">
        <w:rPr>
          <w:lang w:eastAsia="zh-CN"/>
        </w:rPr>
        <w:t>)</w:t>
      </w:r>
      <w:r w:rsidR="00DA5AB4">
        <w:rPr>
          <w:lang w:eastAsia="zh-CN"/>
        </w:rPr>
        <w:t>.</w:t>
      </w:r>
      <w:r>
        <w:rPr>
          <w:lang w:eastAsia="zh-CN"/>
        </w:rPr>
        <w:t xml:space="preserve"> </w:t>
      </w:r>
      <w:r w:rsidR="00633D7D" w:rsidRPr="00962508">
        <w:rPr>
          <w:lang w:eastAsia="zh-CN"/>
        </w:rPr>
        <w:t xml:space="preserve">TDF 2 focuses on addressing constraints to Laos’ integration into the regional and multilateral trading system by supporting trade facilitation and policy activities that will improve transparency, predictability and lower compliance costs for traders. </w:t>
      </w:r>
      <w:r w:rsidR="00E70C0E" w:rsidRPr="00962508">
        <w:rPr>
          <w:lang w:eastAsia="zh-CN"/>
        </w:rPr>
        <w:t xml:space="preserve">Major </w:t>
      </w:r>
      <w:r w:rsidR="00D7338E">
        <w:rPr>
          <w:lang w:eastAsia="zh-CN"/>
        </w:rPr>
        <w:t>areas</w:t>
      </w:r>
      <w:r w:rsidR="00D7338E" w:rsidRPr="00962508">
        <w:rPr>
          <w:lang w:eastAsia="zh-CN"/>
        </w:rPr>
        <w:t xml:space="preserve"> </w:t>
      </w:r>
      <w:r w:rsidR="00E70C0E" w:rsidRPr="00962508">
        <w:rPr>
          <w:lang w:eastAsia="zh-CN"/>
        </w:rPr>
        <w:t xml:space="preserve">of work are </w:t>
      </w:r>
      <w:r w:rsidR="00D7338E">
        <w:rPr>
          <w:lang w:eastAsia="zh-CN"/>
        </w:rPr>
        <w:t>on track</w:t>
      </w:r>
      <w:r w:rsidR="00E70C0E" w:rsidRPr="00962508">
        <w:rPr>
          <w:lang w:eastAsia="zh-CN"/>
        </w:rPr>
        <w:t xml:space="preserve">, including </w:t>
      </w:r>
      <w:r w:rsidR="000773B8">
        <w:rPr>
          <w:lang w:eastAsia="zh-CN"/>
        </w:rPr>
        <w:t xml:space="preserve">pursuing </w:t>
      </w:r>
      <w:r w:rsidR="00E70C0E" w:rsidRPr="00962508">
        <w:rPr>
          <w:lang w:eastAsia="zh-CN"/>
        </w:rPr>
        <w:t>re</w:t>
      </w:r>
      <w:r w:rsidR="008B4C8F" w:rsidRPr="00962508">
        <w:rPr>
          <w:lang w:eastAsia="zh-CN"/>
        </w:rPr>
        <w:t xml:space="preserve">forms in </w:t>
      </w:r>
      <w:r w:rsidR="000773B8">
        <w:rPr>
          <w:lang w:eastAsia="zh-CN"/>
        </w:rPr>
        <w:t xml:space="preserve">the </w:t>
      </w:r>
      <w:r w:rsidR="008B4C8F" w:rsidRPr="00962508">
        <w:rPr>
          <w:lang w:eastAsia="zh-CN"/>
        </w:rPr>
        <w:t>telecommunication</w:t>
      </w:r>
      <w:r w:rsidR="00D7338E">
        <w:rPr>
          <w:lang w:eastAsia="zh-CN"/>
        </w:rPr>
        <w:t>s</w:t>
      </w:r>
      <w:r w:rsidR="000773B8">
        <w:rPr>
          <w:lang w:eastAsia="zh-CN"/>
        </w:rPr>
        <w:t xml:space="preserve"> sector</w:t>
      </w:r>
      <w:r w:rsidR="001D6DD4" w:rsidRPr="00962508">
        <w:rPr>
          <w:lang w:eastAsia="zh-CN"/>
        </w:rPr>
        <w:t>,</w:t>
      </w:r>
      <w:r w:rsidR="008B4C8F" w:rsidRPr="00962508">
        <w:rPr>
          <w:lang w:eastAsia="zh-CN"/>
        </w:rPr>
        <w:t xml:space="preserve"> </w:t>
      </w:r>
      <w:r w:rsidR="00E70C0E" w:rsidRPr="00962508">
        <w:rPr>
          <w:lang w:eastAsia="zh-CN"/>
        </w:rPr>
        <w:t>reducing barriers to trade t</w:t>
      </w:r>
      <w:r w:rsidR="008B4C8F" w:rsidRPr="00962508">
        <w:rPr>
          <w:lang w:eastAsia="zh-CN"/>
        </w:rPr>
        <w:t>h</w:t>
      </w:r>
      <w:r w:rsidR="00E70C0E" w:rsidRPr="00962508">
        <w:rPr>
          <w:lang w:eastAsia="zh-CN"/>
        </w:rPr>
        <w:t>rough simplification of existing procedures</w:t>
      </w:r>
      <w:r w:rsidR="00B84442" w:rsidRPr="00962508">
        <w:rPr>
          <w:lang w:eastAsia="zh-CN"/>
        </w:rPr>
        <w:t xml:space="preserve"> </w:t>
      </w:r>
      <w:r w:rsidR="001D6DD4" w:rsidRPr="00962508">
        <w:rPr>
          <w:lang w:eastAsia="zh-CN"/>
        </w:rPr>
        <w:t xml:space="preserve">and the </w:t>
      </w:r>
      <w:r w:rsidR="001D6DD4" w:rsidRPr="00304382">
        <w:rPr>
          <w:lang w:eastAsia="zh-CN"/>
        </w:rPr>
        <w:t>implementation of an innovative matching grants scheme for business</w:t>
      </w:r>
      <w:r w:rsidR="00A06B96">
        <w:rPr>
          <w:lang w:eastAsia="zh-CN"/>
        </w:rPr>
        <w:t>e</w:t>
      </w:r>
      <w:r w:rsidR="00B67541">
        <w:rPr>
          <w:lang w:eastAsia="zh-CN"/>
        </w:rPr>
        <w:t>s</w:t>
      </w:r>
      <w:r w:rsidR="00E70C0E" w:rsidRPr="00962508">
        <w:rPr>
          <w:lang w:eastAsia="zh-CN"/>
        </w:rPr>
        <w:t xml:space="preserve">. </w:t>
      </w:r>
      <w:r w:rsidR="001D6DD4" w:rsidRPr="00962508">
        <w:rPr>
          <w:lang w:eastAsia="zh-CN"/>
        </w:rPr>
        <w:t xml:space="preserve">The latter </w:t>
      </w:r>
      <w:r w:rsidR="00B67541">
        <w:rPr>
          <w:lang w:eastAsia="zh-CN"/>
        </w:rPr>
        <w:t>helps</w:t>
      </w:r>
      <w:r w:rsidR="001D6DD4" w:rsidRPr="00962508">
        <w:rPr>
          <w:lang w:eastAsia="zh-CN"/>
        </w:rPr>
        <w:t xml:space="preserve"> Lao-based businesses, especially small and medium enterprises, </w:t>
      </w:r>
      <w:r w:rsidR="00B67541">
        <w:rPr>
          <w:lang w:eastAsia="zh-CN"/>
        </w:rPr>
        <w:t xml:space="preserve">overcome some significant challenges to </w:t>
      </w:r>
      <w:r w:rsidR="001D6DD4" w:rsidRPr="00962508">
        <w:rPr>
          <w:lang w:eastAsia="zh-CN"/>
        </w:rPr>
        <w:t>accessing finance</w:t>
      </w:r>
      <w:r w:rsidR="00E70C0E" w:rsidRPr="00962508">
        <w:rPr>
          <w:lang w:eastAsia="zh-CN"/>
        </w:rPr>
        <w:t xml:space="preserve">. </w:t>
      </w:r>
      <w:r w:rsidR="00B67541">
        <w:rPr>
          <w:lang w:eastAsia="zh-CN"/>
        </w:rPr>
        <w:t>T</w:t>
      </w:r>
      <w:r w:rsidR="00E70C0E" w:rsidRPr="00962508">
        <w:rPr>
          <w:lang w:eastAsia="zh-CN"/>
        </w:rPr>
        <w:t xml:space="preserve">he challenge in coming years will be to maintain whole-of-government commitment to </w:t>
      </w:r>
      <w:r w:rsidR="00B67541">
        <w:rPr>
          <w:lang w:eastAsia="zh-CN"/>
        </w:rPr>
        <w:t xml:space="preserve">the implementation of </w:t>
      </w:r>
      <w:r w:rsidR="00E70C0E" w:rsidRPr="00962508">
        <w:rPr>
          <w:lang w:eastAsia="zh-CN"/>
        </w:rPr>
        <w:t>reform</w:t>
      </w:r>
      <w:r w:rsidR="00B67541">
        <w:rPr>
          <w:lang w:eastAsia="zh-CN"/>
        </w:rPr>
        <w:t>s</w:t>
      </w:r>
      <w:r w:rsidR="00E70C0E" w:rsidRPr="00962508">
        <w:rPr>
          <w:lang w:eastAsia="zh-CN"/>
        </w:rPr>
        <w:t>.</w:t>
      </w:r>
    </w:p>
    <w:p w:rsidR="00857F26" w:rsidRPr="00962508" w:rsidRDefault="00E70C0E" w:rsidP="00BA6957">
      <w:pPr>
        <w:pStyle w:val="BodyText"/>
        <w:rPr>
          <w:lang w:eastAsia="zh-CN"/>
        </w:rPr>
      </w:pPr>
      <w:r w:rsidRPr="00962508">
        <w:rPr>
          <w:lang w:eastAsia="zh-CN"/>
        </w:rPr>
        <w:t>The mid-term review of the TDF</w:t>
      </w:r>
      <w:r w:rsidR="00304382">
        <w:rPr>
          <w:lang w:eastAsia="zh-CN"/>
        </w:rPr>
        <w:t xml:space="preserve"> </w:t>
      </w:r>
      <w:r w:rsidR="003F4D40">
        <w:rPr>
          <w:lang w:eastAsia="zh-CN"/>
        </w:rPr>
        <w:t>2</w:t>
      </w:r>
      <w:r w:rsidRPr="00962508">
        <w:rPr>
          <w:lang w:eastAsia="zh-CN"/>
        </w:rPr>
        <w:t xml:space="preserve"> was undertaken in June 2015. </w:t>
      </w:r>
      <w:r w:rsidRPr="00304382">
        <w:rPr>
          <w:lang w:eastAsia="zh-CN"/>
        </w:rPr>
        <w:t xml:space="preserve">Although results were mixed, overall progress </w:t>
      </w:r>
      <w:r w:rsidR="00B67541">
        <w:rPr>
          <w:lang w:eastAsia="zh-CN"/>
        </w:rPr>
        <w:t>was assessed as</w:t>
      </w:r>
      <w:r w:rsidR="00B67541" w:rsidRPr="00304382">
        <w:rPr>
          <w:lang w:eastAsia="zh-CN"/>
        </w:rPr>
        <w:t xml:space="preserve"> </w:t>
      </w:r>
      <w:r w:rsidRPr="00304382">
        <w:rPr>
          <w:lang w:eastAsia="zh-CN"/>
        </w:rPr>
        <w:t>positive.</w:t>
      </w:r>
      <w:r w:rsidRPr="00962508">
        <w:rPr>
          <w:lang w:eastAsia="zh-CN"/>
        </w:rPr>
        <w:t xml:space="preserve"> The main technical wor</w:t>
      </w:r>
      <w:r w:rsidR="007C5DAD">
        <w:rPr>
          <w:lang w:eastAsia="zh-CN"/>
        </w:rPr>
        <w:t>k on identifying NTMs in Laos</w:t>
      </w:r>
      <w:r w:rsidRPr="00962508">
        <w:rPr>
          <w:lang w:eastAsia="zh-CN"/>
        </w:rPr>
        <w:t xml:space="preserve"> has been completed and published on the Lao Trade Portal </w:t>
      </w:r>
      <w:r w:rsidR="0029055B" w:rsidRPr="00962508">
        <w:rPr>
          <w:lang w:eastAsia="zh-CN"/>
        </w:rPr>
        <w:t xml:space="preserve">as planned </w:t>
      </w:r>
      <w:r w:rsidRPr="00962508">
        <w:rPr>
          <w:lang w:eastAsia="zh-CN"/>
        </w:rPr>
        <w:t>(the portal is a TDF</w:t>
      </w:r>
      <w:r w:rsidR="007C5DAD">
        <w:rPr>
          <w:lang w:eastAsia="zh-CN"/>
        </w:rPr>
        <w:t xml:space="preserve"> 2</w:t>
      </w:r>
      <w:r w:rsidRPr="00962508">
        <w:rPr>
          <w:lang w:eastAsia="zh-CN"/>
        </w:rPr>
        <w:t xml:space="preserve">-funded initiative that publishes all trade-related legislation and documentation online). </w:t>
      </w:r>
      <w:r w:rsidR="00D7338E">
        <w:rPr>
          <w:lang w:eastAsia="zh-CN"/>
        </w:rPr>
        <w:t>The next step will be</w:t>
      </w:r>
      <w:r w:rsidRPr="00962508">
        <w:rPr>
          <w:lang w:eastAsia="zh-CN"/>
        </w:rPr>
        <w:t xml:space="preserve"> to establish a </w:t>
      </w:r>
      <w:r w:rsidR="00D7338E">
        <w:rPr>
          <w:lang w:eastAsia="zh-CN"/>
        </w:rPr>
        <w:t>cross-</w:t>
      </w:r>
      <w:r w:rsidRPr="00962508">
        <w:rPr>
          <w:lang w:eastAsia="zh-CN"/>
        </w:rPr>
        <w:t xml:space="preserve">sectoral </w:t>
      </w:r>
      <w:r w:rsidR="00D7338E">
        <w:rPr>
          <w:lang w:eastAsia="zh-CN"/>
        </w:rPr>
        <w:t>NTMs W</w:t>
      </w:r>
      <w:r w:rsidRPr="00962508">
        <w:rPr>
          <w:lang w:eastAsia="zh-CN"/>
        </w:rPr>
        <w:t xml:space="preserve">orking </w:t>
      </w:r>
      <w:r w:rsidR="00D7338E">
        <w:rPr>
          <w:lang w:eastAsia="zh-CN"/>
        </w:rPr>
        <w:t>G</w:t>
      </w:r>
      <w:r w:rsidRPr="00962508">
        <w:rPr>
          <w:lang w:eastAsia="zh-CN"/>
        </w:rPr>
        <w:t xml:space="preserve">roup to </w:t>
      </w:r>
      <w:r w:rsidR="00B67541">
        <w:rPr>
          <w:lang w:eastAsia="zh-CN"/>
        </w:rPr>
        <w:t>start</w:t>
      </w:r>
      <w:r w:rsidR="00B67541" w:rsidRPr="00962508">
        <w:rPr>
          <w:lang w:eastAsia="zh-CN"/>
        </w:rPr>
        <w:t xml:space="preserve"> </w:t>
      </w:r>
      <w:r w:rsidRPr="00962508">
        <w:rPr>
          <w:lang w:eastAsia="zh-CN"/>
        </w:rPr>
        <w:t xml:space="preserve">streamlining </w:t>
      </w:r>
      <w:r w:rsidR="00B67541">
        <w:rPr>
          <w:lang w:eastAsia="zh-CN"/>
        </w:rPr>
        <w:t>NTM</w:t>
      </w:r>
      <w:r w:rsidR="00946D8F">
        <w:rPr>
          <w:lang w:eastAsia="zh-CN"/>
        </w:rPr>
        <w:t>s</w:t>
      </w:r>
      <w:r w:rsidR="00B67541">
        <w:rPr>
          <w:lang w:eastAsia="zh-CN"/>
        </w:rPr>
        <w:t xml:space="preserve"> that have been </w:t>
      </w:r>
      <w:r w:rsidR="00083A84">
        <w:rPr>
          <w:lang w:eastAsia="zh-CN"/>
        </w:rPr>
        <w:t>identified</w:t>
      </w:r>
      <w:r w:rsidR="00E26E16" w:rsidRPr="00962508">
        <w:rPr>
          <w:lang w:eastAsia="zh-CN"/>
        </w:rPr>
        <w:t>.</w:t>
      </w:r>
    </w:p>
    <w:p w:rsidR="00857F26" w:rsidRPr="00962508" w:rsidRDefault="00D7338E" w:rsidP="00BA6957">
      <w:pPr>
        <w:pStyle w:val="BodyText"/>
        <w:rPr>
          <w:lang w:eastAsia="zh-CN"/>
        </w:rPr>
      </w:pPr>
      <w:r>
        <w:rPr>
          <w:lang w:eastAsia="zh-CN"/>
        </w:rPr>
        <w:t>Taking into account</w:t>
      </w:r>
      <w:r w:rsidRPr="00962508">
        <w:rPr>
          <w:lang w:eastAsia="zh-CN"/>
        </w:rPr>
        <w:t xml:space="preserve"> </w:t>
      </w:r>
      <w:r w:rsidR="00857F26" w:rsidRPr="00962508">
        <w:rPr>
          <w:lang w:eastAsia="zh-CN"/>
        </w:rPr>
        <w:t>the challenges in the business environment in Laos and</w:t>
      </w:r>
      <w:r w:rsidR="000773B8">
        <w:rPr>
          <w:lang w:eastAsia="zh-CN"/>
        </w:rPr>
        <w:t xml:space="preserve"> the</w:t>
      </w:r>
      <w:r w:rsidR="00857F26" w:rsidRPr="00962508">
        <w:rPr>
          <w:lang w:eastAsia="zh-CN"/>
        </w:rPr>
        <w:t xml:space="preserve"> findings </w:t>
      </w:r>
      <w:r w:rsidR="000773B8">
        <w:rPr>
          <w:lang w:eastAsia="zh-CN"/>
        </w:rPr>
        <w:t>of</w:t>
      </w:r>
      <w:r w:rsidR="000773B8" w:rsidRPr="00962508">
        <w:rPr>
          <w:lang w:eastAsia="zh-CN"/>
        </w:rPr>
        <w:t xml:space="preserve"> </w:t>
      </w:r>
      <w:r w:rsidR="00857F26" w:rsidRPr="00962508">
        <w:rPr>
          <w:lang w:eastAsia="zh-CN"/>
        </w:rPr>
        <w:t xml:space="preserve">the mid-term review, </w:t>
      </w:r>
      <w:r>
        <w:rPr>
          <w:lang w:eastAsia="zh-CN"/>
        </w:rPr>
        <w:t>DFAT</w:t>
      </w:r>
      <w:r w:rsidRPr="00962508">
        <w:rPr>
          <w:lang w:eastAsia="zh-CN"/>
        </w:rPr>
        <w:t xml:space="preserve"> </w:t>
      </w:r>
      <w:r w:rsidR="00857F26" w:rsidRPr="00962508">
        <w:rPr>
          <w:lang w:eastAsia="zh-CN"/>
        </w:rPr>
        <w:t>is exploring expanding the scope of TDF</w:t>
      </w:r>
      <w:r w:rsidR="007C5DAD">
        <w:rPr>
          <w:lang w:eastAsia="zh-CN"/>
        </w:rPr>
        <w:t xml:space="preserve"> </w:t>
      </w:r>
      <w:r w:rsidR="00857F26" w:rsidRPr="00962508">
        <w:rPr>
          <w:lang w:eastAsia="zh-CN"/>
        </w:rPr>
        <w:t xml:space="preserve">2 to respond directly to private sector constraints and deepen engagement </w:t>
      </w:r>
      <w:r w:rsidR="00A06B96">
        <w:rPr>
          <w:lang w:eastAsia="zh-CN"/>
        </w:rPr>
        <w:t>i</w:t>
      </w:r>
      <w:r w:rsidR="00857F26" w:rsidRPr="00962508">
        <w:rPr>
          <w:lang w:eastAsia="zh-CN"/>
        </w:rPr>
        <w:t xml:space="preserve">n women’s economic empowerment. These </w:t>
      </w:r>
      <w:r w:rsidR="005764AE" w:rsidRPr="00962508">
        <w:rPr>
          <w:lang w:eastAsia="zh-CN"/>
        </w:rPr>
        <w:t>include</w:t>
      </w:r>
      <w:r w:rsidR="00857F26" w:rsidRPr="00962508">
        <w:rPr>
          <w:lang w:eastAsia="zh-CN"/>
        </w:rPr>
        <w:t xml:space="preserve"> streamlining business registration, </w:t>
      </w:r>
      <w:r w:rsidR="000773B8">
        <w:rPr>
          <w:lang w:eastAsia="zh-CN"/>
        </w:rPr>
        <w:t xml:space="preserve">increasing </w:t>
      </w:r>
      <w:r w:rsidR="00857F26" w:rsidRPr="00962508">
        <w:rPr>
          <w:lang w:eastAsia="zh-CN"/>
        </w:rPr>
        <w:t xml:space="preserve">public-private dialogue on trade and </w:t>
      </w:r>
      <w:r w:rsidR="00AC0F9E" w:rsidRPr="00962508">
        <w:rPr>
          <w:lang w:eastAsia="zh-CN"/>
        </w:rPr>
        <w:t>an</w:t>
      </w:r>
      <w:r w:rsidR="001D6DD4" w:rsidRPr="00962508">
        <w:rPr>
          <w:lang w:eastAsia="zh-CN"/>
        </w:rPr>
        <w:t xml:space="preserve"> effort to</w:t>
      </w:r>
      <w:r w:rsidR="007C5DAD">
        <w:rPr>
          <w:lang w:eastAsia="zh-CN"/>
        </w:rPr>
        <w:t xml:space="preserve"> better</w:t>
      </w:r>
      <w:r w:rsidR="001D6DD4" w:rsidRPr="00962508">
        <w:rPr>
          <w:lang w:eastAsia="zh-CN"/>
        </w:rPr>
        <w:t xml:space="preserve"> involve women in the trade reform process</w:t>
      </w:r>
      <w:r w:rsidR="00B67541">
        <w:rPr>
          <w:lang w:eastAsia="zh-CN"/>
        </w:rPr>
        <w:t>.</w:t>
      </w:r>
    </w:p>
    <w:p w:rsidR="00E70C0E" w:rsidRPr="00962508" w:rsidRDefault="00757047" w:rsidP="00BA6957">
      <w:pPr>
        <w:pStyle w:val="BodyText"/>
        <w:rPr>
          <w:lang w:eastAsia="zh-CN"/>
        </w:rPr>
      </w:pPr>
      <w:r>
        <w:rPr>
          <w:lang w:eastAsia="zh-CN"/>
        </w:rPr>
        <w:t>During the reporting period, a</w:t>
      </w:r>
      <w:r w:rsidR="00E70C0E" w:rsidRPr="00962508">
        <w:rPr>
          <w:lang w:eastAsia="zh-CN"/>
        </w:rPr>
        <w:t xml:space="preserve"> regulatory assessment </w:t>
      </w:r>
      <w:r w:rsidR="000773B8">
        <w:rPr>
          <w:lang w:eastAsia="zh-CN"/>
        </w:rPr>
        <w:t>of</w:t>
      </w:r>
      <w:r w:rsidR="00E70C0E" w:rsidRPr="00962508">
        <w:rPr>
          <w:lang w:eastAsia="zh-CN"/>
        </w:rPr>
        <w:t xml:space="preserve"> laws and regulations affecting trade in services</w:t>
      </w:r>
      <w:r w:rsidR="0006433F" w:rsidRPr="00962508">
        <w:rPr>
          <w:lang w:eastAsia="zh-CN"/>
        </w:rPr>
        <w:t xml:space="preserve"> was</w:t>
      </w:r>
      <w:r w:rsidR="00E70C0E" w:rsidRPr="00962508">
        <w:rPr>
          <w:lang w:eastAsia="zh-CN"/>
        </w:rPr>
        <w:t xml:space="preserve"> completed</w:t>
      </w:r>
      <w:r w:rsidR="0029055B" w:rsidRPr="00962508">
        <w:rPr>
          <w:lang w:eastAsia="zh-CN"/>
        </w:rPr>
        <w:t xml:space="preserve"> as planned</w:t>
      </w:r>
      <w:r w:rsidR="00E70C0E" w:rsidRPr="00962508">
        <w:rPr>
          <w:lang w:eastAsia="zh-CN"/>
        </w:rPr>
        <w:t xml:space="preserve">. </w:t>
      </w:r>
      <w:r w:rsidR="00B67541">
        <w:rPr>
          <w:lang w:eastAsia="zh-CN"/>
        </w:rPr>
        <w:t>The Ministry of Industry and Commerce (MoIC)</w:t>
      </w:r>
      <w:r w:rsidR="00B67541" w:rsidRPr="00962508">
        <w:rPr>
          <w:lang w:eastAsia="zh-CN"/>
        </w:rPr>
        <w:t xml:space="preserve"> </w:t>
      </w:r>
      <w:r w:rsidR="00E70C0E" w:rsidRPr="00962508">
        <w:rPr>
          <w:lang w:eastAsia="zh-CN"/>
        </w:rPr>
        <w:t xml:space="preserve">is developing an action plan to implement the assessment’s recommendations, in particular those related to </w:t>
      </w:r>
      <w:r w:rsidR="007C5DAD">
        <w:rPr>
          <w:lang w:eastAsia="zh-CN"/>
        </w:rPr>
        <w:t xml:space="preserve">improving the </w:t>
      </w:r>
      <w:r w:rsidR="007C5DAD" w:rsidRPr="00962508">
        <w:rPr>
          <w:lang w:eastAsia="zh-CN"/>
        </w:rPr>
        <w:t xml:space="preserve">business environment </w:t>
      </w:r>
      <w:r w:rsidR="007C5DAD">
        <w:rPr>
          <w:lang w:eastAsia="zh-CN"/>
        </w:rPr>
        <w:t xml:space="preserve">and </w:t>
      </w:r>
      <w:r w:rsidR="00E70C0E" w:rsidRPr="00962508">
        <w:rPr>
          <w:lang w:eastAsia="zh-CN"/>
        </w:rPr>
        <w:t xml:space="preserve">procedures under </w:t>
      </w:r>
      <w:r w:rsidR="000773B8">
        <w:rPr>
          <w:lang w:eastAsia="zh-CN"/>
        </w:rPr>
        <w:t>Laos’</w:t>
      </w:r>
      <w:r w:rsidR="000773B8" w:rsidRPr="00962508">
        <w:rPr>
          <w:lang w:eastAsia="zh-CN"/>
        </w:rPr>
        <w:t xml:space="preserve"> </w:t>
      </w:r>
      <w:r w:rsidR="007C5DAD">
        <w:rPr>
          <w:lang w:eastAsia="zh-CN"/>
        </w:rPr>
        <w:t>Enterprise Law</w:t>
      </w:r>
      <w:r w:rsidR="00E70C0E" w:rsidRPr="00962508">
        <w:rPr>
          <w:lang w:eastAsia="zh-CN"/>
        </w:rPr>
        <w:t>. An assessment of the institutional and regulatory framework for</w:t>
      </w:r>
      <w:r w:rsidR="000773B8">
        <w:rPr>
          <w:lang w:eastAsia="zh-CN"/>
        </w:rPr>
        <w:t xml:space="preserve"> the</w:t>
      </w:r>
      <w:r w:rsidR="00E70C0E" w:rsidRPr="00962508">
        <w:rPr>
          <w:lang w:eastAsia="zh-CN"/>
        </w:rPr>
        <w:t xml:space="preserve"> telecommunication</w:t>
      </w:r>
      <w:r w:rsidR="000773B8">
        <w:rPr>
          <w:lang w:eastAsia="zh-CN"/>
        </w:rPr>
        <w:t>s sector</w:t>
      </w:r>
      <w:r w:rsidR="00E70C0E" w:rsidRPr="00962508">
        <w:rPr>
          <w:lang w:eastAsia="zh-CN"/>
        </w:rPr>
        <w:t xml:space="preserve"> has been completed and progress is being made in meeting the obligations of the WTO’s </w:t>
      </w:r>
      <w:r w:rsidR="000773B8">
        <w:rPr>
          <w:lang w:eastAsia="zh-CN"/>
        </w:rPr>
        <w:t>T</w:t>
      </w:r>
      <w:r w:rsidR="00E70C0E" w:rsidRPr="00962508">
        <w:rPr>
          <w:lang w:eastAsia="zh-CN"/>
        </w:rPr>
        <w:t xml:space="preserve">elecommunication </w:t>
      </w:r>
      <w:r w:rsidR="000773B8">
        <w:rPr>
          <w:lang w:eastAsia="zh-CN"/>
        </w:rPr>
        <w:t>R</w:t>
      </w:r>
      <w:r w:rsidR="00E70C0E" w:rsidRPr="00962508">
        <w:rPr>
          <w:lang w:eastAsia="zh-CN"/>
        </w:rPr>
        <w:t xml:space="preserve">eference </w:t>
      </w:r>
      <w:r w:rsidR="000773B8">
        <w:rPr>
          <w:lang w:eastAsia="zh-CN"/>
        </w:rPr>
        <w:t>P</w:t>
      </w:r>
      <w:r w:rsidR="00E70C0E" w:rsidRPr="00962508">
        <w:rPr>
          <w:lang w:eastAsia="zh-CN"/>
        </w:rPr>
        <w:t>aper, including prevent</w:t>
      </w:r>
      <w:r w:rsidR="000773B8">
        <w:rPr>
          <w:lang w:eastAsia="zh-CN"/>
        </w:rPr>
        <w:t>ing</w:t>
      </w:r>
      <w:r w:rsidR="00E70C0E" w:rsidRPr="00962508">
        <w:rPr>
          <w:lang w:eastAsia="zh-CN"/>
        </w:rPr>
        <w:t xml:space="preserve"> anti-competitive practices, </w:t>
      </w:r>
      <w:r w:rsidR="000773B8">
        <w:rPr>
          <w:lang w:eastAsia="zh-CN"/>
        </w:rPr>
        <w:t xml:space="preserve">providing </w:t>
      </w:r>
      <w:r w:rsidR="00E70C0E" w:rsidRPr="00962508">
        <w:rPr>
          <w:lang w:eastAsia="zh-CN"/>
        </w:rPr>
        <w:t>interconnection</w:t>
      </w:r>
      <w:r w:rsidR="000773B8">
        <w:rPr>
          <w:lang w:eastAsia="zh-CN"/>
        </w:rPr>
        <w:t xml:space="preserve"> access</w:t>
      </w:r>
      <w:r w:rsidR="00E70C0E" w:rsidRPr="00962508">
        <w:rPr>
          <w:lang w:eastAsia="zh-CN"/>
        </w:rPr>
        <w:t xml:space="preserve"> and </w:t>
      </w:r>
      <w:r w:rsidR="000773B8">
        <w:rPr>
          <w:lang w:eastAsia="zh-CN"/>
        </w:rPr>
        <w:t>establishing</w:t>
      </w:r>
      <w:r w:rsidR="00E70C0E" w:rsidRPr="00962508">
        <w:rPr>
          <w:lang w:eastAsia="zh-CN"/>
        </w:rPr>
        <w:t xml:space="preserve"> an independent regulatory body. </w:t>
      </w:r>
      <w:r w:rsidR="00976374" w:rsidRPr="00962508">
        <w:rPr>
          <w:lang w:eastAsia="zh-CN"/>
        </w:rPr>
        <w:t>Work under TDF</w:t>
      </w:r>
      <w:r w:rsidR="007C5DAD">
        <w:rPr>
          <w:lang w:eastAsia="zh-CN"/>
        </w:rPr>
        <w:t xml:space="preserve"> </w:t>
      </w:r>
      <w:r w:rsidR="00E70C0E" w:rsidRPr="00962508">
        <w:rPr>
          <w:lang w:eastAsia="zh-CN"/>
        </w:rPr>
        <w:t xml:space="preserve">2 to improve productivity, competitiveness, and labour standards </w:t>
      </w:r>
      <w:r w:rsidR="000773B8">
        <w:rPr>
          <w:lang w:eastAsia="zh-CN"/>
        </w:rPr>
        <w:t>in</w:t>
      </w:r>
      <w:r w:rsidR="000773B8" w:rsidRPr="00962508">
        <w:rPr>
          <w:lang w:eastAsia="zh-CN"/>
        </w:rPr>
        <w:t xml:space="preserve"> </w:t>
      </w:r>
      <w:r w:rsidR="00E70C0E" w:rsidRPr="00962508">
        <w:rPr>
          <w:lang w:eastAsia="zh-CN"/>
        </w:rPr>
        <w:t xml:space="preserve">the Lao garment manufacturing sector </w:t>
      </w:r>
      <w:r w:rsidR="007C5DAD">
        <w:rPr>
          <w:lang w:eastAsia="zh-CN"/>
        </w:rPr>
        <w:t>should</w:t>
      </w:r>
      <w:r w:rsidR="00E70C0E" w:rsidRPr="00962508">
        <w:rPr>
          <w:lang w:eastAsia="zh-CN"/>
        </w:rPr>
        <w:t xml:space="preserve"> benefit large numbers of women </w:t>
      </w:r>
      <w:r w:rsidR="000773B8">
        <w:rPr>
          <w:lang w:eastAsia="zh-CN"/>
        </w:rPr>
        <w:t>workers</w:t>
      </w:r>
      <w:r w:rsidR="00E70C0E" w:rsidRPr="00962508">
        <w:rPr>
          <w:lang w:eastAsia="zh-CN"/>
        </w:rPr>
        <w:t>.</w:t>
      </w:r>
    </w:p>
    <w:p w:rsidR="00E70C0E" w:rsidRPr="00962508" w:rsidRDefault="00E70C0E" w:rsidP="00BA6957">
      <w:pPr>
        <w:pStyle w:val="BodyText"/>
        <w:rPr>
          <w:lang w:eastAsia="zh-CN"/>
        </w:rPr>
      </w:pPr>
      <w:r w:rsidRPr="00962508">
        <w:rPr>
          <w:lang w:eastAsia="zh-CN"/>
        </w:rPr>
        <w:lastRenderedPageBreak/>
        <w:t>The business matching grants scheme Business Assistance Facility (BAF) has made good progress with 69 grant approvals made</w:t>
      </w:r>
      <w:r w:rsidR="00DD36BB" w:rsidRPr="00962508">
        <w:rPr>
          <w:lang w:eastAsia="zh-CN"/>
        </w:rPr>
        <w:t xml:space="preserve"> (exceeding </w:t>
      </w:r>
      <w:r w:rsidR="0025281F" w:rsidRPr="00962508">
        <w:rPr>
          <w:lang w:eastAsia="zh-CN"/>
        </w:rPr>
        <w:t xml:space="preserve">the </w:t>
      </w:r>
      <w:r w:rsidR="00DD36BB" w:rsidRPr="00962508">
        <w:rPr>
          <w:lang w:eastAsia="zh-CN"/>
        </w:rPr>
        <w:t>50 grant approvals planned for this period)</w:t>
      </w:r>
      <w:r w:rsidRPr="00962508">
        <w:rPr>
          <w:lang w:eastAsia="zh-CN"/>
        </w:rPr>
        <w:t>, 36 per cent of which were for businesses</w:t>
      </w:r>
      <w:r w:rsidR="000773B8">
        <w:rPr>
          <w:lang w:eastAsia="zh-CN"/>
        </w:rPr>
        <w:t xml:space="preserve"> owned by women</w:t>
      </w:r>
      <w:r w:rsidR="007C5DAD">
        <w:rPr>
          <w:lang w:eastAsia="zh-CN"/>
        </w:rPr>
        <w:t>. T</w:t>
      </w:r>
      <w:r w:rsidR="000773B8">
        <w:rPr>
          <w:lang w:eastAsia="zh-CN"/>
        </w:rPr>
        <w:t xml:space="preserve">he </w:t>
      </w:r>
      <w:r w:rsidRPr="00962508">
        <w:rPr>
          <w:lang w:eastAsia="zh-CN"/>
        </w:rPr>
        <w:t>tourism</w:t>
      </w:r>
      <w:r w:rsidR="000773B8">
        <w:rPr>
          <w:lang w:eastAsia="zh-CN"/>
        </w:rPr>
        <w:t>,</w:t>
      </w:r>
      <w:r w:rsidRPr="00962508">
        <w:rPr>
          <w:lang w:eastAsia="zh-CN"/>
        </w:rPr>
        <w:t xml:space="preserve"> hospitality, manufacturing and handicraft</w:t>
      </w:r>
      <w:r w:rsidR="000773B8">
        <w:rPr>
          <w:lang w:eastAsia="zh-CN"/>
        </w:rPr>
        <w:t xml:space="preserve"> sectors</w:t>
      </w:r>
      <w:r w:rsidR="007C5DAD">
        <w:rPr>
          <w:lang w:eastAsia="zh-CN"/>
        </w:rPr>
        <w:t xml:space="preserve"> have been major beneficiaries</w:t>
      </w:r>
      <w:r w:rsidRPr="00962508">
        <w:rPr>
          <w:lang w:eastAsia="zh-CN"/>
        </w:rPr>
        <w:t xml:space="preserve">. </w:t>
      </w:r>
      <w:r w:rsidR="000773B8">
        <w:rPr>
          <w:lang w:eastAsia="zh-CN"/>
        </w:rPr>
        <w:t xml:space="preserve">However, more effort will be required to </w:t>
      </w:r>
      <w:r w:rsidRPr="00962508">
        <w:rPr>
          <w:lang w:eastAsia="zh-CN"/>
        </w:rPr>
        <w:t>reach the target value of approvals (US</w:t>
      </w:r>
      <w:r w:rsidR="00256476">
        <w:rPr>
          <w:lang w:eastAsia="zh-CN"/>
        </w:rPr>
        <w:t>$</w:t>
      </w:r>
      <w:r w:rsidRPr="00962508">
        <w:rPr>
          <w:lang w:eastAsia="zh-CN"/>
        </w:rPr>
        <w:t>400,000</w:t>
      </w:r>
      <w:r w:rsidR="00083A84">
        <w:rPr>
          <w:lang w:eastAsia="zh-CN"/>
        </w:rPr>
        <w:t>),</w:t>
      </w:r>
      <w:r w:rsidRPr="00962508">
        <w:rPr>
          <w:lang w:eastAsia="zh-CN"/>
        </w:rPr>
        <w:t xml:space="preserve"> BAF marketing and outreach to provinces</w:t>
      </w:r>
      <w:r w:rsidR="000773B8">
        <w:rPr>
          <w:lang w:eastAsia="zh-CN"/>
        </w:rPr>
        <w:t xml:space="preserve"> </w:t>
      </w:r>
      <w:r w:rsidR="00083A84">
        <w:rPr>
          <w:lang w:eastAsia="zh-CN"/>
        </w:rPr>
        <w:t>must</w:t>
      </w:r>
      <w:r w:rsidR="000773B8">
        <w:rPr>
          <w:lang w:eastAsia="zh-CN"/>
        </w:rPr>
        <w:t xml:space="preserve"> be improved</w:t>
      </w:r>
      <w:r w:rsidR="00083A84">
        <w:rPr>
          <w:lang w:eastAsia="zh-CN"/>
        </w:rPr>
        <w:t>, and</w:t>
      </w:r>
      <w:r w:rsidR="000773B8">
        <w:rPr>
          <w:lang w:eastAsia="zh-CN"/>
        </w:rPr>
        <w:t xml:space="preserve"> </w:t>
      </w:r>
      <w:r w:rsidR="00083A84">
        <w:rPr>
          <w:lang w:eastAsia="zh-CN"/>
        </w:rPr>
        <w:t>several</w:t>
      </w:r>
      <w:r w:rsidR="000773B8">
        <w:rPr>
          <w:lang w:eastAsia="zh-CN"/>
        </w:rPr>
        <w:t xml:space="preserve"> </w:t>
      </w:r>
      <w:r w:rsidRPr="00962508">
        <w:rPr>
          <w:lang w:eastAsia="zh-CN"/>
        </w:rPr>
        <w:t>tax</w:t>
      </w:r>
      <w:r w:rsidR="000773B8">
        <w:rPr>
          <w:lang w:eastAsia="zh-CN"/>
        </w:rPr>
        <w:t>-</w:t>
      </w:r>
      <w:r w:rsidRPr="00962508">
        <w:rPr>
          <w:lang w:eastAsia="zh-CN"/>
        </w:rPr>
        <w:t>related issues</w:t>
      </w:r>
      <w:r w:rsidR="000773B8">
        <w:rPr>
          <w:lang w:eastAsia="zh-CN"/>
        </w:rPr>
        <w:t xml:space="preserve"> need to be resolved</w:t>
      </w:r>
      <w:r w:rsidRPr="00962508">
        <w:rPr>
          <w:lang w:eastAsia="zh-CN"/>
        </w:rPr>
        <w:t xml:space="preserve">. These issues were discussed at the mid-term review and </w:t>
      </w:r>
      <w:r w:rsidR="000773B8">
        <w:rPr>
          <w:lang w:eastAsia="zh-CN"/>
        </w:rPr>
        <w:t xml:space="preserve">will </w:t>
      </w:r>
      <w:r w:rsidRPr="00962508">
        <w:rPr>
          <w:lang w:eastAsia="zh-CN"/>
        </w:rPr>
        <w:t xml:space="preserve">form a core part of BAF’s future work. </w:t>
      </w:r>
      <w:r w:rsidR="00DD36BB" w:rsidRPr="00962508">
        <w:rPr>
          <w:lang w:eastAsia="zh-CN"/>
        </w:rPr>
        <w:t>The inclusion of a gender specialist on the 2015 TDF</w:t>
      </w:r>
      <w:r w:rsidR="007C5DAD">
        <w:rPr>
          <w:lang w:eastAsia="zh-CN"/>
        </w:rPr>
        <w:t xml:space="preserve"> 2</w:t>
      </w:r>
      <w:r w:rsidR="00DD36BB" w:rsidRPr="00962508">
        <w:rPr>
          <w:lang w:eastAsia="zh-CN"/>
        </w:rPr>
        <w:t xml:space="preserve"> mid-term review team resulted in</w:t>
      </w:r>
      <w:r w:rsidR="000773B8">
        <w:rPr>
          <w:lang w:eastAsia="zh-CN"/>
        </w:rPr>
        <w:t xml:space="preserve"> the</w:t>
      </w:r>
      <w:r w:rsidR="00DD36BB" w:rsidRPr="00962508">
        <w:rPr>
          <w:lang w:eastAsia="zh-CN"/>
        </w:rPr>
        <w:t xml:space="preserve"> identification of steps to improve </w:t>
      </w:r>
      <w:r w:rsidR="000773B8">
        <w:rPr>
          <w:lang w:eastAsia="zh-CN"/>
        </w:rPr>
        <w:t>access to the BAF for</w:t>
      </w:r>
      <w:r w:rsidR="00DD36BB" w:rsidRPr="00962508">
        <w:rPr>
          <w:lang w:eastAsia="zh-CN"/>
        </w:rPr>
        <w:t xml:space="preserve"> women entrepreneurs. </w:t>
      </w:r>
      <w:r w:rsidR="007C5DAD">
        <w:rPr>
          <w:lang w:eastAsia="zh-CN"/>
        </w:rPr>
        <w:t>T</w:t>
      </w:r>
      <w:r w:rsidRPr="00962508">
        <w:rPr>
          <w:lang w:eastAsia="zh-CN"/>
        </w:rPr>
        <w:t xml:space="preserve">he impact assessment of BAF in June </w:t>
      </w:r>
      <w:r w:rsidR="00CC5B13">
        <w:rPr>
          <w:lang w:eastAsia="zh-CN"/>
        </w:rPr>
        <w:t>found</w:t>
      </w:r>
      <w:r w:rsidR="00CC5B13" w:rsidRPr="00962508">
        <w:rPr>
          <w:lang w:eastAsia="zh-CN"/>
        </w:rPr>
        <w:t xml:space="preserve"> </w:t>
      </w:r>
      <w:r w:rsidRPr="00962508">
        <w:rPr>
          <w:lang w:eastAsia="zh-CN"/>
        </w:rPr>
        <w:t xml:space="preserve">that it </w:t>
      </w:r>
      <w:r w:rsidR="000773B8">
        <w:rPr>
          <w:lang w:eastAsia="zh-CN"/>
        </w:rPr>
        <w:t xml:space="preserve">was </w:t>
      </w:r>
      <w:r w:rsidRPr="00962508">
        <w:rPr>
          <w:lang w:eastAsia="zh-CN"/>
        </w:rPr>
        <w:t xml:space="preserve">too early to assess the impact on sales or employment </w:t>
      </w:r>
      <w:r w:rsidR="007C5DAD">
        <w:rPr>
          <w:lang w:eastAsia="zh-CN"/>
        </w:rPr>
        <w:t xml:space="preserve">because </w:t>
      </w:r>
      <w:r w:rsidR="00CC5B13">
        <w:rPr>
          <w:lang w:eastAsia="zh-CN"/>
        </w:rPr>
        <w:t>it had only been operating for one-and-a-half years</w:t>
      </w:r>
      <w:r w:rsidRPr="00962508">
        <w:rPr>
          <w:lang w:eastAsia="zh-CN"/>
        </w:rPr>
        <w:t xml:space="preserve">. The assessment therefore focused on qualitative indications of </w:t>
      </w:r>
      <w:r w:rsidR="00CC5B13">
        <w:rPr>
          <w:lang w:eastAsia="zh-CN"/>
        </w:rPr>
        <w:t xml:space="preserve">the </w:t>
      </w:r>
      <w:r w:rsidRPr="00304382">
        <w:rPr>
          <w:lang w:eastAsia="zh-CN"/>
        </w:rPr>
        <w:t>likely future impact</w:t>
      </w:r>
      <w:r w:rsidR="00CC5B13" w:rsidRPr="00304382">
        <w:rPr>
          <w:lang w:eastAsia="zh-CN"/>
        </w:rPr>
        <w:t>s of</w:t>
      </w:r>
      <w:r w:rsidRPr="00304382">
        <w:rPr>
          <w:lang w:eastAsia="zh-CN"/>
        </w:rPr>
        <w:t xml:space="preserve"> BAF-supported services, business practices, operations and performance, the findings of which were largely positive.</w:t>
      </w:r>
    </w:p>
    <w:p w:rsidR="00E70C0E" w:rsidRPr="00962508" w:rsidRDefault="00E70C0E" w:rsidP="00BA6957">
      <w:pPr>
        <w:pStyle w:val="BodyText"/>
        <w:rPr>
          <w:lang w:eastAsia="zh-CN"/>
        </w:rPr>
      </w:pPr>
      <w:r w:rsidRPr="00962508">
        <w:rPr>
          <w:lang w:eastAsia="zh-CN"/>
        </w:rPr>
        <w:t>The Garment Skills Development Centre</w:t>
      </w:r>
      <w:r w:rsidR="00757047">
        <w:rPr>
          <w:lang w:eastAsia="zh-CN"/>
        </w:rPr>
        <w:t>, originally designed to provide upskilling services to the workers in garment factories,</w:t>
      </w:r>
      <w:r w:rsidRPr="00962508">
        <w:rPr>
          <w:lang w:eastAsia="zh-CN"/>
        </w:rPr>
        <w:t xml:space="preserve"> is adjusting its services to ensure a smooth transition towards financial and operational independence at the end of the project </w:t>
      </w:r>
      <w:r w:rsidR="00CC5B13">
        <w:rPr>
          <w:lang w:eastAsia="zh-CN"/>
        </w:rPr>
        <w:t xml:space="preserve">in </w:t>
      </w:r>
      <w:r w:rsidRPr="00962508">
        <w:rPr>
          <w:lang w:eastAsia="zh-CN"/>
        </w:rPr>
        <w:t xml:space="preserve">March 2017. </w:t>
      </w:r>
      <w:r w:rsidR="00083A84">
        <w:rPr>
          <w:lang w:eastAsia="zh-CN"/>
        </w:rPr>
        <w:t>T</w:t>
      </w:r>
      <w:r w:rsidR="00757047">
        <w:rPr>
          <w:lang w:eastAsia="zh-CN"/>
        </w:rPr>
        <w:t xml:space="preserve">he Centre has </w:t>
      </w:r>
      <w:r w:rsidR="00083A84">
        <w:rPr>
          <w:lang w:eastAsia="zh-CN"/>
        </w:rPr>
        <w:t>a</w:t>
      </w:r>
      <w:r w:rsidR="00757047">
        <w:rPr>
          <w:lang w:eastAsia="zh-CN"/>
        </w:rPr>
        <w:t>ttracted wide interest from women seeking to develop small garment businesse</w:t>
      </w:r>
      <w:r w:rsidR="00083A84">
        <w:rPr>
          <w:lang w:eastAsia="zh-CN"/>
        </w:rPr>
        <w:t>s and</w:t>
      </w:r>
      <w:r w:rsidR="00757047">
        <w:rPr>
          <w:lang w:eastAsia="zh-CN"/>
        </w:rPr>
        <w:t xml:space="preserve"> is providing </w:t>
      </w:r>
      <w:r w:rsidR="00083A84">
        <w:rPr>
          <w:lang w:eastAsia="zh-CN"/>
        </w:rPr>
        <w:t xml:space="preserve">them </w:t>
      </w:r>
      <w:r w:rsidR="00757047">
        <w:rPr>
          <w:lang w:eastAsia="zh-CN"/>
        </w:rPr>
        <w:t xml:space="preserve">with much needed training that will lead to income generation activities. </w:t>
      </w:r>
      <w:r w:rsidRPr="00962508">
        <w:rPr>
          <w:lang w:eastAsia="zh-CN"/>
        </w:rPr>
        <w:t xml:space="preserve">The </w:t>
      </w:r>
      <w:r w:rsidR="00083A84">
        <w:rPr>
          <w:lang w:eastAsia="zh-CN"/>
        </w:rPr>
        <w:t>C</w:t>
      </w:r>
      <w:r w:rsidRPr="00962508">
        <w:rPr>
          <w:lang w:eastAsia="zh-CN"/>
        </w:rPr>
        <w:t>entre will phase out from financing operating costs</w:t>
      </w:r>
      <w:r w:rsidR="00CC5B13">
        <w:rPr>
          <w:lang w:eastAsia="zh-CN"/>
        </w:rPr>
        <w:t xml:space="preserve">, with the exception of </w:t>
      </w:r>
      <w:r w:rsidRPr="00962508">
        <w:rPr>
          <w:lang w:eastAsia="zh-CN"/>
        </w:rPr>
        <w:t>staff</w:t>
      </w:r>
      <w:r w:rsidR="007C5DAD">
        <w:rPr>
          <w:lang w:eastAsia="zh-CN"/>
        </w:rPr>
        <w:t>ing</w:t>
      </w:r>
      <w:r w:rsidR="00CC5B13">
        <w:rPr>
          <w:lang w:eastAsia="zh-CN"/>
        </w:rPr>
        <w:t>,</w:t>
      </w:r>
      <w:r w:rsidRPr="00962508">
        <w:rPr>
          <w:lang w:eastAsia="zh-CN"/>
        </w:rPr>
        <w:t xml:space="preserve"> from October 2015 wit</w:t>
      </w:r>
      <w:r w:rsidR="00875386" w:rsidRPr="00962508">
        <w:rPr>
          <w:lang w:eastAsia="zh-CN"/>
        </w:rPr>
        <w:t xml:space="preserve">h </w:t>
      </w:r>
      <w:r w:rsidR="00CC5B13">
        <w:rPr>
          <w:lang w:eastAsia="zh-CN"/>
        </w:rPr>
        <w:t xml:space="preserve">a </w:t>
      </w:r>
      <w:r w:rsidR="00875386" w:rsidRPr="00962508">
        <w:rPr>
          <w:lang w:eastAsia="zh-CN"/>
        </w:rPr>
        <w:t>target of achieving 80 per cent</w:t>
      </w:r>
      <w:r w:rsidRPr="00962508">
        <w:rPr>
          <w:lang w:eastAsia="zh-CN"/>
        </w:rPr>
        <w:t xml:space="preserve"> cost recovery by the end of 2016</w:t>
      </w:r>
      <w:r w:rsidR="00CC5B13">
        <w:rPr>
          <w:lang w:eastAsia="zh-CN"/>
        </w:rPr>
        <w:t>,</w:t>
      </w:r>
      <w:r w:rsidRPr="00962508">
        <w:rPr>
          <w:lang w:eastAsia="zh-CN"/>
        </w:rPr>
        <w:t xml:space="preserve"> and achieving full cost recovery by the end of 2017.</w:t>
      </w:r>
    </w:p>
    <w:p w:rsidR="00050236" w:rsidRDefault="00757047" w:rsidP="00BA6957">
      <w:pPr>
        <w:pStyle w:val="BodyText"/>
        <w:spacing w:after="120"/>
        <w:rPr>
          <w:lang w:eastAsia="zh-CN"/>
        </w:rPr>
      </w:pPr>
      <w:r>
        <w:rPr>
          <w:lang w:eastAsia="zh-CN"/>
        </w:rPr>
        <w:t>Over the reporting period, w</w:t>
      </w:r>
      <w:r w:rsidR="00E70C0E" w:rsidRPr="00962508">
        <w:rPr>
          <w:lang w:eastAsia="zh-CN"/>
        </w:rPr>
        <w:t xml:space="preserve">ork on labour standards showed positive progress despite major contractual delays with the </w:t>
      </w:r>
      <w:r w:rsidR="00CC5B13">
        <w:rPr>
          <w:lang w:eastAsia="zh-CN"/>
        </w:rPr>
        <w:t>International Labour Organisation</w:t>
      </w:r>
      <w:r w:rsidR="00E70C0E" w:rsidRPr="00962508">
        <w:rPr>
          <w:lang w:eastAsia="zh-CN"/>
        </w:rPr>
        <w:t xml:space="preserve">. </w:t>
      </w:r>
      <w:r w:rsidR="00DD36BB" w:rsidRPr="00962508">
        <w:rPr>
          <w:lang w:eastAsia="zh-CN"/>
        </w:rPr>
        <w:t>Six</w:t>
      </w:r>
      <w:r w:rsidR="00E70C0E" w:rsidRPr="00962508">
        <w:rPr>
          <w:lang w:eastAsia="zh-CN"/>
        </w:rPr>
        <w:t xml:space="preserve"> factories have agreed to participate in </w:t>
      </w:r>
      <w:r w:rsidR="00CC5B13">
        <w:rPr>
          <w:lang w:eastAsia="zh-CN"/>
        </w:rPr>
        <w:t>a</w:t>
      </w:r>
      <w:r w:rsidR="00CC5B13" w:rsidRPr="00962508">
        <w:rPr>
          <w:lang w:eastAsia="zh-CN"/>
        </w:rPr>
        <w:t xml:space="preserve"> </w:t>
      </w:r>
      <w:r w:rsidR="00E70C0E" w:rsidRPr="00962508">
        <w:rPr>
          <w:lang w:eastAsia="zh-CN"/>
        </w:rPr>
        <w:t>project to monitor compliance with labour standards and pilot workplace improvement scheme</w:t>
      </w:r>
      <w:r w:rsidR="00DD36BB" w:rsidRPr="00962508">
        <w:rPr>
          <w:lang w:eastAsia="zh-CN"/>
        </w:rPr>
        <w:t>s</w:t>
      </w:r>
      <w:r w:rsidR="00E70C0E" w:rsidRPr="00962508">
        <w:rPr>
          <w:lang w:eastAsia="zh-CN"/>
        </w:rPr>
        <w:t xml:space="preserve">. </w:t>
      </w:r>
      <w:r w:rsidR="00E70C0E" w:rsidRPr="00304382">
        <w:rPr>
          <w:lang w:eastAsia="zh-CN"/>
        </w:rPr>
        <w:t xml:space="preserve">A training program for labour inspectors </w:t>
      </w:r>
      <w:r w:rsidR="00CC5B13" w:rsidRPr="00304382">
        <w:rPr>
          <w:lang w:eastAsia="zh-CN"/>
        </w:rPr>
        <w:t>was</w:t>
      </w:r>
      <w:r w:rsidR="00E70C0E" w:rsidRPr="00304382">
        <w:rPr>
          <w:lang w:eastAsia="zh-CN"/>
        </w:rPr>
        <w:t xml:space="preserve"> finalised and training</w:t>
      </w:r>
      <w:r w:rsidR="00CC5B13" w:rsidRPr="00304382">
        <w:rPr>
          <w:lang w:eastAsia="zh-CN"/>
        </w:rPr>
        <w:t xml:space="preserve"> started in</w:t>
      </w:r>
      <w:r w:rsidR="00E70C0E" w:rsidRPr="00304382">
        <w:rPr>
          <w:lang w:eastAsia="zh-CN"/>
        </w:rPr>
        <w:t xml:space="preserve"> early September.</w:t>
      </w:r>
    </w:p>
    <w:p w:rsidR="00256476" w:rsidRDefault="00E37852" w:rsidP="00BA6957">
      <w:pPr>
        <w:pStyle w:val="BodyText"/>
        <w:spacing w:after="120"/>
        <w:rPr>
          <w:lang w:eastAsia="zh-CN"/>
        </w:rPr>
      </w:pPr>
      <w:r>
        <w:rPr>
          <w:lang w:eastAsia="zh-CN"/>
        </w:rPr>
        <w:t xml:space="preserve">Australia </w:t>
      </w:r>
      <w:r w:rsidR="00CC5B13">
        <w:rPr>
          <w:lang w:eastAsia="zh-CN"/>
        </w:rPr>
        <w:t>intends</w:t>
      </w:r>
      <w:r>
        <w:rPr>
          <w:lang w:eastAsia="zh-CN"/>
        </w:rPr>
        <w:t xml:space="preserve"> to continue </w:t>
      </w:r>
      <w:r w:rsidR="00083A84">
        <w:rPr>
          <w:lang w:eastAsia="zh-CN"/>
        </w:rPr>
        <w:t>supporting</w:t>
      </w:r>
      <w:r>
        <w:rPr>
          <w:lang w:eastAsia="zh-CN"/>
        </w:rPr>
        <w:t xml:space="preserve"> trade reform under the new AIP</w:t>
      </w:r>
      <w:r w:rsidR="00083A84">
        <w:rPr>
          <w:lang w:eastAsia="zh-CN"/>
        </w:rPr>
        <w:t xml:space="preserve"> and </w:t>
      </w:r>
      <w:r>
        <w:rPr>
          <w:lang w:eastAsia="zh-CN"/>
        </w:rPr>
        <w:t xml:space="preserve">will give consideration to addressing broader business-enabling environment challenges when designing a </w:t>
      </w:r>
      <w:r w:rsidR="003B0D97">
        <w:rPr>
          <w:lang w:eastAsia="zh-CN"/>
        </w:rPr>
        <w:t xml:space="preserve">successor </w:t>
      </w:r>
      <w:r>
        <w:rPr>
          <w:lang w:eastAsia="zh-CN"/>
        </w:rPr>
        <w:t>to TDF</w:t>
      </w:r>
      <w:r w:rsidR="005645CC">
        <w:rPr>
          <w:lang w:eastAsia="zh-CN"/>
        </w:rPr>
        <w:t xml:space="preserve"> </w:t>
      </w:r>
      <w:r>
        <w:rPr>
          <w:lang w:eastAsia="zh-CN"/>
        </w:rPr>
        <w:t>2.</w:t>
      </w:r>
    </w:p>
    <w:p w:rsidR="00CC5B13" w:rsidRPr="00962508" w:rsidRDefault="00CC5B13" w:rsidP="00BA6957">
      <w:pPr>
        <w:pStyle w:val="BodyText"/>
        <w:spacing w:after="120"/>
        <w:rPr>
          <w:lang w:eastAsia="zh-CN"/>
        </w:rPr>
      </w:pPr>
    </w:p>
    <w:tbl>
      <w:tblPr>
        <w:tblStyle w:val="APPR"/>
        <w:tblW w:w="5000" w:type="pct"/>
        <w:tblLook w:val="04A0" w:firstRow="1" w:lastRow="0" w:firstColumn="1" w:lastColumn="0" w:noHBand="0" w:noVBand="1"/>
      </w:tblPr>
      <w:tblGrid>
        <w:gridCol w:w="7956"/>
        <w:gridCol w:w="1343"/>
      </w:tblGrid>
      <w:tr w:rsidR="0008391F" w:rsidRPr="00962508" w:rsidTr="002A0E43">
        <w:trPr>
          <w:cnfStyle w:val="100000000000" w:firstRow="1" w:lastRow="0" w:firstColumn="0" w:lastColumn="0" w:oddVBand="0" w:evenVBand="0" w:oddHBand="0" w:evenHBand="0" w:firstRowFirstColumn="0" w:firstRowLastColumn="0" w:lastRowFirstColumn="0" w:lastRowLastColumn="0"/>
        </w:trPr>
        <w:tc>
          <w:tcPr>
            <w:tcW w:w="7466" w:type="dxa"/>
            <w:tcBorders>
              <w:left w:val="nil"/>
              <w:right w:val="nil"/>
            </w:tcBorders>
            <w:hideMark/>
          </w:tcPr>
          <w:p w:rsidR="0008391F" w:rsidRPr="00962508" w:rsidRDefault="0008391F" w:rsidP="00BA6957">
            <w:pPr>
              <w:keepLines/>
              <w:spacing w:before="40" w:after="40" w:line="200" w:lineRule="atLeast"/>
              <w:rPr>
                <w:rFonts w:ascii="Franklin Gothic Book" w:hAnsi="Franklin Gothic Book"/>
                <w:iCs/>
                <w:sz w:val="21"/>
                <w:szCs w:val="21"/>
              </w:rPr>
            </w:pPr>
            <w:r w:rsidRPr="00962508">
              <w:rPr>
                <w:rFonts w:ascii="Franklin Gothic Book" w:hAnsi="Franklin Gothic Book"/>
                <w:iCs/>
                <w:sz w:val="21"/>
                <w:szCs w:val="21"/>
              </w:rPr>
              <w:t>Objective 3: Improve inclusive access to finance, productive assets, and market opportunities</w:t>
            </w:r>
          </w:p>
        </w:tc>
        <w:tc>
          <w:tcPr>
            <w:tcW w:w="1227" w:type="dxa"/>
            <w:tcBorders>
              <w:left w:val="nil"/>
              <w:right w:val="nil"/>
            </w:tcBorders>
            <w:shd w:val="clear" w:color="auto" w:fill="F79646" w:themeFill="accent6"/>
            <w:noWrap/>
            <w:hideMark/>
          </w:tcPr>
          <w:p w:rsidR="0008391F" w:rsidRPr="00962508" w:rsidRDefault="0008391F" w:rsidP="00BA6957">
            <w:pPr>
              <w:keepLines/>
              <w:spacing w:before="40" w:after="40" w:line="200" w:lineRule="atLeast"/>
              <w:rPr>
                <w:rFonts w:ascii="Franklin Gothic Book" w:hAnsi="Franklin Gothic Book"/>
                <w:iCs/>
                <w:sz w:val="17"/>
                <w:szCs w:val="17"/>
              </w:rPr>
            </w:pPr>
            <w:r w:rsidRPr="00962508">
              <w:rPr>
                <w:rFonts w:ascii="Franklin Gothic Book" w:hAnsi="Franklin Gothic Book"/>
                <w:iCs/>
                <w:sz w:val="17"/>
                <w:szCs w:val="17"/>
              </w:rPr>
              <w:t>Amber</w:t>
            </w:r>
          </w:p>
        </w:tc>
      </w:tr>
    </w:tbl>
    <w:p w:rsidR="0008391F" w:rsidRPr="00962508" w:rsidRDefault="0008391F" w:rsidP="00BA6957">
      <w:pPr>
        <w:keepNext/>
        <w:keepLines/>
        <w:spacing w:before="20" w:after="20" w:line="180" w:lineRule="atLeast"/>
        <w:rPr>
          <w:rFonts w:ascii="Franklin Gothic Book" w:hAnsi="Franklin Gothic Book"/>
          <w:sz w:val="14"/>
          <w:szCs w:val="14"/>
        </w:rPr>
      </w:pPr>
    </w:p>
    <w:p w:rsidR="0008391F" w:rsidRPr="00256476" w:rsidRDefault="0008391F" w:rsidP="00BA6957">
      <w:pPr>
        <w:spacing w:after="120" w:line="280" w:lineRule="exact"/>
        <w:rPr>
          <w:rFonts w:ascii="Franklin Gothic Book" w:hAnsi="Franklin Gothic Book"/>
          <w:b/>
          <w:sz w:val="21"/>
        </w:rPr>
      </w:pPr>
      <w:r w:rsidRPr="00256476">
        <w:rPr>
          <w:rFonts w:ascii="Franklin Gothic Book" w:hAnsi="Franklin Gothic Book"/>
          <w:b/>
          <w:sz w:val="21"/>
        </w:rPr>
        <w:t xml:space="preserve">Of the eight </w:t>
      </w:r>
      <w:r w:rsidR="00BE36E4">
        <w:rPr>
          <w:rFonts w:ascii="Franklin Gothic Book" w:hAnsi="Franklin Gothic Book"/>
          <w:b/>
          <w:sz w:val="21"/>
        </w:rPr>
        <w:t xml:space="preserve">performance </w:t>
      </w:r>
      <w:r w:rsidRPr="00256476">
        <w:rPr>
          <w:rFonts w:ascii="Franklin Gothic Book" w:hAnsi="Franklin Gothic Book"/>
          <w:b/>
          <w:sz w:val="21"/>
        </w:rPr>
        <w:t xml:space="preserve">milestones </w:t>
      </w:r>
      <w:r w:rsidR="00BE36E4">
        <w:rPr>
          <w:rFonts w:ascii="Franklin Gothic Book" w:hAnsi="Franklin Gothic Book"/>
          <w:b/>
          <w:sz w:val="21"/>
        </w:rPr>
        <w:t xml:space="preserve">set for 2014-15 </w:t>
      </w:r>
      <w:r w:rsidRPr="00256476">
        <w:rPr>
          <w:rFonts w:ascii="Franklin Gothic Book" w:hAnsi="Franklin Gothic Book"/>
          <w:b/>
          <w:sz w:val="21"/>
        </w:rPr>
        <w:t>for this objective, four were met, two partially met and two were dropped</w:t>
      </w:r>
      <w:r w:rsidR="00083A84">
        <w:rPr>
          <w:rFonts w:ascii="Franklin Gothic Book" w:hAnsi="Franklin Gothic Book"/>
          <w:b/>
          <w:sz w:val="21"/>
        </w:rPr>
        <w:t>.</w:t>
      </w:r>
      <w:r w:rsidR="00FD45E4" w:rsidRPr="00256476">
        <w:rPr>
          <w:rStyle w:val="EndnoteReference"/>
          <w:b/>
        </w:rPr>
        <w:endnoteReference w:id="8"/>
      </w:r>
    </w:p>
    <w:p w:rsidR="000C1315" w:rsidRDefault="00BE36E4" w:rsidP="00BA6957">
      <w:pPr>
        <w:spacing w:after="120" w:line="280" w:lineRule="exact"/>
        <w:rPr>
          <w:rFonts w:ascii="Franklin Gothic Book" w:hAnsi="Franklin Gothic Book"/>
          <w:sz w:val="21"/>
        </w:rPr>
      </w:pPr>
      <w:r>
        <w:rPr>
          <w:rFonts w:ascii="Franklin Gothic Book" w:hAnsi="Franklin Gothic Book"/>
          <w:sz w:val="21"/>
        </w:rPr>
        <w:t xml:space="preserve">The </w:t>
      </w:r>
      <w:r w:rsidR="000C1315">
        <w:rPr>
          <w:rFonts w:ascii="Franklin Gothic Book" w:hAnsi="Franklin Gothic Book"/>
          <w:sz w:val="21"/>
        </w:rPr>
        <w:t>main</w:t>
      </w:r>
      <w:r>
        <w:rPr>
          <w:rFonts w:ascii="Franklin Gothic Book" w:hAnsi="Franklin Gothic Book"/>
          <w:sz w:val="21"/>
        </w:rPr>
        <w:t xml:space="preserve"> investment contributing to this objective </w:t>
      </w:r>
      <w:r w:rsidR="00E11A1A">
        <w:rPr>
          <w:rFonts w:ascii="Franklin Gothic Book" w:hAnsi="Franklin Gothic Book"/>
          <w:sz w:val="21"/>
        </w:rPr>
        <w:t xml:space="preserve">in 2014-15 was </w:t>
      </w:r>
      <w:r>
        <w:rPr>
          <w:rFonts w:ascii="Franklin Gothic Book" w:hAnsi="Franklin Gothic Book"/>
          <w:sz w:val="21"/>
        </w:rPr>
        <w:t xml:space="preserve">the </w:t>
      </w:r>
      <w:r w:rsidRPr="00BE36E4">
        <w:rPr>
          <w:rFonts w:ascii="Franklin Gothic Book" w:hAnsi="Franklin Gothic Book"/>
          <w:sz w:val="21"/>
        </w:rPr>
        <w:t xml:space="preserve">Laos Australia Rural Livelihoods Program </w:t>
      </w:r>
      <w:r>
        <w:rPr>
          <w:rFonts w:ascii="Franklin Gothic Book" w:hAnsi="Franklin Gothic Book"/>
          <w:sz w:val="21"/>
        </w:rPr>
        <w:t>(</w:t>
      </w:r>
      <w:r w:rsidR="00083A84">
        <w:rPr>
          <w:rFonts w:ascii="Franklin Gothic Book" w:hAnsi="Franklin Gothic Book"/>
          <w:sz w:val="21"/>
        </w:rPr>
        <w:t xml:space="preserve">LARLP: </w:t>
      </w:r>
      <w:r>
        <w:rPr>
          <w:rFonts w:ascii="Franklin Gothic Book" w:hAnsi="Franklin Gothic Book"/>
          <w:sz w:val="21"/>
        </w:rPr>
        <w:t>$</w:t>
      </w:r>
      <w:r w:rsidRPr="00BE36E4">
        <w:rPr>
          <w:rFonts w:ascii="Franklin Gothic Book" w:hAnsi="Franklin Gothic Book"/>
          <w:sz w:val="21"/>
        </w:rPr>
        <w:t>36.9 million, 2012-2017</w:t>
      </w:r>
      <w:r>
        <w:rPr>
          <w:rFonts w:ascii="Franklin Gothic Book" w:hAnsi="Franklin Gothic Book"/>
          <w:sz w:val="21"/>
        </w:rPr>
        <w:t>). This investment</w:t>
      </w:r>
      <w:r w:rsidR="00083A84">
        <w:rPr>
          <w:rFonts w:ascii="Franklin Gothic Book" w:hAnsi="Franklin Gothic Book"/>
          <w:sz w:val="21"/>
        </w:rPr>
        <w:t xml:space="preserve"> has</w:t>
      </w:r>
      <w:r>
        <w:rPr>
          <w:rFonts w:ascii="Franklin Gothic Book" w:hAnsi="Franklin Gothic Book"/>
          <w:sz w:val="21"/>
        </w:rPr>
        <w:t xml:space="preserve"> </w:t>
      </w:r>
      <w:r w:rsidRPr="00BE36E4">
        <w:rPr>
          <w:rFonts w:ascii="Franklin Gothic Book" w:hAnsi="Franklin Gothic Book"/>
          <w:sz w:val="21"/>
        </w:rPr>
        <w:t>focuse</w:t>
      </w:r>
      <w:r w:rsidR="00083A84">
        <w:rPr>
          <w:rFonts w:ascii="Franklin Gothic Book" w:hAnsi="Franklin Gothic Book"/>
          <w:sz w:val="21"/>
        </w:rPr>
        <w:t>d</w:t>
      </w:r>
      <w:r w:rsidRPr="00BE36E4">
        <w:rPr>
          <w:rFonts w:ascii="Franklin Gothic Book" w:hAnsi="Franklin Gothic Book"/>
          <w:sz w:val="21"/>
        </w:rPr>
        <w:t xml:space="preserve"> on income generation, social protection and financial inclusion. </w:t>
      </w:r>
    </w:p>
    <w:p w:rsidR="00B24030" w:rsidRDefault="00B24030" w:rsidP="00BA6957">
      <w:pPr>
        <w:spacing w:after="120" w:line="280" w:lineRule="exact"/>
        <w:rPr>
          <w:rFonts w:ascii="Franklin Gothic Book" w:hAnsi="Franklin Gothic Book"/>
          <w:sz w:val="21"/>
        </w:rPr>
      </w:pPr>
      <w:r>
        <w:rPr>
          <w:rFonts w:ascii="Franklin Gothic Book" w:hAnsi="Franklin Gothic Book"/>
          <w:sz w:val="21"/>
        </w:rPr>
        <w:t xml:space="preserve">An amber rating was recorded, reflecting </w:t>
      </w:r>
      <w:r w:rsidR="000661E7">
        <w:rPr>
          <w:rFonts w:ascii="Franklin Gothic Book" w:hAnsi="Franklin Gothic Book"/>
          <w:sz w:val="21"/>
        </w:rPr>
        <w:t xml:space="preserve">the slower than expected </w:t>
      </w:r>
      <w:r w:rsidR="00335C93">
        <w:rPr>
          <w:rFonts w:ascii="Franklin Gothic Book" w:hAnsi="Franklin Gothic Book"/>
          <w:sz w:val="21"/>
        </w:rPr>
        <w:t xml:space="preserve"> implementation of </w:t>
      </w:r>
      <w:r>
        <w:rPr>
          <w:rFonts w:ascii="Franklin Gothic Book" w:hAnsi="Franklin Gothic Book"/>
          <w:sz w:val="21"/>
        </w:rPr>
        <w:t xml:space="preserve">two </w:t>
      </w:r>
      <w:r w:rsidR="005C319D">
        <w:rPr>
          <w:rFonts w:ascii="Franklin Gothic Book" w:hAnsi="Franklin Gothic Book"/>
          <w:sz w:val="21"/>
        </w:rPr>
        <w:t xml:space="preserve">important </w:t>
      </w:r>
      <w:r>
        <w:rPr>
          <w:rFonts w:ascii="Franklin Gothic Book" w:hAnsi="Franklin Gothic Book"/>
          <w:sz w:val="21"/>
        </w:rPr>
        <w:t xml:space="preserve">components </w:t>
      </w:r>
      <w:r w:rsidR="00335C93">
        <w:rPr>
          <w:rFonts w:ascii="Franklin Gothic Book" w:hAnsi="Franklin Gothic Book"/>
          <w:sz w:val="21"/>
        </w:rPr>
        <w:t xml:space="preserve">of LARLP in 2014-15 </w:t>
      </w:r>
      <w:r w:rsidR="00F45EA3">
        <w:rPr>
          <w:rFonts w:ascii="Franklin Gothic Book" w:hAnsi="Franklin Gothic Book"/>
          <w:sz w:val="21"/>
        </w:rPr>
        <w:t xml:space="preserve">(community asset transfers and financial inclusion) </w:t>
      </w:r>
      <w:r>
        <w:rPr>
          <w:rFonts w:ascii="Franklin Gothic Book" w:hAnsi="Franklin Gothic Book"/>
          <w:sz w:val="21"/>
        </w:rPr>
        <w:t xml:space="preserve">due </w:t>
      </w:r>
      <w:r w:rsidR="00335C93">
        <w:rPr>
          <w:rFonts w:ascii="Franklin Gothic Book" w:hAnsi="Franklin Gothic Book"/>
          <w:sz w:val="21"/>
        </w:rPr>
        <w:t xml:space="preserve">to delays in obtaining </w:t>
      </w:r>
      <w:r>
        <w:rPr>
          <w:rFonts w:ascii="Franklin Gothic Book" w:hAnsi="Franklin Gothic Book"/>
          <w:sz w:val="21"/>
        </w:rPr>
        <w:t xml:space="preserve">Lao Government </w:t>
      </w:r>
      <w:r w:rsidR="00335C93">
        <w:rPr>
          <w:rFonts w:ascii="Franklin Gothic Book" w:hAnsi="Franklin Gothic Book"/>
          <w:sz w:val="21"/>
        </w:rPr>
        <w:t xml:space="preserve">program implementation and regulation </w:t>
      </w:r>
      <w:r>
        <w:rPr>
          <w:rFonts w:ascii="Franklin Gothic Book" w:hAnsi="Franklin Gothic Book"/>
          <w:sz w:val="21"/>
        </w:rPr>
        <w:t>approval</w:t>
      </w:r>
      <w:r w:rsidR="00335C93">
        <w:rPr>
          <w:rFonts w:ascii="Franklin Gothic Book" w:hAnsi="Franklin Gothic Book"/>
          <w:sz w:val="21"/>
        </w:rPr>
        <w:t>s</w:t>
      </w:r>
      <w:r>
        <w:rPr>
          <w:rFonts w:ascii="Franklin Gothic Book" w:hAnsi="Franklin Gothic Book"/>
          <w:sz w:val="21"/>
        </w:rPr>
        <w:t xml:space="preserve">.  </w:t>
      </w:r>
    </w:p>
    <w:p w:rsidR="0008391F" w:rsidRPr="00962508" w:rsidRDefault="0008391F" w:rsidP="00BA6957">
      <w:pPr>
        <w:spacing w:after="120" w:line="280" w:lineRule="exact"/>
        <w:rPr>
          <w:rFonts w:ascii="Franklin Gothic Book" w:hAnsi="Franklin Gothic Book"/>
          <w:sz w:val="21"/>
        </w:rPr>
      </w:pPr>
      <w:r w:rsidRPr="00962508">
        <w:rPr>
          <w:rFonts w:ascii="Franklin Gothic Book" w:hAnsi="Franklin Gothic Book"/>
          <w:sz w:val="21"/>
        </w:rPr>
        <w:t xml:space="preserve">To achieve significant reductions in poverty, Laos needs to diversify its economy and allow for more broad-based and equitable growth. Australia </w:t>
      </w:r>
      <w:r w:rsidR="007C5DAD">
        <w:rPr>
          <w:rFonts w:ascii="Franklin Gothic Book" w:hAnsi="Franklin Gothic Book"/>
          <w:sz w:val="21"/>
        </w:rPr>
        <w:t>has supported</w:t>
      </w:r>
      <w:r w:rsidRPr="00962508">
        <w:rPr>
          <w:rFonts w:ascii="Franklin Gothic Book" w:hAnsi="Franklin Gothic Book"/>
          <w:sz w:val="21"/>
        </w:rPr>
        <w:t xml:space="preserve"> inclusive growth and poverty </w:t>
      </w:r>
      <w:r w:rsidR="007C5DAD">
        <w:rPr>
          <w:rFonts w:ascii="Franklin Gothic Book" w:hAnsi="Franklin Gothic Book"/>
          <w:sz w:val="21"/>
        </w:rPr>
        <w:t xml:space="preserve">reduction through </w:t>
      </w:r>
      <w:r w:rsidRPr="00962508">
        <w:rPr>
          <w:rFonts w:ascii="Franklin Gothic Book" w:hAnsi="Franklin Gothic Book"/>
          <w:sz w:val="21"/>
        </w:rPr>
        <w:t>LARLP and the recently-completed Laos Australia NGO Cooperation Agreements Program</w:t>
      </w:r>
      <w:r w:rsidR="007C5DAD">
        <w:rPr>
          <w:rFonts w:ascii="Franklin Gothic Book" w:hAnsi="Franklin Gothic Book"/>
          <w:sz w:val="21"/>
        </w:rPr>
        <w:t xml:space="preserve"> (LAN</w:t>
      </w:r>
      <w:r w:rsidR="00442F35">
        <w:rPr>
          <w:rFonts w:ascii="Franklin Gothic Book" w:hAnsi="Franklin Gothic Book"/>
          <w:sz w:val="21"/>
        </w:rPr>
        <w:t>GOCA</w:t>
      </w:r>
      <w:r w:rsidR="007C5DAD">
        <w:rPr>
          <w:rFonts w:ascii="Franklin Gothic Book" w:hAnsi="Franklin Gothic Book"/>
          <w:sz w:val="21"/>
        </w:rPr>
        <w:t>)</w:t>
      </w:r>
      <w:r w:rsidR="00442F35">
        <w:rPr>
          <w:rFonts w:ascii="Franklin Gothic Book" w:hAnsi="Franklin Gothic Book"/>
          <w:sz w:val="21"/>
        </w:rPr>
        <w:t>.</w:t>
      </w:r>
      <w:r w:rsidR="00442F35" w:rsidRPr="00442F35">
        <w:rPr>
          <w:rFonts w:ascii="Franklin Gothic Book" w:hAnsi="Franklin Gothic Book"/>
          <w:sz w:val="21"/>
        </w:rPr>
        <w:t xml:space="preserve"> </w:t>
      </w:r>
      <w:r w:rsidR="00442F35">
        <w:rPr>
          <w:rFonts w:ascii="Franklin Gothic Book" w:hAnsi="Franklin Gothic Book"/>
          <w:sz w:val="21"/>
        </w:rPr>
        <w:t xml:space="preserve">In the case of LANGOCA, the independent final evaluation confirmed its </w:t>
      </w:r>
      <w:r w:rsidR="00442F35" w:rsidRPr="00977A1D">
        <w:rPr>
          <w:rFonts w:ascii="Franklin Gothic Book" w:hAnsi="Franklin Gothic Book"/>
          <w:sz w:val="21"/>
        </w:rPr>
        <w:t xml:space="preserve">positive contribution to the livelihoods of rural families from 155 poor villages, resulting in reduced rice shortages, more disposable income, and increased food variety. </w:t>
      </w:r>
      <w:r w:rsidR="00442F35">
        <w:rPr>
          <w:rFonts w:ascii="Franklin Gothic Book" w:hAnsi="Franklin Gothic Book"/>
          <w:sz w:val="21"/>
        </w:rPr>
        <w:t>Also</w:t>
      </w:r>
      <w:r w:rsidR="00442F35" w:rsidRPr="00977A1D">
        <w:rPr>
          <w:rFonts w:ascii="Franklin Gothic Book" w:hAnsi="Franklin Gothic Book"/>
          <w:sz w:val="21"/>
        </w:rPr>
        <w:t xml:space="preserve">, a total of 528 hectares of land has been cleared of UXO </w:t>
      </w:r>
      <w:r w:rsidR="00442F35">
        <w:rPr>
          <w:rFonts w:ascii="Franklin Gothic Book" w:hAnsi="Franklin Gothic Book"/>
          <w:sz w:val="21"/>
        </w:rPr>
        <w:t xml:space="preserve">which </w:t>
      </w:r>
      <w:r w:rsidR="00442F35" w:rsidRPr="00977A1D">
        <w:rPr>
          <w:rFonts w:ascii="Franklin Gothic Book" w:hAnsi="Franklin Gothic Book"/>
          <w:sz w:val="21"/>
        </w:rPr>
        <w:t xml:space="preserve">benefitted more than 17,000 people who used this cleared land to plant rice and coffee, build fish ponds and set-up kitchen gardens. Community-based livelihoods </w:t>
      </w:r>
      <w:r w:rsidR="00442F35" w:rsidRPr="00977A1D">
        <w:rPr>
          <w:rFonts w:ascii="Franklin Gothic Book" w:hAnsi="Franklin Gothic Book"/>
          <w:sz w:val="21"/>
        </w:rPr>
        <w:lastRenderedPageBreak/>
        <w:t>activities, including seed distribution, access to agricultural technology and kitchen garden development, provided improved food security and productivity for more than 2,400 households.</w:t>
      </w:r>
    </w:p>
    <w:p w:rsidR="0008391F" w:rsidRPr="00962508" w:rsidRDefault="00946D8F" w:rsidP="00BA6957">
      <w:pPr>
        <w:spacing w:after="120" w:line="280" w:lineRule="exact"/>
        <w:rPr>
          <w:rFonts w:ascii="Franklin Gothic Book" w:hAnsi="Franklin Gothic Book"/>
          <w:sz w:val="21"/>
        </w:rPr>
      </w:pPr>
      <w:r>
        <w:rPr>
          <w:rFonts w:ascii="Franklin Gothic Book" w:hAnsi="Franklin Gothic Book"/>
          <w:sz w:val="21"/>
        </w:rPr>
        <w:t>LARLP</w:t>
      </w:r>
      <w:r w:rsidR="0008391F" w:rsidRPr="00962508">
        <w:rPr>
          <w:rFonts w:ascii="Franklin Gothic Book" w:hAnsi="Franklin Gothic Book"/>
          <w:sz w:val="21"/>
        </w:rPr>
        <w:t xml:space="preserve"> initially encountered </w:t>
      </w:r>
      <w:r w:rsidR="00CC5B13">
        <w:rPr>
          <w:rFonts w:ascii="Franklin Gothic Book" w:hAnsi="Franklin Gothic Book"/>
          <w:sz w:val="21"/>
        </w:rPr>
        <w:t>some</w:t>
      </w:r>
      <w:r w:rsidR="0008391F" w:rsidRPr="00962508">
        <w:rPr>
          <w:rFonts w:ascii="Franklin Gothic Book" w:hAnsi="Franklin Gothic Book"/>
          <w:sz w:val="21"/>
        </w:rPr>
        <w:t xml:space="preserve"> delays </w:t>
      </w:r>
      <w:r w:rsidR="00576918">
        <w:rPr>
          <w:rFonts w:ascii="Franklin Gothic Book" w:hAnsi="Franklin Gothic Book"/>
          <w:sz w:val="21"/>
        </w:rPr>
        <w:t>as a result of</w:t>
      </w:r>
      <w:r w:rsidR="0008391F" w:rsidRPr="00962508">
        <w:rPr>
          <w:rFonts w:ascii="Franklin Gothic Book" w:hAnsi="Franklin Gothic Book"/>
          <w:sz w:val="21"/>
        </w:rPr>
        <w:t xml:space="preserve"> </w:t>
      </w:r>
      <w:r w:rsidR="00CC5B13">
        <w:rPr>
          <w:rFonts w:ascii="Franklin Gothic Book" w:hAnsi="Franklin Gothic Book"/>
          <w:sz w:val="21"/>
        </w:rPr>
        <w:t xml:space="preserve">Lao </w:t>
      </w:r>
      <w:r w:rsidR="005D196B">
        <w:rPr>
          <w:rFonts w:ascii="Franklin Gothic Book" w:hAnsi="Franklin Gothic Book"/>
          <w:sz w:val="21"/>
        </w:rPr>
        <w:t>Government</w:t>
      </w:r>
      <w:r w:rsidR="00CC5B13" w:rsidRPr="00962508">
        <w:rPr>
          <w:rFonts w:ascii="Franklin Gothic Book" w:hAnsi="Franklin Gothic Book"/>
          <w:sz w:val="21"/>
        </w:rPr>
        <w:t xml:space="preserve"> </w:t>
      </w:r>
      <w:r w:rsidR="0008391F" w:rsidRPr="00962508">
        <w:rPr>
          <w:rFonts w:ascii="Franklin Gothic Book" w:hAnsi="Franklin Gothic Book"/>
          <w:sz w:val="21"/>
        </w:rPr>
        <w:t>regulatory requirements</w:t>
      </w:r>
      <w:r w:rsidR="00F726F9">
        <w:rPr>
          <w:rFonts w:ascii="Franklin Gothic Book" w:hAnsi="Franklin Gothic Book"/>
          <w:sz w:val="21"/>
        </w:rPr>
        <w:t xml:space="preserve">, </w:t>
      </w:r>
      <w:r w:rsidR="0008391F" w:rsidRPr="00962508">
        <w:rPr>
          <w:rFonts w:ascii="Franklin Gothic Book" w:hAnsi="Franklin Gothic Book"/>
          <w:sz w:val="21"/>
        </w:rPr>
        <w:t xml:space="preserve"> </w:t>
      </w:r>
      <w:r w:rsidR="005B719F" w:rsidRPr="00962508">
        <w:rPr>
          <w:rFonts w:ascii="Franklin Gothic Book" w:hAnsi="Franklin Gothic Book"/>
          <w:sz w:val="21"/>
        </w:rPr>
        <w:t>but</w:t>
      </w:r>
      <w:r w:rsidR="005B719F">
        <w:rPr>
          <w:rFonts w:ascii="Franklin Gothic Book" w:hAnsi="Franklin Gothic Book"/>
          <w:sz w:val="21"/>
        </w:rPr>
        <w:t xml:space="preserve"> subsequently</w:t>
      </w:r>
      <w:r w:rsidR="00CC5B13">
        <w:rPr>
          <w:rFonts w:ascii="Franklin Gothic Book" w:hAnsi="Franklin Gothic Book"/>
          <w:sz w:val="21"/>
        </w:rPr>
        <w:t xml:space="preserve"> delivered </w:t>
      </w:r>
      <w:r w:rsidR="0008391F" w:rsidRPr="00962508">
        <w:rPr>
          <w:rFonts w:ascii="Franklin Gothic Book" w:hAnsi="Franklin Gothic Book"/>
          <w:sz w:val="21"/>
        </w:rPr>
        <w:t xml:space="preserve">solid results. </w:t>
      </w:r>
      <w:r w:rsidR="00F726F9">
        <w:rPr>
          <w:rFonts w:ascii="Franklin Gothic Book" w:hAnsi="Franklin Gothic Book"/>
          <w:sz w:val="21"/>
        </w:rPr>
        <w:t>M</w:t>
      </w:r>
      <w:r w:rsidR="0008391F" w:rsidRPr="00962508">
        <w:rPr>
          <w:rFonts w:ascii="Franklin Gothic Book" w:hAnsi="Franklin Gothic Book"/>
          <w:sz w:val="21"/>
        </w:rPr>
        <w:t xml:space="preserve">ore than 51,800 additional people (31,950 women) were </w:t>
      </w:r>
      <w:r w:rsidR="00576918">
        <w:rPr>
          <w:rFonts w:ascii="Franklin Gothic Book" w:hAnsi="Franklin Gothic Book"/>
          <w:sz w:val="21"/>
        </w:rPr>
        <w:t xml:space="preserve">provided </w:t>
      </w:r>
      <w:r w:rsidR="007C5DAD">
        <w:rPr>
          <w:rFonts w:ascii="Franklin Gothic Book" w:hAnsi="Franklin Gothic Book"/>
          <w:sz w:val="21"/>
        </w:rPr>
        <w:t>with financial services</w:t>
      </w:r>
      <w:r w:rsidR="00083A84" w:rsidRPr="00962508">
        <w:rPr>
          <w:rStyle w:val="EndnoteReference"/>
        </w:rPr>
        <w:endnoteReference w:id="9"/>
      </w:r>
      <w:r w:rsidR="00F726F9">
        <w:rPr>
          <w:rFonts w:ascii="Franklin Gothic Book" w:hAnsi="Franklin Gothic Book"/>
          <w:sz w:val="21"/>
        </w:rPr>
        <w:t xml:space="preserve">, </w:t>
      </w:r>
      <w:r w:rsidR="00083A84" w:rsidRPr="00962508">
        <w:rPr>
          <w:rFonts w:ascii="Franklin Gothic Book" w:hAnsi="Franklin Gothic Book"/>
          <w:sz w:val="21"/>
        </w:rPr>
        <w:t xml:space="preserve"> </w:t>
      </w:r>
      <w:r w:rsidR="00F726F9">
        <w:rPr>
          <w:rFonts w:ascii="Franklin Gothic Book" w:hAnsi="Franklin Gothic Book"/>
          <w:sz w:val="21"/>
        </w:rPr>
        <w:t xml:space="preserve">short of </w:t>
      </w:r>
      <w:r w:rsidR="00083A84">
        <w:rPr>
          <w:rFonts w:ascii="Franklin Gothic Book" w:hAnsi="Franklin Gothic Book"/>
          <w:sz w:val="21"/>
        </w:rPr>
        <w:t xml:space="preserve">the target of </w:t>
      </w:r>
      <w:r w:rsidR="00083A84" w:rsidRPr="00962508">
        <w:rPr>
          <w:rFonts w:ascii="Franklin Gothic Book" w:hAnsi="Franklin Gothic Book"/>
          <w:sz w:val="21"/>
        </w:rPr>
        <w:t>93,000</w:t>
      </w:r>
      <w:r w:rsidR="00F726F9">
        <w:rPr>
          <w:rFonts w:ascii="Franklin Gothic Book" w:hAnsi="Franklin Gothic Book"/>
          <w:sz w:val="21"/>
        </w:rPr>
        <w:t>, but still a substantial number in light of the delays</w:t>
      </w:r>
      <w:r w:rsidR="007C5DAD">
        <w:rPr>
          <w:rFonts w:ascii="Franklin Gothic Book" w:hAnsi="Franklin Gothic Book"/>
          <w:sz w:val="21"/>
        </w:rPr>
        <w:t>.</w:t>
      </w:r>
    </w:p>
    <w:p w:rsidR="0008391F" w:rsidRPr="00962508" w:rsidRDefault="00576918" w:rsidP="00BA6957">
      <w:pPr>
        <w:spacing w:after="120" w:line="280" w:lineRule="exact"/>
        <w:rPr>
          <w:rFonts w:ascii="Franklin Gothic Book" w:hAnsi="Franklin Gothic Book"/>
          <w:sz w:val="21"/>
        </w:rPr>
      </w:pPr>
      <w:r w:rsidRPr="00962508">
        <w:rPr>
          <w:rFonts w:ascii="Franklin Gothic Book" w:hAnsi="Franklin Gothic Book"/>
          <w:sz w:val="21"/>
        </w:rPr>
        <w:t>An Australian-funded financial services survey</w:t>
      </w:r>
      <w:r w:rsidRPr="00962508">
        <w:rPr>
          <w:rStyle w:val="EndnoteReference"/>
        </w:rPr>
        <w:endnoteReference w:id="10"/>
      </w:r>
      <w:r w:rsidRPr="00962508">
        <w:rPr>
          <w:rFonts w:ascii="Franklin Gothic Book" w:hAnsi="Franklin Gothic Book"/>
          <w:sz w:val="21"/>
        </w:rPr>
        <w:t xml:space="preserve"> </w:t>
      </w:r>
      <w:r>
        <w:rPr>
          <w:rFonts w:ascii="Franklin Gothic Book" w:hAnsi="Franklin Gothic Book"/>
          <w:sz w:val="21"/>
        </w:rPr>
        <w:t>found</w:t>
      </w:r>
      <w:r w:rsidRPr="00962508">
        <w:rPr>
          <w:rFonts w:ascii="Franklin Gothic Book" w:hAnsi="Franklin Gothic Book"/>
          <w:sz w:val="21"/>
        </w:rPr>
        <w:t xml:space="preserve"> that more than a quarter of the Lao population </w:t>
      </w:r>
      <w:r w:rsidR="00F726F9">
        <w:rPr>
          <w:rFonts w:ascii="Franklin Gothic Book" w:hAnsi="Franklin Gothic Book"/>
          <w:sz w:val="21"/>
        </w:rPr>
        <w:t xml:space="preserve">was </w:t>
      </w:r>
      <w:r w:rsidRPr="00962508">
        <w:rPr>
          <w:rFonts w:ascii="Franklin Gothic Book" w:hAnsi="Franklin Gothic Book"/>
          <w:sz w:val="21"/>
        </w:rPr>
        <w:t>excluded from financial services and half the population use</w:t>
      </w:r>
      <w:r w:rsidR="00F726F9">
        <w:rPr>
          <w:rFonts w:ascii="Franklin Gothic Book" w:hAnsi="Franklin Gothic Book"/>
          <w:sz w:val="21"/>
        </w:rPr>
        <w:t>d</w:t>
      </w:r>
      <w:r w:rsidRPr="00962508">
        <w:rPr>
          <w:rFonts w:ascii="Franklin Gothic Book" w:hAnsi="Franklin Gothic Book"/>
          <w:sz w:val="21"/>
        </w:rPr>
        <w:t xml:space="preserve"> informal or no financial services. </w:t>
      </w:r>
      <w:r w:rsidR="0008391F" w:rsidRPr="00962508">
        <w:rPr>
          <w:rFonts w:ascii="Franklin Gothic Book" w:hAnsi="Franklin Gothic Book"/>
          <w:sz w:val="21"/>
        </w:rPr>
        <w:t xml:space="preserve">Australia, through LARLP, </w:t>
      </w:r>
      <w:r>
        <w:rPr>
          <w:rFonts w:ascii="Franklin Gothic Book" w:hAnsi="Franklin Gothic Book"/>
          <w:sz w:val="21"/>
        </w:rPr>
        <w:t xml:space="preserve">has </w:t>
      </w:r>
      <w:r w:rsidR="0008391F" w:rsidRPr="00962508">
        <w:rPr>
          <w:rFonts w:ascii="Franklin Gothic Book" w:hAnsi="Franklin Gothic Book"/>
          <w:sz w:val="21"/>
        </w:rPr>
        <w:t>promote</w:t>
      </w:r>
      <w:r w:rsidR="00083A84">
        <w:rPr>
          <w:rFonts w:ascii="Franklin Gothic Book" w:hAnsi="Franklin Gothic Book"/>
          <w:sz w:val="21"/>
        </w:rPr>
        <w:t>d</w:t>
      </w:r>
      <w:r w:rsidR="0008391F" w:rsidRPr="00962508">
        <w:rPr>
          <w:rFonts w:ascii="Franklin Gothic Book" w:hAnsi="Franklin Gothic Book"/>
          <w:sz w:val="21"/>
        </w:rPr>
        <w:t xml:space="preserve"> private sector growth in rural Laos</w:t>
      </w:r>
      <w:r w:rsidR="00083A84">
        <w:rPr>
          <w:rFonts w:ascii="Franklin Gothic Book" w:hAnsi="Franklin Gothic Book"/>
          <w:sz w:val="21"/>
        </w:rPr>
        <w:t xml:space="preserve"> by</w:t>
      </w:r>
      <w:r w:rsidR="0008391F" w:rsidRPr="00962508">
        <w:rPr>
          <w:rFonts w:ascii="Franklin Gothic Book" w:hAnsi="Franklin Gothic Book"/>
          <w:sz w:val="21"/>
        </w:rPr>
        <w:t xml:space="preserve"> working with private entities and commercial organisations to increase the diversity of financial services and im</w:t>
      </w:r>
      <w:r w:rsidR="007C5DAD">
        <w:rPr>
          <w:rFonts w:ascii="Franklin Gothic Book" w:hAnsi="Franklin Gothic Book"/>
          <w:sz w:val="21"/>
        </w:rPr>
        <w:t>prove financial inclusion. The p</w:t>
      </w:r>
      <w:r w:rsidR="0008391F" w:rsidRPr="00962508">
        <w:rPr>
          <w:rFonts w:ascii="Franklin Gothic Book" w:hAnsi="Franklin Gothic Book"/>
          <w:sz w:val="21"/>
        </w:rPr>
        <w:t>rogram is currently engaging commercial sector actors (</w:t>
      </w:r>
      <w:r>
        <w:rPr>
          <w:rFonts w:ascii="Franklin Gothic Book" w:hAnsi="Franklin Gothic Book"/>
          <w:sz w:val="21"/>
        </w:rPr>
        <w:t>including</w:t>
      </w:r>
      <w:r w:rsidR="0008391F" w:rsidRPr="00962508">
        <w:rPr>
          <w:rFonts w:ascii="Franklin Gothic Book" w:hAnsi="Franklin Gothic Book"/>
          <w:sz w:val="21"/>
        </w:rPr>
        <w:t xml:space="preserve"> a bank, telecommunication companies</w:t>
      </w:r>
      <w:r>
        <w:rPr>
          <w:rFonts w:ascii="Franklin Gothic Book" w:hAnsi="Franklin Gothic Book"/>
          <w:sz w:val="21"/>
        </w:rPr>
        <w:t xml:space="preserve"> and a </w:t>
      </w:r>
      <w:r w:rsidR="0008391F" w:rsidRPr="00962508">
        <w:rPr>
          <w:rFonts w:ascii="Franklin Gothic Book" w:hAnsi="Franklin Gothic Book"/>
          <w:sz w:val="21"/>
        </w:rPr>
        <w:t>microfinance holding company) interested in expanding financial services in rural areas. In 2014, DFAT’s investments of around $1.1</w:t>
      </w:r>
      <w:r w:rsidR="003B0D97">
        <w:rPr>
          <w:rFonts w:ascii="Franklin Gothic Book" w:hAnsi="Franklin Gothic Book"/>
          <w:sz w:val="21"/>
        </w:rPr>
        <w:t xml:space="preserve"> </w:t>
      </w:r>
      <w:r w:rsidR="0008391F" w:rsidRPr="00962508">
        <w:rPr>
          <w:rFonts w:ascii="Franklin Gothic Book" w:hAnsi="Franklin Gothic Book"/>
          <w:sz w:val="21"/>
        </w:rPr>
        <w:t>m</w:t>
      </w:r>
      <w:r w:rsidR="003B0D97">
        <w:rPr>
          <w:rFonts w:ascii="Franklin Gothic Book" w:hAnsi="Franklin Gothic Book"/>
          <w:sz w:val="21"/>
        </w:rPr>
        <w:t>illion</w:t>
      </w:r>
      <w:r w:rsidR="0008391F" w:rsidRPr="00962508">
        <w:rPr>
          <w:rFonts w:ascii="Franklin Gothic Book" w:hAnsi="Franklin Gothic Book"/>
          <w:sz w:val="21"/>
        </w:rPr>
        <w:t xml:space="preserve"> in financial inclusion activities leveraged private sector cash investment</w:t>
      </w:r>
      <w:r w:rsidR="007C5DAD">
        <w:rPr>
          <w:rFonts w:ascii="Franklin Gothic Book" w:hAnsi="Franklin Gothic Book"/>
          <w:sz w:val="21"/>
        </w:rPr>
        <w:t>s</w:t>
      </w:r>
      <w:r w:rsidR="0008391F" w:rsidRPr="00962508">
        <w:rPr>
          <w:rFonts w:ascii="Franklin Gothic Book" w:hAnsi="Franklin Gothic Book"/>
          <w:sz w:val="21"/>
        </w:rPr>
        <w:t xml:space="preserve"> of </w:t>
      </w:r>
      <w:r w:rsidR="007C5DAD">
        <w:rPr>
          <w:rFonts w:ascii="Franklin Gothic Book" w:hAnsi="Franklin Gothic Book"/>
          <w:sz w:val="21"/>
        </w:rPr>
        <w:t>more than</w:t>
      </w:r>
      <w:r w:rsidR="0008391F" w:rsidRPr="00962508">
        <w:rPr>
          <w:rFonts w:ascii="Franklin Gothic Book" w:hAnsi="Franklin Gothic Book"/>
          <w:sz w:val="21"/>
        </w:rPr>
        <w:t xml:space="preserve"> $2.3</w:t>
      </w:r>
      <w:r w:rsidR="003B0D97">
        <w:rPr>
          <w:rFonts w:ascii="Franklin Gothic Book" w:hAnsi="Franklin Gothic Book"/>
          <w:sz w:val="21"/>
        </w:rPr>
        <w:t xml:space="preserve"> </w:t>
      </w:r>
      <w:r w:rsidR="0008391F" w:rsidRPr="00962508">
        <w:rPr>
          <w:rFonts w:ascii="Franklin Gothic Book" w:hAnsi="Franklin Gothic Book"/>
          <w:sz w:val="21"/>
        </w:rPr>
        <w:t>m</w:t>
      </w:r>
      <w:r w:rsidR="003B0D97">
        <w:rPr>
          <w:rFonts w:ascii="Franklin Gothic Book" w:hAnsi="Franklin Gothic Book"/>
          <w:sz w:val="21"/>
        </w:rPr>
        <w:t>illion</w:t>
      </w:r>
      <w:r w:rsidR="0008391F" w:rsidRPr="00962508">
        <w:rPr>
          <w:rFonts w:ascii="Franklin Gothic Book" w:hAnsi="Franklin Gothic Book"/>
          <w:sz w:val="21"/>
        </w:rPr>
        <w:t>.</w:t>
      </w:r>
      <w:r w:rsidR="00FD45E4" w:rsidRPr="00962508">
        <w:rPr>
          <w:rStyle w:val="EndnoteReference"/>
        </w:rPr>
        <w:endnoteReference w:id="11"/>
      </w:r>
    </w:p>
    <w:p w:rsidR="0008391F" w:rsidRPr="00962508" w:rsidRDefault="0008391F" w:rsidP="00BA6957">
      <w:pPr>
        <w:spacing w:after="120" w:line="280" w:lineRule="exact"/>
        <w:rPr>
          <w:rFonts w:ascii="Franklin Gothic Book" w:hAnsi="Franklin Gothic Book"/>
          <w:sz w:val="21"/>
        </w:rPr>
      </w:pPr>
      <w:r w:rsidRPr="00962508">
        <w:rPr>
          <w:rFonts w:ascii="Franklin Gothic Book" w:hAnsi="Franklin Gothic Book"/>
          <w:sz w:val="21"/>
        </w:rPr>
        <w:t xml:space="preserve">Australia </w:t>
      </w:r>
      <w:r w:rsidR="00576918">
        <w:rPr>
          <w:rFonts w:ascii="Franklin Gothic Book" w:hAnsi="Franklin Gothic Book"/>
          <w:sz w:val="21"/>
        </w:rPr>
        <w:t xml:space="preserve">is </w:t>
      </w:r>
      <w:r w:rsidRPr="00962508">
        <w:rPr>
          <w:rFonts w:ascii="Franklin Gothic Book" w:hAnsi="Franklin Gothic Book"/>
          <w:sz w:val="21"/>
        </w:rPr>
        <w:t xml:space="preserve">also </w:t>
      </w:r>
      <w:r w:rsidR="00083A84">
        <w:rPr>
          <w:rFonts w:ascii="Franklin Gothic Book" w:hAnsi="Franklin Gothic Book"/>
          <w:sz w:val="21"/>
        </w:rPr>
        <w:t>working</w:t>
      </w:r>
      <w:r w:rsidRPr="00962508">
        <w:rPr>
          <w:rFonts w:ascii="Franklin Gothic Book" w:hAnsi="Franklin Gothic Book"/>
          <w:sz w:val="21"/>
        </w:rPr>
        <w:t xml:space="preserve"> with </w:t>
      </w:r>
      <w:r w:rsidR="00083A84">
        <w:rPr>
          <w:rFonts w:ascii="Franklin Gothic Book" w:hAnsi="Franklin Gothic Book"/>
          <w:sz w:val="21"/>
        </w:rPr>
        <w:t xml:space="preserve">the </w:t>
      </w:r>
      <w:r w:rsidRPr="00962508">
        <w:rPr>
          <w:rFonts w:ascii="Franklin Gothic Book" w:hAnsi="Franklin Gothic Book"/>
          <w:sz w:val="21"/>
        </w:rPr>
        <w:t xml:space="preserve">Bank of Laos (BoL) </w:t>
      </w:r>
      <w:r w:rsidR="00083A84">
        <w:rPr>
          <w:rFonts w:ascii="Franklin Gothic Book" w:hAnsi="Franklin Gothic Book"/>
          <w:sz w:val="21"/>
        </w:rPr>
        <w:t>to increase</w:t>
      </w:r>
      <w:r w:rsidR="007C5DAD">
        <w:rPr>
          <w:rFonts w:ascii="Franklin Gothic Book" w:hAnsi="Franklin Gothic Book"/>
          <w:sz w:val="21"/>
        </w:rPr>
        <w:t xml:space="preserve">  </w:t>
      </w:r>
      <w:r w:rsidRPr="00962508">
        <w:rPr>
          <w:rFonts w:ascii="Franklin Gothic Book" w:hAnsi="Franklin Gothic Book"/>
          <w:sz w:val="21"/>
        </w:rPr>
        <w:t xml:space="preserve">financial inclusion. For example, </w:t>
      </w:r>
      <w:r w:rsidR="00576918">
        <w:rPr>
          <w:rFonts w:ascii="Franklin Gothic Book" w:hAnsi="Franklin Gothic Book"/>
          <w:sz w:val="21"/>
        </w:rPr>
        <w:t>Australian</w:t>
      </w:r>
      <w:r w:rsidR="00576918" w:rsidRPr="00962508">
        <w:rPr>
          <w:rFonts w:ascii="Franklin Gothic Book" w:hAnsi="Franklin Gothic Book"/>
          <w:sz w:val="21"/>
        </w:rPr>
        <w:t xml:space="preserve"> </w:t>
      </w:r>
      <w:r w:rsidRPr="00962508">
        <w:rPr>
          <w:rFonts w:ascii="Franklin Gothic Book" w:hAnsi="Franklin Gothic Book"/>
          <w:sz w:val="21"/>
        </w:rPr>
        <w:t xml:space="preserve">support enabled </w:t>
      </w:r>
      <w:r w:rsidR="00576918">
        <w:rPr>
          <w:rFonts w:ascii="Franklin Gothic Book" w:hAnsi="Franklin Gothic Book"/>
          <w:sz w:val="21"/>
        </w:rPr>
        <w:t xml:space="preserve">the granting of </w:t>
      </w:r>
      <w:r w:rsidRPr="00962508">
        <w:rPr>
          <w:rFonts w:ascii="Franklin Gothic Book" w:hAnsi="Franklin Gothic Book"/>
          <w:sz w:val="21"/>
        </w:rPr>
        <w:t xml:space="preserve">licenses for pilot initiatives on branchless banking services for the poor and </w:t>
      </w:r>
      <w:r w:rsidR="00304382">
        <w:rPr>
          <w:rFonts w:ascii="Franklin Gothic Book" w:hAnsi="Franklin Gothic Book"/>
          <w:sz w:val="21"/>
        </w:rPr>
        <w:t>using mobile phones for banking</w:t>
      </w:r>
      <w:r w:rsidRPr="00304382">
        <w:rPr>
          <w:rFonts w:ascii="Franklin Gothic Book" w:hAnsi="Franklin Gothic Book"/>
          <w:sz w:val="21"/>
        </w:rPr>
        <w:t>.</w:t>
      </w:r>
      <w:r w:rsidRPr="00962508">
        <w:rPr>
          <w:rFonts w:ascii="Franklin Gothic Book" w:hAnsi="Franklin Gothic Book"/>
          <w:sz w:val="21"/>
        </w:rPr>
        <w:t xml:space="preserve"> BoL also started working on </w:t>
      </w:r>
      <w:r w:rsidR="00576918">
        <w:rPr>
          <w:rFonts w:ascii="Franklin Gothic Book" w:hAnsi="Franklin Gothic Book"/>
          <w:sz w:val="21"/>
        </w:rPr>
        <w:t>its</w:t>
      </w:r>
      <w:r w:rsidR="00576918" w:rsidRPr="00962508">
        <w:rPr>
          <w:rFonts w:ascii="Franklin Gothic Book" w:hAnsi="Franklin Gothic Book"/>
          <w:sz w:val="21"/>
        </w:rPr>
        <w:t xml:space="preserve"> </w:t>
      </w:r>
      <w:r w:rsidRPr="00962508">
        <w:rPr>
          <w:rFonts w:ascii="Franklin Gothic Book" w:hAnsi="Franklin Gothic Book"/>
          <w:sz w:val="21"/>
        </w:rPr>
        <w:t xml:space="preserve">National Financial Literacy and Consumer Protection Strategy which </w:t>
      </w:r>
      <w:r w:rsidR="007C5DAD">
        <w:rPr>
          <w:rFonts w:ascii="Franklin Gothic Book" w:hAnsi="Franklin Gothic Book"/>
          <w:sz w:val="21"/>
        </w:rPr>
        <w:t>will contribute to</w:t>
      </w:r>
      <w:r w:rsidRPr="00962508">
        <w:rPr>
          <w:rFonts w:ascii="Franklin Gothic Book" w:hAnsi="Franklin Gothic Book"/>
          <w:sz w:val="21"/>
        </w:rPr>
        <w:t xml:space="preserve"> greater financial inclu</w:t>
      </w:r>
      <w:r w:rsidR="007C5DAD">
        <w:rPr>
          <w:rFonts w:ascii="Franklin Gothic Book" w:hAnsi="Franklin Gothic Book"/>
          <w:sz w:val="21"/>
        </w:rPr>
        <w:t>sion</w:t>
      </w:r>
      <w:r w:rsidRPr="00962508">
        <w:rPr>
          <w:rFonts w:ascii="Franklin Gothic Book" w:hAnsi="Franklin Gothic Book"/>
          <w:sz w:val="21"/>
        </w:rPr>
        <w:t xml:space="preserve">. </w:t>
      </w:r>
    </w:p>
    <w:p w:rsidR="0008391F" w:rsidRPr="00962508" w:rsidRDefault="00576918" w:rsidP="00BA6957">
      <w:pPr>
        <w:spacing w:after="120" w:line="280" w:lineRule="exact"/>
        <w:rPr>
          <w:rFonts w:ascii="Franklin Gothic Book" w:hAnsi="Franklin Gothic Book"/>
          <w:sz w:val="21"/>
        </w:rPr>
      </w:pPr>
      <w:r>
        <w:rPr>
          <w:rFonts w:ascii="Franklin Gothic Book" w:hAnsi="Franklin Gothic Book"/>
          <w:sz w:val="21"/>
        </w:rPr>
        <w:t xml:space="preserve">Fiscal difficulties </w:t>
      </w:r>
      <w:r w:rsidR="00256476">
        <w:rPr>
          <w:rFonts w:ascii="Franklin Gothic Book" w:hAnsi="Franklin Gothic Book"/>
          <w:sz w:val="21"/>
        </w:rPr>
        <w:t>ha</w:t>
      </w:r>
      <w:r>
        <w:rPr>
          <w:rFonts w:ascii="Franklin Gothic Book" w:hAnsi="Franklin Gothic Book"/>
          <w:sz w:val="21"/>
        </w:rPr>
        <w:t>ve</w:t>
      </w:r>
      <w:r w:rsidR="00256476">
        <w:rPr>
          <w:rFonts w:ascii="Franklin Gothic Book" w:hAnsi="Franklin Gothic Book"/>
          <w:sz w:val="21"/>
        </w:rPr>
        <w:t xml:space="preserve"> </w:t>
      </w:r>
      <w:r w:rsidR="000A5282">
        <w:rPr>
          <w:rFonts w:ascii="Franklin Gothic Book" w:hAnsi="Franklin Gothic Book"/>
          <w:sz w:val="21"/>
        </w:rPr>
        <w:t>made</w:t>
      </w:r>
      <w:r w:rsidR="008C4A65">
        <w:rPr>
          <w:rFonts w:ascii="Franklin Gothic Book" w:hAnsi="Franklin Gothic Book"/>
          <w:sz w:val="21"/>
        </w:rPr>
        <w:t xml:space="preserve"> </w:t>
      </w:r>
      <w:r>
        <w:rPr>
          <w:rFonts w:ascii="Franklin Gothic Book" w:hAnsi="Franklin Gothic Book"/>
          <w:sz w:val="21"/>
        </w:rPr>
        <w:t xml:space="preserve">the Lao </w:t>
      </w:r>
      <w:r w:rsidR="00160EA8">
        <w:rPr>
          <w:rFonts w:ascii="Franklin Gothic Book" w:hAnsi="Franklin Gothic Book"/>
          <w:sz w:val="21"/>
        </w:rPr>
        <w:t>G</w:t>
      </w:r>
      <w:r>
        <w:rPr>
          <w:rFonts w:ascii="Franklin Gothic Book" w:hAnsi="Franklin Gothic Book"/>
          <w:sz w:val="21"/>
        </w:rPr>
        <w:t>overnment</w:t>
      </w:r>
      <w:r w:rsidR="00256476">
        <w:rPr>
          <w:rFonts w:ascii="Franklin Gothic Book" w:hAnsi="Franklin Gothic Book"/>
          <w:sz w:val="21"/>
        </w:rPr>
        <w:t xml:space="preserve"> </w:t>
      </w:r>
      <w:r w:rsidR="000A5282">
        <w:rPr>
          <w:rFonts w:ascii="Franklin Gothic Book" w:hAnsi="Franklin Gothic Book"/>
          <w:sz w:val="21"/>
        </w:rPr>
        <w:t xml:space="preserve">reluctant </w:t>
      </w:r>
      <w:r w:rsidR="0008391F" w:rsidRPr="00962508">
        <w:rPr>
          <w:rFonts w:ascii="Franklin Gothic Book" w:hAnsi="Franklin Gothic Book"/>
          <w:sz w:val="21"/>
        </w:rPr>
        <w:t xml:space="preserve">to pursue social protection activities that it </w:t>
      </w:r>
      <w:r>
        <w:rPr>
          <w:rFonts w:ascii="Franklin Gothic Book" w:hAnsi="Franklin Gothic Book"/>
          <w:sz w:val="21"/>
        </w:rPr>
        <w:t xml:space="preserve">believes it </w:t>
      </w:r>
      <w:r w:rsidR="0008391F" w:rsidRPr="00962508">
        <w:rPr>
          <w:rFonts w:ascii="Franklin Gothic Book" w:hAnsi="Franklin Gothic Book"/>
          <w:sz w:val="21"/>
        </w:rPr>
        <w:t>cannot sustain. Because of this, delays occurred in securing the mandatory memorandum of understanding</w:t>
      </w:r>
      <w:r w:rsidR="00FD45E4" w:rsidRPr="00962508">
        <w:rPr>
          <w:rStyle w:val="EndnoteReference"/>
        </w:rPr>
        <w:endnoteReference w:id="12"/>
      </w:r>
      <w:r w:rsidR="0008391F" w:rsidRPr="00962508">
        <w:rPr>
          <w:rFonts w:ascii="Franklin Gothic Book" w:hAnsi="Franklin Gothic Book"/>
          <w:sz w:val="21"/>
        </w:rPr>
        <w:t xml:space="preserve"> for the </w:t>
      </w:r>
      <w:r w:rsidR="0008391F" w:rsidRPr="00304382">
        <w:rPr>
          <w:rFonts w:ascii="Franklin Gothic Book" w:hAnsi="Franklin Gothic Book"/>
          <w:sz w:val="21"/>
        </w:rPr>
        <w:t xml:space="preserve">field-based implementation of activities </w:t>
      </w:r>
      <w:r w:rsidR="0036467C">
        <w:rPr>
          <w:rFonts w:ascii="Franklin Gothic Book" w:hAnsi="Franklin Gothic Book"/>
          <w:sz w:val="21"/>
        </w:rPr>
        <w:t>involving</w:t>
      </w:r>
      <w:r w:rsidR="0008391F" w:rsidRPr="00304382">
        <w:rPr>
          <w:rFonts w:ascii="Franklin Gothic Book" w:hAnsi="Franklin Gothic Book"/>
          <w:sz w:val="21"/>
        </w:rPr>
        <w:t xml:space="preserve"> cash and asset transfers.</w:t>
      </w:r>
      <w:r w:rsidR="0008391F" w:rsidRPr="00962508">
        <w:rPr>
          <w:rFonts w:ascii="Franklin Gothic Book" w:hAnsi="Franklin Gothic Book"/>
          <w:sz w:val="21"/>
        </w:rPr>
        <w:t xml:space="preserve"> </w:t>
      </w:r>
      <w:r>
        <w:rPr>
          <w:rFonts w:ascii="Franklin Gothic Book" w:hAnsi="Franklin Gothic Book"/>
          <w:sz w:val="21"/>
        </w:rPr>
        <w:t>As a result, t</w:t>
      </w:r>
      <w:r w:rsidR="0008391F" w:rsidRPr="00962508">
        <w:rPr>
          <w:rFonts w:ascii="Franklin Gothic Book" w:hAnsi="Franklin Gothic Book"/>
          <w:sz w:val="21"/>
        </w:rPr>
        <w:t xml:space="preserve">he target of 600 poor </w:t>
      </w:r>
      <w:r w:rsidR="005C319D">
        <w:rPr>
          <w:rFonts w:ascii="Franklin Gothic Book" w:hAnsi="Franklin Gothic Book"/>
          <w:sz w:val="21"/>
        </w:rPr>
        <w:t xml:space="preserve">women and men </w:t>
      </w:r>
      <w:r w:rsidR="00F726F9">
        <w:rPr>
          <w:rFonts w:ascii="Franklin Gothic Book" w:hAnsi="Franklin Gothic Book"/>
          <w:sz w:val="21"/>
        </w:rPr>
        <w:t>being able to access social transfers</w:t>
      </w:r>
      <w:r w:rsidR="005C4026">
        <w:rPr>
          <w:rFonts w:ascii="Franklin Gothic Book" w:hAnsi="Franklin Gothic Book"/>
          <w:sz w:val="21"/>
        </w:rPr>
        <w:t>,</w:t>
      </w:r>
      <w:r w:rsidR="00F726F9">
        <w:rPr>
          <w:rFonts w:ascii="Franklin Gothic Book" w:hAnsi="Franklin Gothic Book"/>
          <w:sz w:val="21"/>
        </w:rPr>
        <w:t xml:space="preserve"> </w:t>
      </w:r>
      <w:r w:rsidR="007C5DAD">
        <w:rPr>
          <w:rFonts w:ascii="Franklin Gothic Book" w:hAnsi="Franklin Gothic Book"/>
          <w:sz w:val="21"/>
        </w:rPr>
        <w:t>was not met. Nevertheless,</w:t>
      </w:r>
      <w:r w:rsidR="0008391F" w:rsidRPr="00962508">
        <w:rPr>
          <w:rFonts w:ascii="Franklin Gothic Book" w:hAnsi="Franklin Gothic Book"/>
          <w:sz w:val="21"/>
        </w:rPr>
        <w:t xml:space="preserve"> 613 poor households (456</w:t>
      </w:r>
      <w:r w:rsidR="008C4A65">
        <w:rPr>
          <w:rFonts w:ascii="Franklin Gothic Book" w:hAnsi="Franklin Gothic Book"/>
          <w:sz w:val="21"/>
        </w:rPr>
        <w:t> </w:t>
      </w:r>
      <w:r w:rsidR="0008391F" w:rsidRPr="00962508">
        <w:rPr>
          <w:rFonts w:ascii="Franklin Gothic Book" w:hAnsi="Franklin Gothic Book"/>
          <w:sz w:val="21"/>
        </w:rPr>
        <w:t xml:space="preserve">women beneficiaries) </w:t>
      </w:r>
      <w:r w:rsidR="007C5DAD">
        <w:rPr>
          <w:rFonts w:ascii="Franklin Gothic Book" w:hAnsi="Franklin Gothic Book"/>
          <w:sz w:val="21"/>
        </w:rPr>
        <w:t xml:space="preserve">were </w:t>
      </w:r>
      <w:r w:rsidR="0008391F" w:rsidRPr="00962508">
        <w:rPr>
          <w:rFonts w:ascii="Franklin Gothic Book" w:hAnsi="Franklin Gothic Book"/>
          <w:sz w:val="21"/>
        </w:rPr>
        <w:t xml:space="preserve">provided with preliminary training </w:t>
      </w:r>
      <w:r w:rsidR="000A5282">
        <w:rPr>
          <w:rFonts w:ascii="Franklin Gothic Book" w:hAnsi="Franklin Gothic Book"/>
          <w:sz w:val="21"/>
        </w:rPr>
        <w:t>and s</w:t>
      </w:r>
      <w:r w:rsidR="0008391F" w:rsidRPr="00962508">
        <w:rPr>
          <w:rFonts w:ascii="Franklin Gothic Book" w:hAnsi="Franklin Gothic Book"/>
          <w:sz w:val="21"/>
        </w:rPr>
        <w:t>upport.</w:t>
      </w:r>
      <w:r w:rsidR="00FD45E4" w:rsidRPr="00962508">
        <w:rPr>
          <w:rStyle w:val="EndnoteReference"/>
        </w:rPr>
        <w:endnoteReference w:id="13"/>
      </w:r>
      <w:r w:rsidR="0008391F" w:rsidRPr="00962508">
        <w:rPr>
          <w:rFonts w:ascii="Franklin Gothic Book" w:hAnsi="Franklin Gothic Book"/>
          <w:sz w:val="21"/>
        </w:rPr>
        <w:t xml:space="preserve"> A </w:t>
      </w:r>
      <w:r w:rsidR="0008391F" w:rsidRPr="00304382">
        <w:rPr>
          <w:rFonts w:ascii="Franklin Gothic Book" w:hAnsi="Franklin Gothic Book"/>
          <w:sz w:val="21"/>
        </w:rPr>
        <w:t>baseline survey</w:t>
      </w:r>
      <w:r w:rsidR="0008391F" w:rsidRPr="00962508">
        <w:rPr>
          <w:rFonts w:ascii="Franklin Gothic Book" w:hAnsi="Franklin Gothic Book"/>
          <w:sz w:val="21"/>
        </w:rPr>
        <w:t xml:space="preserve"> was completed and 120 beneficiaries (90 women) were selected for an intensive expenditure and consumption survey to be conducted every two months throughout the year. The </w:t>
      </w:r>
      <w:r w:rsidR="007C5DAD">
        <w:rPr>
          <w:rFonts w:ascii="Franklin Gothic Book" w:hAnsi="Franklin Gothic Book"/>
          <w:sz w:val="21"/>
        </w:rPr>
        <w:t>p</w:t>
      </w:r>
      <w:r w:rsidR="0008391F" w:rsidRPr="00962508">
        <w:rPr>
          <w:rFonts w:ascii="Franklin Gothic Book" w:hAnsi="Franklin Gothic Book"/>
          <w:sz w:val="21"/>
        </w:rPr>
        <w:t>rogram is also following 15 households through a quarterly blog</w:t>
      </w:r>
      <w:r w:rsidR="00FD45E4" w:rsidRPr="00962508">
        <w:rPr>
          <w:rStyle w:val="EndnoteReference"/>
        </w:rPr>
        <w:endnoteReference w:id="14"/>
      </w:r>
      <w:r w:rsidR="0008391F" w:rsidRPr="00962508">
        <w:rPr>
          <w:rFonts w:ascii="Franklin Gothic Book" w:hAnsi="Franklin Gothic Book"/>
          <w:sz w:val="21"/>
        </w:rPr>
        <w:t xml:space="preserve"> as they </w:t>
      </w:r>
      <w:r w:rsidR="007C5DAD">
        <w:rPr>
          <w:rFonts w:ascii="Franklin Gothic Book" w:hAnsi="Franklin Gothic Book"/>
          <w:sz w:val="21"/>
        </w:rPr>
        <w:t>develop</w:t>
      </w:r>
      <w:r w:rsidR="0008391F" w:rsidRPr="00962508">
        <w:rPr>
          <w:rFonts w:ascii="Franklin Gothic Book" w:hAnsi="Franklin Gothic Book"/>
          <w:sz w:val="21"/>
        </w:rPr>
        <w:t xml:space="preserve"> their livelihoods. Through this blog, we will learn about </w:t>
      </w:r>
      <w:r w:rsidR="007C5DAD">
        <w:rPr>
          <w:rFonts w:ascii="Franklin Gothic Book" w:hAnsi="Franklin Gothic Book"/>
          <w:sz w:val="21"/>
        </w:rPr>
        <w:t xml:space="preserve">the </w:t>
      </w:r>
      <w:r w:rsidR="000A5282">
        <w:rPr>
          <w:rFonts w:ascii="Franklin Gothic Book" w:hAnsi="Franklin Gothic Book"/>
          <w:sz w:val="21"/>
        </w:rPr>
        <w:t xml:space="preserve">difference </w:t>
      </w:r>
      <w:r w:rsidR="007C5DAD">
        <w:rPr>
          <w:rFonts w:ascii="Franklin Gothic Book" w:hAnsi="Franklin Gothic Book"/>
          <w:sz w:val="21"/>
        </w:rPr>
        <w:t xml:space="preserve">Australian aid </w:t>
      </w:r>
      <w:r w:rsidR="0008391F" w:rsidRPr="00962508">
        <w:rPr>
          <w:rFonts w:ascii="Franklin Gothic Book" w:hAnsi="Franklin Gothic Book"/>
          <w:sz w:val="21"/>
        </w:rPr>
        <w:t xml:space="preserve">is </w:t>
      </w:r>
      <w:r w:rsidR="000A5282">
        <w:rPr>
          <w:rFonts w:ascii="Franklin Gothic Book" w:hAnsi="Franklin Gothic Book"/>
          <w:sz w:val="21"/>
        </w:rPr>
        <w:t>making to</w:t>
      </w:r>
      <w:r w:rsidR="0008391F" w:rsidRPr="00962508">
        <w:rPr>
          <w:rFonts w:ascii="Franklin Gothic Book" w:hAnsi="Franklin Gothic Book"/>
          <w:sz w:val="21"/>
        </w:rPr>
        <w:t xml:space="preserve"> their lives. In the meantime, </w:t>
      </w:r>
      <w:r>
        <w:rPr>
          <w:rFonts w:ascii="Franklin Gothic Book" w:hAnsi="Franklin Gothic Book"/>
          <w:sz w:val="21"/>
        </w:rPr>
        <w:t>following</w:t>
      </w:r>
      <w:r w:rsidR="0008391F" w:rsidRPr="00962508">
        <w:rPr>
          <w:rFonts w:ascii="Franklin Gothic Book" w:hAnsi="Franklin Gothic Book"/>
          <w:sz w:val="21"/>
        </w:rPr>
        <w:t xml:space="preserve"> sustained policy dialogue and technical assistance, the Lao Government </w:t>
      </w:r>
      <w:r w:rsidR="003A43AF">
        <w:rPr>
          <w:rFonts w:ascii="Franklin Gothic Book" w:hAnsi="Franklin Gothic Book"/>
          <w:sz w:val="21"/>
        </w:rPr>
        <w:t xml:space="preserve">has </w:t>
      </w:r>
      <w:r w:rsidR="0008391F" w:rsidRPr="00962508">
        <w:rPr>
          <w:rFonts w:ascii="Franklin Gothic Book" w:hAnsi="Franklin Gothic Book"/>
          <w:sz w:val="21"/>
        </w:rPr>
        <w:t>included social protection as a strategic priority in its 8</w:t>
      </w:r>
      <w:r w:rsidR="0008391F" w:rsidRPr="00962508">
        <w:rPr>
          <w:rFonts w:ascii="Franklin Gothic Book" w:hAnsi="Franklin Gothic Book"/>
          <w:sz w:val="21"/>
          <w:vertAlign w:val="superscript"/>
        </w:rPr>
        <w:t>th</w:t>
      </w:r>
      <w:r w:rsidR="0008391F" w:rsidRPr="00962508">
        <w:rPr>
          <w:rFonts w:ascii="Franklin Gothic Book" w:hAnsi="Franklin Gothic Book"/>
          <w:sz w:val="21"/>
        </w:rPr>
        <w:t xml:space="preserve"> NSEDP</w:t>
      </w:r>
      <w:r w:rsidR="00C002BC" w:rsidRPr="00962508">
        <w:rPr>
          <w:rFonts w:ascii="Franklin Gothic Book" w:hAnsi="Franklin Gothic Book"/>
          <w:sz w:val="21"/>
        </w:rPr>
        <w:t>. I</w:t>
      </w:r>
      <w:r>
        <w:rPr>
          <w:rFonts w:ascii="Franklin Gothic Book" w:hAnsi="Franklin Gothic Book"/>
          <w:sz w:val="21"/>
        </w:rPr>
        <w:t>n addition,</w:t>
      </w:r>
      <w:r w:rsidR="00C002BC" w:rsidRPr="00962508">
        <w:rPr>
          <w:rFonts w:ascii="Franklin Gothic Book" w:hAnsi="Franklin Gothic Book"/>
          <w:sz w:val="21"/>
        </w:rPr>
        <w:t xml:space="preserve"> respon</w:t>
      </w:r>
      <w:r w:rsidR="00FA6174">
        <w:rPr>
          <w:rFonts w:ascii="Franklin Gothic Book" w:hAnsi="Franklin Gothic Book"/>
          <w:sz w:val="21"/>
        </w:rPr>
        <w:t>ding</w:t>
      </w:r>
      <w:r w:rsidR="00C002BC" w:rsidRPr="00962508">
        <w:rPr>
          <w:rFonts w:ascii="Franklin Gothic Book" w:hAnsi="Franklin Gothic Book"/>
          <w:sz w:val="21"/>
        </w:rPr>
        <w:t xml:space="preserve"> to a request from the Ministry of Labour and Social Welfare, Australia </w:t>
      </w:r>
      <w:r w:rsidR="00FA6174">
        <w:rPr>
          <w:rFonts w:ascii="Franklin Gothic Book" w:hAnsi="Franklin Gothic Book"/>
          <w:sz w:val="21"/>
        </w:rPr>
        <w:t>i</w:t>
      </w:r>
      <w:r>
        <w:rPr>
          <w:rFonts w:ascii="Franklin Gothic Book" w:hAnsi="Franklin Gothic Book"/>
          <w:sz w:val="21"/>
        </w:rPr>
        <w:t>s</w:t>
      </w:r>
      <w:r w:rsidRPr="00962508">
        <w:rPr>
          <w:rFonts w:ascii="Franklin Gothic Book" w:hAnsi="Franklin Gothic Book"/>
          <w:sz w:val="21"/>
        </w:rPr>
        <w:t xml:space="preserve"> </w:t>
      </w:r>
      <w:r w:rsidR="00C002BC" w:rsidRPr="00962508">
        <w:rPr>
          <w:rFonts w:ascii="Franklin Gothic Book" w:hAnsi="Franklin Gothic Book"/>
          <w:sz w:val="21"/>
        </w:rPr>
        <w:t>support</w:t>
      </w:r>
      <w:r w:rsidR="00FA6174">
        <w:rPr>
          <w:rFonts w:ascii="Franklin Gothic Book" w:hAnsi="Franklin Gothic Book"/>
          <w:sz w:val="21"/>
        </w:rPr>
        <w:t>ing</w:t>
      </w:r>
      <w:r w:rsidR="00C002BC" w:rsidRPr="00962508">
        <w:rPr>
          <w:rFonts w:ascii="Franklin Gothic Book" w:hAnsi="Franklin Gothic Book"/>
          <w:sz w:val="21"/>
        </w:rPr>
        <w:t xml:space="preserve"> feasibility studies on old age, disability, early childhood and unemployment </w:t>
      </w:r>
      <w:r w:rsidR="00304382">
        <w:rPr>
          <w:rFonts w:ascii="Franklin Gothic Book" w:hAnsi="Franklin Gothic Book"/>
          <w:sz w:val="21"/>
        </w:rPr>
        <w:t>payments</w:t>
      </w:r>
      <w:r w:rsidR="0025281F" w:rsidRPr="00962508">
        <w:rPr>
          <w:rFonts w:ascii="Franklin Gothic Book" w:hAnsi="Franklin Gothic Book"/>
          <w:sz w:val="21"/>
        </w:rPr>
        <w:t>.</w:t>
      </w:r>
    </w:p>
    <w:p w:rsidR="0008391F" w:rsidRPr="00962508" w:rsidRDefault="0008391F" w:rsidP="00BA6957">
      <w:pPr>
        <w:spacing w:after="120" w:line="280" w:lineRule="exact"/>
        <w:rPr>
          <w:rFonts w:ascii="Franklin Gothic Book" w:hAnsi="Franklin Gothic Book"/>
          <w:sz w:val="21"/>
        </w:rPr>
      </w:pPr>
      <w:r w:rsidRPr="00962508">
        <w:rPr>
          <w:rFonts w:ascii="Franklin Gothic Book" w:hAnsi="Franklin Gothic Book"/>
          <w:sz w:val="21"/>
        </w:rPr>
        <w:t xml:space="preserve">LARLP-targeted districts continue to receive steady support from </w:t>
      </w:r>
      <w:r w:rsidR="00576918">
        <w:rPr>
          <w:rFonts w:ascii="Franklin Gothic Book" w:hAnsi="Franklin Gothic Book"/>
          <w:sz w:val="21"/>
        </w:rPr>
        <w:t xml:space="preserve">the Lao </w:t>
      </w:r>
      <w:r w:rsidR="00160EA8">
        <w:rPr>
          <w:rFonts w:ascii="Franklin Gothic Book" w:hAnsi="Franklin Gothic Book"/>
          <w:sz w:val="21"/>
        </w:rPr>
        <w:t>G</w:t>
      </w:r>
      <w:r w:rsidR="00576918">
        <w:rPr>
          <w:rFonts w:ascii="Franklin Gothic Book" w:hAnsi="Franklin Gothic Book"/>
          <w:sz w:val="21"/>
        </w:rPr>
        <w:t xml:space="preserve">overnment agency responsible for clearing </w:t>
      </w:r>
      <w:r w:rsidR="000A3D12">
        <w:rPr>
          <w:rFonts w:ascii="Franklin Gothic Book" w:hAnsi="Franklin Gothic Book"/>
          <w:sz w:val="21"/>
        </w:rPr>
        <w:t>UXO</w:t>
      </w:r>
      <w:r w:rsidRPr="00962508">
        <w:rPr>
          <w:rFonts w:ascii="Franklin Gothic Book" w:hAnsi="Franklin Gothic Book"/>
          <w:sz w:val="21"/>
        </w:rPr>
        <w:t xml:space="preserve">. </w:t>
      </w:r>
      <w:r w:rsidR="00FA6174">
        <w:rPr>
          <w:rFonts w:ascii="Franklin Gothic Book" w:hAnsi="Franklin Gothic Book"/>
          <w:sz w:val="21"/>
        </w:rPr>
        <w:t>Aiming</w:t>
      </w:r>
      <w:r w:rsidR="00FA6174" w:rsidRPr="00962508">
        <w:rPr>
          <w:rFonts w:ascii="Franklin Gothic Book" w:hAnsi="Franklin Gothic Book"/>
          <w:sz w:val="21"/>
        </w:rPr>
        <w:t xml:space="preserve"> </w:t>
      </w:r>
      <w:r w:rsidR="00FA6174">
        <w:rPr>
          <w:rFonts w:ascii="Franklin Gothic Book" w:hAnsi="Franklin Gothic Book"/>
          <w:sz w:val="21"/>
        </w:rPr>
        <w:t>to clear</w:t>
      </w:r>
      <w:r w:rsidRPr="00962508">
        <w:rPr>
          <w:rFonts w:ascii="Franklin Gothic Book" w:hAnsi="Franklin Gothic Book"/>
          <w:sz w:val="21"/>
        </w:rPr>
        <w:t xml:space="preserve"> 630 hectares of productive land, </w:t>
      </w:r>
      <w:r w:rsidR="00FA6174">
        <w:rPr>
          <w:rFonts w:ascii="Franklin Gothic Book" w:hAnsi="Franklin Gothic Book"/>
          <w:sz w:val="21"/>
        </w:rPr>
        <w:t xml:space="preserve">last year </w:t>
      </w:r>
      <w:r w:rsidRPr="00962508">
        <w:rPr>
          <w:rFonts w:ascii="Franklin Gothic Book" w:hAnsi="Franklin Gothic Book"/>
          <w:sz w:val="21"/>
        </w:rPr>
        <w:t xml:space="preserve">Australian-funded teams exceeded expectations and </w:t>
      </w:r>
      <w:r w:rsidR="00790B3C">
        <w:rPr>
          <w:rFonts w:ascii="Franklin Gothic Book" w:hAnsi="Franklin Gothic Book"/>
          <w:sz w:val="21"/>
        </w:rPr>
        <w:t>remediated</w:t>
      </w:r>
      <w:r w:rsidR="00790B3C" w:rsidRPr="00962508">
        <w:rPr>
          <w:rFonts w:ascii="Franklin Gothic Book" w:hAnsi="Franklin Gothic Book"/>
          <w:sz w:val="21"/>
        </w:rPr>
        <w:t xml:space="preserve"> </w:t>
      </w:r>
      <w:r w:rsidRPr="00962508">
        <w:rPr>
          <w:rFonts w:ascii="Franklin Gothic Book" w:hAnsi="Franklin Gothic Book"/>
          <w:sz w:val="21"/>
        </w:rPr>
        <w:t>more than 1,152 hectares</w:t>
      </w:r>
      <w:r w:rsidR="00FA6174">
        <w:rPr>
          <w:rFonts w:ascii="Franklin Gothic Book" w:hAnsi="Franklin Gothic Book"/>
          <w:sz w:val="21"/>
        </w:rPr>
        <w:t>. This means</w:t>
      </w:r>
      <w:r w:rsidRPr="00962508">
        <w:rPr>
          <w:rFonts w:ascii="Franklin Gothic Book" w:hAnsi="Franklin Gothic Book"/>
          <w:sz w:val="21"/>
        </w:rPr>
        <w:t xml:space="preserve"> over 66,000 people </w:t>
      </w:r>
      <w:r w:rsidR="00FA6174">
        <w:rPr>
          <w:rFonts w:ascii="Franklin Gothic Book" w:hAnsi="Franklin Gothic Book"/>
          <w:sz w:val="21"/>
        </w:rPr>
        <w:t xml:space="preserve">are now </w:t>
      </w:r>
      <w:r w:rsidR="00FA6174" w:rsidRPr="00977A1D">
        <w:rPr>
          <w:rFonts w:ascii="Franklin Gothic Book" w:hAnsi="Franklin Gothic Book"/>
          <w:sz w:val="21"/>
        </w:rPr>
        <w:t xml:space="preserve">able to safely access arable land that </w:t>
      </w:r>
      <w:r w:rsidR="00FA6174">
        <w:rPr>
          <w:rFonts w:ascii="Franklin Gothic Book" w:hAnsi="Franklin Gothic Book"/>
          <w:sz w:val="21"/>
        </w:rPr>
        <w:t>used to be</w:t>
      </w:r>
      <w:r w:rsidR="00FA6174" w:rsidRPr="00977A1D">
        <w:rPr>
          <w:rFonts w:ascii="Franklin Gothic Book" w:hAnsi="Franklin Gothic Book"/>
          <w:sz w:val="21"/>
        </w:rPr>
        <w:t xml:space="preserve"> contaminated.</w:t>
      </w:r>
    </w:p>
    <w:p w:rsidR="0008391F" w:rsidRDefault="0008391F" w:rsidP="00BA6957">
      <w:pPr>
        <w:spacing w:after="240" w:line="280" w:lineRule="exact"/>
        <w:rPr>
          <w:rFonts w:ascii="Franklin Gothic Book" w:hAnsi="Franklin Gothic Book"/>
          <w:sz w:val="21"/>
        </w:rPr>
      </w:pPr>
      <w:r w:rsidRPr="00962508">
        <w:rPr>
          <w:rFonts w:ascii="Franklin Gothic Book" w:hAnsi="Franklin Gothic Book"/>
          <w:sz w:val="21"/>
        </w:rPr>
        <w:t xml:space="preserve">Australia’s assistance in Laos is also partly delivered by the Australian Centre for International Agricultural Research (ACIAR). </w:t>
      </w:r>
      <w:r w:rsidR="00FA6174">
        <w:rPr>
          <w:rFonts w:ascii="Franklin Gothic Book" w:hAnsi="Franklin Gothic Book"/>
          <w:sz w:val="21"/>
        </w:rPr>
        <w:t xml:space="preserve">In 2014-15, </w:t>
      </w:r>
      <w:r w:rsidRPr="00962508">
        <w:rPr>
          <w:rFonts w:ascii="Franklin Gothic Book" w:hAnsi="Franklin Gothic Book"/>
          <w:sz w:val="21"/>
        </w:rPr>
        <w:t>ACIAR delivered a research program ($5.4</w:t>
      </w:r>
      <w:r w:rsidR="003B0D97">
        <w:rPr>
          <w:rFonts w:ascii="Franklin Gothic Book" w:hAnsi="Franklin Gothic Book"/>
          <w:sz w:val="21"/>
        </w:rPr>
        <w:t xml:space="preserve"> </w:t>
      </w:r>
      <w:r w:rsidRPr="00962508">
        <w:rPr>
          <w:rFonts w:ascii="Franklin Gothic Book" w:hAnsi="Franklin Gothic Book"/>
          <w:sz w:val="21"/>
        </w:rPr>
        <w:t>m</w:t>
      </w:r>
      <w:r w:rsidR="003B0D97">
        <w:rPr>
          <w:rFonts w:ascii="Franklin Gothic Book" w:hAnsi="Franklin Gothic Book"/>
          <w:sz w:val="21"/>
        </w:rPr>
        <w:t>illion</w:t>
      </w:r>
      <w:r w:rsidRPr="00962508">
        <w:rPr>
          <w:rFonts w:ascii="Franklin Gothic Book" w:hAnsi="Franklin Gothic Book"/>
          <w:sz w:val="21"/>
        </w:rPr>
        <w:t xml:space="preserve">) focused on improving agricultural production systems and market linkages as well as increasing smallholder income. </w:t>
      </w:r>
      <w:r w:rsidR="003A43AF">
        <w:rPr>
          <w:rFonts w:ascii="Franklin Gothic Book" w:hAnsi="Franklin Gothic Book"/>
          <w:sz w:val="21"/>
        </w:rPr>
        <w:t>This research has resulted in</w:t>
      </w:r>
      <w:r w:rsidR="000A5282">
        <w:rPr>
          <w:rFonts w:ascii="Franklin Gothic Book" w:hAnsi="Franklin Gothic Book"/>
          <w:sz w:val="21"/>
        </w:rPr>
        <w:t>:</w:t>
      </w:r>
      <w:r w:rsidRPr="00962508">
        <w:rPr>
          <w:rFonts w:ascii="Franklin Gothic Book" w:hAnsi="Franklin Gothic Book"/>
          <w:sz w:val="21"/>
        </w:rPr>
        <w:t xml:space="preserve"> new direct-seeding techniques </w:t>
      </w:r>
      <w:r w:rsidR="003A43AF">
        <w:rPr>
          <w:rFonts w:ascii="Franklin Gothic Book" w:hAnsi="Franklin Gothic Book"/>
          <w:sz w:val="21"/>
        </w:rPr>
        <w:t>to</w:t>
      </w:r>
      <w:r w:rsidRPr="00962508">
        <w:rPr>
          <w:rFonts w:ascii="Franklin Gothic Book" w:hAnsi="Franklin Gothic Book"/>
          <w:sz w:val="21"/>
        </w:rPr>
        <w:t xml:space="preserve"> help smallholders better manage climate risk and labour constraints</w:t>
      </w:r>
      <w:r w:rsidR="000A5282">
        <w:rPr>
          <w:rFonts w:ascii="Franklin Gothic Book" w:hAnsi="Franklin Gothic Book"/>
          <w:sz w:val="21"/>
        </w:rPr>
        <w:t>;</w:t>
      </w:r>
      <w:r w:rsidR="00576918">
        <w:rPr>
          <w:rFonts w:ascii="Franklin Gothic Book" w:hAnsi="Franklin Gothic Book"/>
          <w:sz w:val="21"/>
        </w:rPr>
        <w:t xml:space="preserve"> </w:t>
      </w:r>
      <w:r w:rsidRPr="00962508">
        <w:rPr>
          <w:rFonts w:ascii="Franklin Gothic Book" w:hAnsi="Franklin Gothic Book"/>
          <w:sz w:val="21"/>
        </w:rPr>
        <w:t>artificial dry</w:t>
      </w:r>
      <w:r w:rsidR="004638D9">
        <w:rPr>
          <w:rFonts w:ascii="Franklin Gothic Book" w:hAnsi="Franklin Gothic Book"/>
          <w:sz w:val="21"/>
        </w:rPr>
        <w:t>ers</w:t>
      </w:r>
      <w:r w:rsidR="003A43AF">
        <w:rPr>
          <w:rFonts w:ascii="Franklin Gothic Book" w:hAnsi="Franklin Gothic Book"/>
          <w:sz w:val="21"/>
        </w:rPr>
        <w:t xml:space="preserve"> to</w:t>
      </w:r>
      <w:r w:rsidRPr="00962508">
        <w:rPr>
          <w:rFonts w:ascii="Franklin Gothic Book" w:hAnsi="Franklin Gothic Book"/>
          <w:sz w:val="21"/>
        </w:rPr>
        <w:t xml:space="preserve"> support production of dry season crops</w:t>
      </w:r>
      <w:r w:rsidR="000A5282">
        <w:rPr>
          <w:rFonts w:ascii="Franklin Gothic Book" w:hAnsi="Franklin Gothic Book"/>
          <w:sz w:val="21"/>
        </w:rPr>
        <w:t>;</w:t>
      </w:r>
      <w:r w:rsidRPr="00962508">
        <w:rPr>
          <w:rFonts w:ascii="Franklin Gothic Book" w:hAnsi="Franklin Gothic Book"/>
          <w:sz w:val="21"/>
        </w:rPr>
        <w:t xml:space="preserve"> fish-friendly irrigation structures </w:t>
      </w:r>
      <w:r w:rsidR="003A43AF">
        <w:rPr>
          <w:rFonts w:ascii="Franklin Gothic Book" w:hAnsi="Franklin Gothic Book"/>
          <w:sz w:val="21"/>
        </w:rPr>
        <w:t xml:space="preserve">to </w:t>
      </w:r>
      <w:r w:rsidRPr="00962508">
        <w:rPr>
          <w:rFonts w:ascii="Franklin Gothic Book" w:hAnsi="Franklin Gothic Book"/>
          <w:sz w:val="21"/>
        </w:rPr>
        <w:t>help maintain fish as a protein source</w:t>
      </w:r>
      <w:r w:rsidR="000A5282">
        <w:rPr>
          <w:rFonts w:ascii="Franklin Gothic Book" w:hAnsi="Franklin Gothic Book"/>
          <w:sz w:val="21"/>
        </w:rPr>
        <w:t>;</w:t>
      </w:r>
      <w:r w:rsidRPr="00962508">
        <w:rPr>
          <w:rFonts w:ascii="Franklin Gothic Book" w:hAnsi="Franklin Gothic Book"/>
          <w:sz w:val="21"/>
        </w:rPr>
        <w:t xml:space="preserve"> and </w:t>
      </w:r>
      <w:r w:rsidR="00304382">
        <w:rPr>
          <w:rFonts w:ascii="Franklin Gothic Book" w:hAnsi="Franklin Gothic Book"/>
          <w:sz w:val="21"/>
        </w:rPr>
        <w:t xml:space="preserve">an additional strategy </w:t>
      </w:r>
      <w:r w:rsidR="003A43AF">
        <w:rPr>
          <w:rFonts w:ascii="Franklin Gothic Book" w:hAnsi="Franklin Gothic Book"/>
          <w:sz w:val="21"/>
        </w:rPr>
        <w:t xml:space="preserve">for teak farmers </w:t>
      </w:r>
      <w:r w:rsidR="00304382">
        <w:rPr>
          <w:rFonts w:ascii="Franklin Gothic Book" w:hAnsi="Franklin Gothic Book"/>
          <w:sz w:val="21"/>
        </w:rPr>
        <w:t xml:space="preserve">to </w:t>
      </w:r>
      <w:r w:rsidRPr="00304382">
        <w:rPr>
          <w:rFonts w:ascii="Franklin Gothic Book" w:hAnsi="Franklin Gothic Book"/>
          <w:sz w:val="21"/>
        </w:rPr>
        <w:t>increase their income</w:t>
      </w:r>
      <w:r w:rsidR="00304382">
        <w:rPr>
          <w:rFonts w:ascii="Franklin Gothic Book" w:hAnsi="Franklin Gothic Book"/>
          <w:sz w:val="21"/>
        </w:rPr>
        <w:t xml:space="preserve"> by </w:t>
      </w:r>
      <w:r w:rsidR="00304382" w:rsidRPr="00304382">
        <w:rPr>
          <w:rFonts w:ascii="Franklin Gothic Book" w:hAnsi="Franklin Gothic Book"/>
          <w:sz w:val="21"/>
        </w:rPr>
        <w:t>grow</w:t>
      </w:r>
      <w:r w:rsidR="00304382">
        <w:rPr>
          <w:rFonts w:ascii="Franklin Gothic Book" w:hAnsi="Franklin Gothic Book"/>
          <w:sz w:val="21"/>
        </w:rPr>
        <w:t>ing</w:t>
      </w:r>
      <w:r w:rsidR="00304382" w:rsidRPr="00304382">
        <w:rPr>
          <w:rFonts w:ascii="Franklin Gothic Book" w:hAnsi="Franklin Gothic Book"/>
          <w:sz w:val="21"/>
        </w:rPr>
        <w:t xml:space="preserve"> crops in the extra space between trees</w:t>
      </w:r>
      <w:r w:rsidRPr="00304382">
        <w:rPr>
          <w:rFonts w:ascii="Franklin Gothic Book" w:hAnsi="Franklin Gothic Book"/>
          <w:sz w:val="21"/>
        </w:rPr>
        <w:t>.</w:t>
      </w:r>
    </w:p>
    <w:p w:rsidR="004638D9" w:rsidRDefault="004638D9" w:rsidP="00BA6957">
      <w:pPr>
        <w:spacing w:after="240" w:line="280" w:lineRule="exact"/>
        <w:rPr>
          <w:rFonts w:ascii="Franklin Gothic Book" w:hAnsi="Franklin Gothic Book"/>
          <w:sz w:val="21"/>
        </w:rPr>
      </w:pPr>
      <w:r>
        <w:rPr>
          <w:rFonts w:ascii="Franklin Gothic Book" w:hAnsi="Franklin Gothic Book"/>
          <w:sz w:val="21"/>
        </w:rPr>
        <w:t xml:space="preserve">Despite </w:t>
      </w:r>
      <w:r w:rsidR="00C4328D">
        <w:rPr>
          <w:rFonts w:ascii="Franklin Gothic Book" w:hAnsi="Franklin Gothic Book"/>
          <w:sz w:val="21"/>
        </w:rPr>
        <w:t xml:space="preserve">having </w:t>
      </w:r>
      <w:r>
        <w:rPr>
          <w:rFonts w:ascii="Franklin Gothic Book" w:hAnsi="Franklin Gothic Book"/>
          <w:sz w:val="21"/>
        </w:rPr>
        <w:t xml:space="preserve">sought to minimise the risk of </w:t>
      </w:r>
      <w:r w:rsidR="00C4328D">
        <w:rPr>
          <w:rFonts w:ascii="Franklin Gothic Book" w:hAnsi="Franklin Gothic Book"/>
          <w:sz w:val="21"/>
        </w:rPr>
        <w:t xml:space="preserve">anticipated delays in obtaining Lao </w:t>
      </w:r>
      <w:r w:rsidR="005D196B">
        <w:rPr>
          <w:rFonts w:ascii="Franklin Gothic Book" w:hAnsi="Franklin Gothic Book"/>
          <w:sz w:val="21"/>
        </w:rPr>
        <w:t>Government</w:t>
      </w:r>
      <w:r w:rsidR="00C4328D">
        <w:rPr>
          <w:rFonts w:ascii="Franklin Gothic Book" w:hAnsi="Franklin Gothic Book"/>
          <w:sz w:val="21"/>
        </w:rPr>
        <w:t xml:space="preserve"> approval</w:t>
      </w:r>
      <w:r w:rsidR="00CA70E2">
        <w:rPr>
          <w:rFonts w:ascii="Franklin Gothic Book" w:hAnsi="Franklin Gothic Book"/>
          <w:sz w:val="21"/>
        </w:rPr>
        <w:t xml:space="preserve"> </w:t>
      </w:r>
      <w:r w:rsidR="003A43AF">
        <w:rPr>
          <w:rFonts w:ascii="Franklin Gothic Book" w:hAnsi="Franklin Gothic Book"/>
          <w:sz w:val="21"/>
        </w:rPr>
        <w:t>for those</w:t>
      </w:r>
      <w:r w:rsidR="00C4328D">
        <w:rPr>
          <w:rFonts w:ascii="Franklin Gothic Book" w:hAnsi="Franklin Gothic Book"/>
          <w:sz w:val="21"/>
        </w:rPr>
        <w:t xml:space="preserve"> elements of the</w:t>
      </w:r>
      <w:r>
        <w:rPr>
          <w:rFonts w:ascii="Franklin Gothic Book" w:hAnsi="Franklin Gothic Book"/>
          <w:sz w:val="21"/>
        </w:rPr>
        <w:t xml:space="preserve"> LARLP involving cooperation with international non-government organisations</w:t>
      </w:r>
      <w:r w:rsidR="00C4328D">
        <w:rPr>
          <w:rFonts w:ascii="Franklin Gothic Book" w:hAnsi="Franklin Gothic Book"/>
          <w:sz w:val="21"/>
        </w:rPr>
        <w:t>,</w:t>
      </w:r>
      <w:r>
        <w:rPr>
          <w:rFonts w:ascii="Franklin Gothic Book" w:hAnsi="Franklin Gothic Book"/>
          <w:sz w:val="21"/>
        </w:rPr>
        <w:t xml:space="preserve"> these were nevertheless postponed by a year</w:t>
      </w:r>
      <w:r w:rsidR="00C4328D">
        <w:rPr>
          <w:rFonts w:ascii="Franklin Gothic Book" w:hAnsi="Franklin Gothic Book"/>
          <w:sz w:val="21"/>
        </w:rPr>
        <w:t xml:space="preserve">. We had also not fully anticipated the </w:t>
      </w:r>
      <w:r w:rsidR="00C4328D">
        <w:rPr>
          <w:rFonts w:ascii="Franklin Gothic Book" w:hAnsi="Franklin Gothic Book"/>
          <w:sz w:val="21"/>
        </w:rPr>
        <w:lastRenderedPageBreak/>
        <w:t xml:space="preserve">timetable risks associated with supporting a new policy approach for the Lao </w:t>
      </w:r>
      <w:r w:rsidR="005D196B">
        <w:rPr>
          <w:rFonts w:ascii="Franklin Gothic Book" w:hAnsi="Franklin Gothic Book"/>
          <w:sz w:val="21"/>
        </w:rPr>
        <w:t>Government</w:t>
      </w:r>
      <w:r w:rsidR="00C4328D">
        <w:rPr>
          <w:rFonts w:ascii="Franklin Gothic Book" w:hAnsi="Franklin Gothic Book"/>
          <w:sz w:val="21"/>
        </w:rPr>
        <w:t xml:space="preserve"> – </w:t>
      </w:r>
      <w:r w:rsidR="00C4328D" w:rsidRPr="00304382">
        <w:rPr>
          <w:rFonts w:ascii="Franklin Gothic Book" w:hAnsi="Franklin Gothic Book"/>
          <w:sz w:val="21"/>
        </w:rPr>
        <w:t xml:space="preserve">in this case trialling </w:t>
      </w:r>
      <w:r w:rsidR="00304382">
        <w:rPr>
          <w:rFonts w:ascii="Franklin Gothic Book" w:hAnsi="Franklin Gothic Book"/>
          <w:sz w:val="21"/>
        </w:rPr>
        <w:t>government-sponsored</w:t>
      </w:r>
      <w:r w:rsidR="00C4328D" w:rsidRPr="00304382">
        <w:rPr>
          <w:rFonts w:ascii="Franklin Gothic Book" w:hAnsi="Franklin Gothic Book"/>
          <w:sz w:val="21"/>
        </w:rPr>
        <w:t xml:space="preserve"> </w:t>
      </w:r>
      <w:r w:rsidR="00304382">
        <w:rPr>
          <w:rFonts w:ascii="Franklin Gothic Book" w:hAnsi="Franklin Gothic Book"/>
          <w:sz w:val="21"/>
        </w:rPr>
        <w:t xml:space="preserve">rather than community-based approaches to </w:t>
      </w:r>
      <w:r w:rsidR="00C4328D" w:rsidRPr="00304382">
        <w:rPr>
          <w:rFonts w:ascii="Franklin Gothic Book" w:hAnsi="Franklin Gothic Book"/>
          <w:sz w:val="21"/>
        </w:rPr>
        <w:t>social protection</w:t>
      </w:r>
      <w:r w:rsidR="00C4328D">
        <w:rPr>
          <w:rFonts w:ascii="Franklin Gothic Book" w:hAnsi="Franklin Gothic Book"/>
          <w:sz w:val="21"/>
        </w:rPr>
        <w:t xml:space="preserve">. </w:t>
      </w:r>
      <w:r w:rsidR="0036467C">
        <w:rPr>
          <w:rFonts w:ascii="Franklin Gothic Book" w:hAnsi="Franklin Gothic Book"/>
          <w:sz w:val="21"/>
        </w:rPr>
        <w:t>Although Australia will not fund a successor program to LARLP w</w:t>
      </w:r>
      <w:r w:rsidR="00C4328D">
        <w:rPr>
          <w:rFonts w:ascii="Franklin Gothic Book" w:hAnsi="Franklin Gothic Book"/>
          <w:sz w:val="21"/>
        </w:rPr>
        <w:t xml:space="preserve">e will ensure these lessons inform our on-going </w:t>
      </w:r>
      <w:r w:rsidR="000A5282">
        <w:rPr>
          <w:rFonts w:ascii="Franklin Gothic Book" w:hAnsi="Franklin Gothic Book"/>
          <w:sz w:val="21"/>
        </w:rPr>
        <w:t xml:space="preserve">aid </w:t>
      </w:r>
      <w:r w:rsidR="00C4328D">
        <w:rPr>
          <w:rFonts w:ascii="Franklin Gothic Book" w:hAnsi="Franklin Gothic Book"/>
          <w:sz w:val="21"/>
        </w:rPr>
        <w:t>programming</w:t>
      </w:r>
      <w:r w:rsidR="000A5282">
        <w:rPr>
          <w:rFonts w:ascii="Franklin Gothic Book" w:hAnsi="Franklin Gothic Book"/>
          <w:sz w:val="21"/>
        </w:rPr>
        <w:t>.</w:t>
      </w:r>
    </w:p>
    <w:tbl>
      <w:tblPr>
        <w:tblStyle w:val="APPR1"/>
        <w:tblW w:w="5000" w:type="pct"/>
        <w:tblLook w:val="04A0" w:firstRow="1" w:lastRow="0" w:firstColumn="1" w:lastColumn="0" w:noHBand="0" w:noVBand="1"/>
      </w:tblPr>
      <w:tblGrid>
        <w:gridCol w:w="7956"/>
        <w:gridCol w:w="1343"/>
      </w:tblGrid>
      <w:tr w:rsidR="0008391F" w:rsidRPr="00962508" w:rsidTr="00FD45E4">
        <w:trPr>
          <w:cnfStyle w:val="100000000000" w:firstRow="1" w:lastRow="0" w:firstColumn="0" w:lastColumn="0" w:oddVBand="0" w:evenVBand="0" w:oddHBand="0" w:evenHBand="0" w:firstRowFirstColumn="0" w:firstRowLastColumn="0" w:lastRowFirstColumn="0" w:lastRowLastColumn="0"/>
        </w:trPr>
        <w:tc>
          <w:tcPr>
            <w:tcW w:w="7466" w:type="dxa"/>
            <w:tcBorders>
              <w:left w:val="nil"/>
              <w:right w:val="nil"/>
            </w:tcBorders>
            <w:hideMark/>
          </w:tcPr>
          <w:p w:rsidR="0008391F" w:rsidRPr="00962508" w:rsidRDefault="00931CF6" w:rsidP="00BA6957">
            <w:pPr>
              <w:keepLines/>
              <w:spacing w:before="40" w:after="40" w:line="200" w:lineRule="atLeast"/>
              <w:rPr>
                <w:rFonts w:ascii="Franklin Gothic Book" w:hAnsi="Franklin Gothic Book"/>
                <w:iCs/>
                <w:sz w:val="21"/>
                <w:szCs w:val="21"/>
              </w:rPr>
            </w:pPr>
            <w:r>
              <w:rPr>
                <w:rFonts w:ascii="Franklin Gothic Book" w:hAnsi="Franklin Gothic Book"/>
                <w:sz w:val="21"/>
              </w:rPr>
              <w:br w:type="page"/>
            </w:r>
            <w:r w:rsidR="0008391F" w:rsidRPr="00962508">
              <w:rPr>
                <w:rFonts w:ascii="Franklin Gothic Book" w:hAnsi="Franklin Gothic Book"/>
                <w:iCs/>
                <w:sz w:val="21"/>
                <w:szCs w:val="21"/>
              </w:rPr>
              <w:t>Objective 4: Improve physical access to markets and basic services</w:t>
            </w:r>
          </w:p>
        </w:tc>
        <w:tc>
          <w:tcPr>
            <w:tcW w:w="1227" w:type="dxa"/>
            <w:tcBorders>
              <w:left w:val="nil"/>
              <w:right w:val="nil"/>
            </w:tcBorders>
            <w:shd w:val="clear" w:color="auto" w:fill="92D050"/>
            <w:noWrap/>
            <w:hideMark/>
          </w:tcPr>
          <w:p w:rsidR="0008391F" w:rsidRPr="00962508" w:rsidRDefault="0008391F" w:rsidP="00BA6957">
            <w:pPr>
              <w:keepLines/>
              <w:spacing w:before="40" w:after="40" w:line="200" w:lineRule="atLeast"/>
              <w:rPr>
                <w:rFonts w:ascii="Franklin Gothic Book" w:hAnsi="Franklin Gothic Book"/>
                <w:iCs/>
                <w:sz w:val="17"/>
                <w:szCs w:val="17"/>
              </w:rPr>
            </w:pPr>
            <w:r w:rsidRPr="00962508">
              <w:rPr>
                <w:rFonts w:ascii="Franklin Gothic Book" w:hAnsi="Franklin Gothic Book"/>
                <w:iCs/>
                <w:sz w:val="17"/>
                <w:szCs w:val="17"/>
              </w:rPr>
              <w:t>Green</w:t>
            </w:r>
          </w:p>
        </w:tc>
      </w:tr>
    </w:tbl>
    <w:p w:rsidR="00790B3C" w:rsidRDefault="00790B3C" w:rsidP="00BA6957">
      <w:pPr>
        <w:spacing w:after="160" w:line="280" w:lineRule="exact"/>
        <w:rPr>
          <w:rFonts w:ascii="Franklin Gothic Book" w:hAnsi="Franklin Gothic Book"/>
          <w:color w:val="72AF2F"/>
          <w:sz w:val="14"/>
          <w:szCs w:val="14"/>
        </w:rPr>
      </w:pPr>
    </w:p>
    <w:p w:rsidR="00804134" w:rsidRPr="00256476" w:rsidRDefault="0008391F" w:rsidP="00BA6957">
      <w:pPr>
        <w:spacing w:after="160" w:line="280" w:lineRule="exact"/>
        <w:rPr>
          <w:rFonts w:ascii="Franklin Gothic Book" w:hAnsi="Franklin Gothic Book"/>
          <w:b/>
          <w:sz w:val="21"/>
        </w:rPr>
      </w:pPr>
      <w:r w:rsidRPr="00256476">
        <w:rPr>
          <w:rFonts w:ascii="Franklin Gothic Book" w:hAnsi="Franklin Gothic Book"/>
          <w:b/>
          <w:sz w:val="21"/>
        </w:rPr>
        <w:t xml:space="preserve">Good progress has been made against this objective </w:t>
      </w:r>
      <w:r w:rsidR="00FA6174">
        <w:rPr>
          <w:rFonts w:ascii="Franklin Gothic Book" w:hAnsi="Franklin Gothic Book"/>
          <w:b/>
          <w:sz w:val="21"/>
        </w:rPr>
        <w:t xml:space="preserve">with two of the four </w:t>
      </w:r>
      <w:r w:rsidR="000C1315">
        <w:rPr>
          <w:rFonts w:ascii="Franklin Gothic Book" w:hAnsi="Franklin Gothic Book"/>
          <w:b/>
          <w:sz w:val="21"/>
        </w:rPr>
        <w:t xml:space="preserve">performance </w:t>
      </w:r>
      <w:r w:rsidR="00FA6174">
        <w:rPr>
          <w:rFonts w:ascii="Franklin Gothic Book" w:hAnsi="Franklin Gothic Book"/>
          <w:b/>
          <w:sz w:val="21"/>
        </w:rPr>
        <w:t xml:space="preserve">milestones </w:t>
      </w:r>
      <w:r w:rsidR="000C1315">
        <w:rPr>
          <w:rFonts w:ascii="Franklin Gothic Book" w:hAnsi="Franklin Gothic Book"/>
          <w:b/>
          <w:sz w:val="21"/>
        </w:rPr>
        <w:t xml:space="preserve">set for 2014-15 </w:t>
      </w:r>
      <w:r w:rsidR="00FA6174">
        <w:rPr>
          <w:rFonts w:ascii="Franklin Gothic Book" w:hAnsi="Franklin Gothic Book"/>
          <w:b/>
          <w:sz w:val="21"/>
        </w:rPr>
        <w:t>met and two partly achieved.</w:t>
      </w:r>
    </w:p>
    <w:p w:rsidR="000C1315" w:rsidRDefault="000C1315" w:rsidP="00BA6957">
      <w:pPr>
        <w:spacing w:after="120" w:line="280" w:lineRule="exact"/>
        <w:rPr>
          <w:rFonts w:ascii="Franklin Gothic Book" w:hAnsi="Franklin Gothic Book"/>
          <w:sz w:val="21"/>
        </w:rPr>
      </w:pPr>
      <w:r>
        <w:rPr>
          <w:rFonts w:ascii="Franklin Gothic Book" w:hAnsi="Franklin Gothic Book"/>
          <w:sz w:val="21"/>
        </w:rPr>
        <w:t>The main investment</w:t>
      </w:r>
      <w:r w:rsidR="00E11A1A">
        <w:rPr>
          <w:rFonts w:ascii="Franklin Gothic Book" w:hAnsi="Franklin Gothic Book"/>
          <w:sz w:val="21"/>
        </w:rPr>
        <w:t>s</w:t>
      </w:r>
      <w:r>
        <w:rPr>
          <w:rFonts w:ascii="Franklin Gothic Book" w:hAnsi="Franklin Gothic Book"/>
          <w:sz w:val="21"/>
        </w:rPr>
        <w:t xml:space="preserve"> contributing to this objective </w:t>
      </w:r>
      <w:r w:rsidR="00E11A1A">
        <w:rPr>
          <w:rFonts w:ascii="Franklin Gothic Book" w:hAnsi="Franklin Gothic Book"/>
          <w:sz w:val="21"/>
        </w:rPr>
        <w:t xml:space="preserve">in 2014-15 were </w:t>
      </w:r>
      <w:r>
        <w:rPr>
          <w:rFonts w:ascii="Franklin Gothic Book" w:hAnsi="Franklin Gothic Book"/>
          <w:sz w:val="21"/>
        </w:rPr>
        <w:t xml:space="preserve">the </w:t>
      </w:r>
      <w:r w:rsidRPr="000C1315">
        <w:rPr>
          <w:rFonts w:ascii="Franklin Gothic Book" w:hAnsi="Franklin Gothic Book"/>
          <w:sz w:val="21"/>
        </w:rPr>
        <w:t xml:space="preserve">Poverty Reduction Fund II </w:t>
      </w:r>
      <w:r>
        <w:rPr>
          <w:rFonts w:ascii="Franklin Gothic Book" w:hAnsi="Franklin Gothic Book"/>
          <w:sz w:val="21"/>
        </w:rPr>
        <w:t>(</w:t>
      </w:r>
      <w:r w:rsidR="000A5282">
        <w:rPr>
          <w:rFonts w:ascii="Franklin Gothic Book" w:hAnsi="Franklin Gothic Book"/>
          <w:sz w:val="21"/>
        </w:rPr>
        <w:t xml:space="preserve">PRF II: </w:t>
      </w:r>
      <w:r w:rsidRPr="000C1315">
        <w:rPr>
          <w:rFonts w:ascii="Franklin Gothic Book" w:hAnsi="Franklin Gothic Book"/>
          <w:sz w:val="21"/>
        </w:rPr>
        <w:t>$21 million, 2011-2017</w:t>
      </w:r>
      <w:r>
        <w:rPr>
          <w:rFonts w:ascii="Franklin Gothic Book" w:hAnsi="Franklin Gothic Book"/>
          <w:sz w:val="21"/>
        </w:rPr>
        <w:t>)</w:t>
      </w:r>
      <w:r w:rsidRPr="000C1315">
        <w:rPr>
          <w:rFonts w:ascii="Franklin Gothic Book" w:hAnsi="Franklin Gothic Book"/>
          <w:sz w:val="21"/>
        </w:rPr>
        <w:t xml:space="preserve"> and the Northern Transport Network Improvement Project </w:t>
      </w:r>
      <w:r>
        <w:rPr>
          <w:rFonts w:ascii="Franklin Gothic Book" w:hAnsi="Franklin Gothic Book"/>
          <w:sz w:val="21"/>
        </w:rPr>
        <w:t>(</w:t>
      </w:r>
      <w:r w:rsidR="000A5282">
        <w:rPr>
          <w:rFonts w:ascii="Franklin Gothic Book" w:hAnsi="Franklin Gothic Book"/>
          <w:sz w:val="21"/>
        </w:rPr>
        <w:t xml:space="preserve">NTNIP: </w:t>
      </w:r>
      <w:r w:rsidRPr="000C1315">
        <w:rPr>
          <w:rFonts w:ascii="Franklin Gothic Book" w:hAnsi="Franklin Gothic Book"/>
          <w:sz w:val="21"/>
        </w:rPr>
        <w:t>$18.8</w:t>
      </w:r>
      <w:r>
        <w:rPr>
          <w:rFonts w:ascii="Franklin Gothic Book" w:hAnsi="Franklin Gothic Book"/>
          <w:sz w:val="21"/>
        </w:rPr>
        <w:t xml:space="preserve"> million, </w:t>
      </w:r>
      <w:r w:rsidRPr="000C1315">
        <w:rPr>
          <w:rFonts w:ascii="Franklin Gothic Book" w:hAnsi="Franklin Gothic Book"/>
          <w:sz w:val="21"/>
        </w:rPr>
        <w:t>2007</w:t>
      </w:r>
      <w:r>
        <w:rPr>
          <w:rFonts w:ascii="Franklin Gothic Book" w:hAnsi="Franklin Gothic Book"/>
          <w:sz w:val="21"/>
        </w:rPr>
        <w:t>-</w:t>
      </w:r>
      <w:r w:rsidRPr="000C1315">
        <w:rPr>
          <w:rFonts w:ascii="Franklin Gothic Book" w:hAnsi="Franklin Gothic Book"/>
          <w:sz w:val="21"/>
        </w:rPr>
        <w:t>2014</w:t>
      </w:r>
      <w:r>
        <w:rPr>
          <w:rFonts w:ascii="Franklin Gothic Book" w:hAnsi="Franklin Gothic Book"/>
          <w:sz w:val="21"/>
        </w:rPr>
        <w:t xml:space="preserve">). </w:t>
      </w:r>
      <w:r w:rsidR="000A5282">
        <w:rPr>
          <w:rFonts w:ascii="Franklin Gothic Book" w:hAnsi="Franklin Gothic Book"/>
          <w:sz w:val="21"/>
        </w:rPr>
        <w:t>R</w:t>
      </w:r>
      <w:r w:rsidR="000A5282" w:rsidRPr="00F75F76">
        <w:rPr>
          <w:rFonts w:ascii="Franklin Gothic Book" w:hAnsi="Franklin Gothic Book"/>
          <w:sz w:val="21"/>
        </w:rPr>
        <w:t>esearch</w:t>
      </w:r>
      <w:r w:rsidR="000A5282">
        <w:rPr>
          <w:rStyle w:val="EndnoteReference"/>
        </w:rPr>
        <w:endnoteReference w:id="15"/>
      </w:r>
      <w:r w:rsidR="000A5282" w:rsidRPr="00F75F76">
        <w:rPr>
          <w:rFonts w:ascii="Franklin Gothic Book" w:hAnsi="Franklin Gothic Book"/>
          <w:sz w:val="21"/>
        </w:rPr>
        <w:t xml:space="preserve"> </w:t>
      </w:r>
      <w:r w:rsidR="000A5282">
        <w:rPr>
          <w:rFonts w:ascii="Franklin Gothic Book" w:hAnsi="Franklin Gothic Book"/>
          <w:sz w:val="21"/>
        </w:rPr>
        <w:t>shows that</w:t>
      </w:r>
      <w:r w:rsidR="000A5282" w:rsidRPr="00F75F76">
        <w:rPr>
          <w:rFonts w:ascii="Franklin Gothic Book" w:hAnsi="Franklin Gothic Book"/>
          <w:sz w:val="21"/>
        </w:rPr>
        <w:t xml:space="preserve"> </w:t>
      </w:r>
      <w:r w:rsidR="000A5282">
        <w:rPr>
          <w:rFonts w:ascii="Franklin Gothic Book" w:hAnsi="Franklin Gothic Book"/>
          <w:sz w:val="21"/>
        </w:rPr>
        <w:t>road access has</w:t>
      </w:r>
      <w:r w:rsidR="000A5282" w:rsidRPr="00F75F76">
        <w:rPr>
          <w:rFonts w:ascii="Franklin Gothic Book" w:hAnsi="Franklin Gothic Book"/>
          <w:sz w:val="21"/>
        </w:rPr>
        <w:t xml:space="preserve"> a significant impact on economic growth </w:t>
      </w:r>
      <w:r w:rsidR="000A5282">
        <w:rPr>
          <w:rFonts w:ascii="Franklin Gothic Book" w:hAnsi="Franklin Gothic Book"/>
          <w:sz w:val="21"/>
        </w:rPr>
        <w:t xml:space="preserve">and </w:t>
      </w:r>
      <w:r w:rsidR="000A5282" w:rsidRPr="00F75F76">
        <w:rPr>
          <w:rFonts w:ascii="Franklin Gothic Book" w:hAnsi="Franklin Gothic Book"/>
          <w:sz w:val="21"/>
        </w:rPr>
        <w:t xml:space="preserve">poverty reduction </w:t>
      </w:r>
      <w:r w:rsidR="000A5282">
        <w:rPr>
          <w:rFonts w:ascii="Franklin Gothic Book" w:hAnsi="Franklin Gothic Book"/>
          <w:sz w:val="21"/>
        </w:rPr>
        <w:t>in Laos and a survey conducted in 2013</w:t>
      </w:r>
      <w:r w:rsidR="000A5282" w:rsidRPr="00F75F76">
        <w:rPr>
          <w:rFonts w:ascii="Franklin Gothic Book" w:hAnsi="Franklin Gothic Book"/>
          <w:sz w:val="21"/>
        </w:rPr>
        <w:t xml:space="preserve"> </w:t>
      </w:r>
      <w:r w:rsidR="000A5282">
        <w:rPr>
          <w:rFonts w:ascii="Franklin Gothic Book" w:hAnsi="Franklin Gothic Book"/>
          <w:sz w:val="21"/>
        </w:rPr>
        <w:t>identified</w:t>
      </w:r>
      <w:r w:rsidR="000A5282" w:rsidRPr="00F75F76" w:rsidDel="00BE07AD">
        <w:rPr>
          <w:rFonts w:ascii="Franklin Gothic Book" w:hAnsi="Franklin Gothic Book"/>
          <w:sz w:val="21"/>
        </w:rPr>
        <w:t xml:space="preserve"> </w:t>
      </w:r>
      <w:r w:rsidR="000A5282" w:rsidRPr="00F75F76">
        <w:rPr>
          <w:rFonts w:ascii="Franklin Gothic Book" w:hAnsi="Franklin Gothic Book"/>
          <w:sz w:val="21"/>
        </w:rPr>
        <w:t>infrastructure constraint</w:t>
      </w:r>
      <w:r w:rsidR="000A5282">
        <w:rPr>
          <w:rFonts w:ascii="Franklin Gothic Book" w:hAnsi="Franklin Gothic Book"/>
          <w:sz w:val="21"/>
        </w:rPr>
        <w:t>s</w:t>
      </w:r>
      <w:r w:rsidR="000A5282" w:rsidRPr="00F75F76">
        <w:rPr>
          <w:rFonts w:ascii="Franklin Gothic Book" w:hAnsi="Franklin Gothic Book"/>
          <w:sz w:val="21"/>
        </w:rPr>
        <w:t xml:space="preserve"> </w:t>
      </w:r>
      <w:r w:rsidR="000A5282">
        <w:rPr>
          <w:rFonts w:ascii="Franklin Gothic Book" w:hAnsi="Franklin Gothic Book"/>
          <w:sz w:val="21"/>
        </w:rPr>
        <w:t>as</w:t>
      </w:r>
      <w:r w:rsidR="000A5282" w:rsidRPr="00F75F76">
        <w:rPr>
          <w:rFonts w:ascii="Franklin Gothic Book" w:hAnsi="Franklin Gothic Book"/>
          <w:sz w:val="21"/>
        </w:rPr>
        <w:t xml:space="preserve"> a key factor shaping poor market access and </w:t>
      </w:r>
      <w:r w:rsidR="000A5282">
        <w:rPr>
          <w:rFonts w:ascii="Franklin Gothic Book" w:hAnsi="Franklin Gothic Book"/>
          <w:sz w:val="21"/>
        </w:rPr>
        <w:t xml:space="preserve">the low </w:t>
      </w:r>
      <w:r w:rsidR="000A5282" w:rsidRPr="00F75F76">
        <w:rPr>
          <w:rFonts w:ascii="Franklin Gothic Book" w:hAnsi="Franklin Gothic Book"/>
          <w:sz w:val="21"/>
        </w:rPr>
        <w:t>use of education and health services.</w:t>
      </w:r>
      <w:r w:rsidR="000A5282">
        <w:rPr>
          <w:rFonts w:ascii="Franklin Gothic Book" w:hAnsi="Franklin Gothic Book"/>
          <w:sz w:val="21"/>
        </w:rPr>
        <w:t xml:space="preserve"> </w:t>
      </w:r>
      <w:r w:rsidRPr="000C1315">
        <w:rPr>
          <w:rFonts w:ascii="Franklin Gothic Book" w:hAnsi="Franklin Gothic Book"/>
          <w:sz w:val="21"/>
        </w:rPr>
        <w:t xml:space="preserve">The </w:t>
      </w:r>
      <w:r w:rsidR="000A5282">
        <w:rPr>
          <w:rFonts w:ascii="Franklin Gothic Book" w:hAnsi="Franklin Gothic Book"/>
          <w:sz w:val="21"/>
        </w:rPr>
        <w:t>PRF II</w:t>
      </w:r>
      <w:r w:rsidR="009649EA">
        <w:rPr>
          <w:rFonts w:ascii="Franklin Gothic Book" w:hAnsi="Franklin Gothic Book"/>
          <w:sz w:val="21"/>
        </w:rPr>
        <w:t xml:space="preserve"> is </w:t>
      </w:r>
      <w:r w:rsidRPr="000C1315">
        <w:rPr>
          <w:rFonts w:ascii="Franklin Gothic Book" w:hAnsi="Franklin Gothic Book"/>
          <w:sz w:val="21"/>
        </w:rPr>
        <w:t xml:space="preserve">a community-based </w:t>
      </w:r>
      <w:r>
        <w:rPr>
          <w:rFonts w:ascii="Franklin Gothic Book" w:hAnsi="Franklin Gothic Book"/>
          <w:sz w:val="21"/>
        </w:rPr>
        <w:t xml:space="preserve">infrastructure </w:t>
      </w:r>
      <w:r w:rsidRPr="000C1315">
        <w:rPr>
          <w:rFonts w:ascii="Franklin Gothic Book" w:hAnsi="Franklin Gothic Book"/>
          <w:sz w:val="21"/>
        </w:rPr>
        <w:t>construction initiative</w:t>
      </w:r>
      <w:r w:rsidR="009649EA">
        <w:rPr>
          <w:rFonts w:ascii="Franklin Gothic Book" w:hAnsi="Franklin Gothic Book"/>
          <w:sz w:val="21"/>
        </w:rPr>
        <w:t xml:space="preserve"> </w:t>
      </w:r>
      <w:r w:rsidRPr="000C1315">
        <w:rPr>
          <w:rFonts w:ascii="Franklin Gothic Book" w:hAnsi="Franklin Gothic Book"/>
          <w:sz w:val="21"/>
        </w:rPr>
        <w:t>that is improving poor communities’ access to markets and essential services</w:t>
      </w:r>
      <w:r w:rsidR="000A5282">
        <w:rPr>
          <w:rFonts w:ascii="Franklin Gothic Book" w:hAnsi="Franklin Gothic Book"/>
          <w:sz w:val="21"/>
        </w:rPr>
        <w:t xml:space="preserve"> by providing</w:t>
      </w:r>
      <w:r w:rsidRPr="000C1315">
        <w:rPr>
          <w:rFonts w:ascii="Franklin Gothic Book" w:hAnsi="Franklin Gothic Book"/>
          <w:sz w:val="21"/>
        </w:rPr>
        <w:t xml:space="preserve"> rural road access, water supply and sanitation, irrigation and dams and community markets.</w:t>
      </w:r>
      <w:r>
        <w:rPr>
          <w:rFonts w:ascii="Franklin Gothic Book" w:hAnsi="Franklin Gothic Book"/>
          <w:sz w:val="21"/>
        </w:rPr>
        <w:t xml:space="preserve"> </w:t>
      </w:r>
      <w:r w:rsidR="000A5282">
        <w:rPr>
          <w:rFonts w:ascii="Franklin Gothic Book" w:hAnsi="Franklin Gothic Book"/>
          <w:sz w:val="21"/>
        </w:rPr>
        <w:t>NTNIP</w:t>
      </w:r>
      <w:r w:rsidR="00706B82" w:rsidRPr="00706B82">
        <w:rPr>
          <w:rFonts w:ascii="Franklin Gothic Book" w:hAnsi="Franklin Gothic Book"/>
          <w:sz w:val="21"/>
        </w:rPr>
        <w:t xml:space="preserve"> </w:t>
      </w:r>
      <w:r w:rsidR="000A5282">
        <w:rPr>
          <w:rFonts w:ascii="Franklin Gothic Book" w:hAnsi="Franklin Gothic Book"/>
          <w:sz w:val="21"/>
        </w:rPr>
        <w:t>has focused on upgrading</w:t>
      </w:r>
      <w:r w:rsidR="00706B82" w:rsidRPr="00706B82">
        <w:rPr>
          <w:rFonts w:ascii="Franklin Gothic Book" w:hAnsi="Franklin Gothic Book"/>
          <w:sz w:val="21"/>
        </w:rPr>
        <w:t xml:space="preserve"> </w:t>
      </w:r>
      <w:r w:rsidR="00CA26C6" w:rsidRPr="00706B82">
        <w:rPr>
          <w:rFonts w:ascii="Franklin Gothic Book" w:hAnsi="Franklin Gothic Book"/>
          <w:sz w:val="21"/>
        </w:rPr>
        <w:t>the nation</w:t>
      </w:r>
      <w:r w:rsidR="00CA26C6">
        <w:rPr>
          <w:rFonts w:ascii="Franklin Gothic Book" w:hAnsi="Franklin Gothic Book"/>
          <w:sz w:val="21"/>
        </w:rPr>
        <w:t>al highway running south from L</w:t>
      </w:r>
      <w:r w:rsidR="00CA26C6" w:rsidRPr="00706B82">
        <w:rPr>
          <w:rFonts w:ascii="Franklin Gothic Book" w:hAnsi="Franklin Gothic Book"/>
          <w:sz w:val="21"/>
        </w:rPr>
        <w:t>uang</w:t>
      </w:r>
      <w:r w:rsidR="00CA26C6">
        <w:rPr>
          <w:rFonts w:ascii="Franklin Gothic Book" w:hAnsi="Franklin Gothic Book"/>
          <w:sz w:val="21"/>
        </w:rPr>
        <w:t xml:space="preserve"> P</w:t>
      </w:r>
      <w:r w:rsidR="00CA26C6" w:rsidRPr="00706B82">
        <w:rPr>
          <w:rFonts w:ascii="Franklin Gothic Book" w:hAnsi="Franklin Gothic Book"/>
          <w:sz w:val="21"/>
        </w:rPr>
        <w:t xml:space="preserve">rabang to the Thai border </w:t>
      </w:r>
      <w:r w:rsidR="00CA26C6">
        <w:rPr>
          <w:rFonts w:ascii="Franklin Gothic Book" w:hAnsi="Franklin Gothic Book"/>
          <w:sz w:val="21"/>
        </w:rPr>
        <w:t>as well as rural feeder roads</w:t>
      </w:r>
      <w:r w:rsidR="00706B82" w:rsidRPr="00706B82">
        <w:rPr>
          <w:rFonts w:ascii="Franklin Gothic Book" w:hAnsi="Franklin Gothic Book"/>
          <w:sz w:val="21"/>
        </w:rPr>
        <w:t>.</w:t>
      </w:r>
    </w:p>
    <w:p w:rsidR="004D394A" w:rsidRPr="00962508" w:rsidRDefault="0008391F" w:rsidP="004D394A">
      <w:pPr>
        <w:spacing w:after="120" w:line="280" w:lineRule="exact"/>
        <w:rPr>
          <w:rFonts w:ascii="Franklin Gothic Book" w:hAnsi="Franklin Gothic Book"/>
          <w:sz w:val="21"/>
        </w:rPr>
      </w:pPr>
      <w:r w:rsidRPr="00962508">
        <w:rPr>
          <w:rFonts w:ascii="Franklin Gothic Book" w:hAnsi="Franklin Gothic Book"/>
          <w:sz w:val="21"/>
        </w:rPr>
        <w:t xml:space="preserve">In 2014, at least </w:t>
      </w:r>
      <w:r w:rsidR="005F6D4F" w:rsidRPr="00962508">
        <w:rPr>
          <w:rFonts w:ascii="Franklin Gothic Book" w:hAnsi="Franklin Gothic Book"/>
          <w:sz w:val="21"/>
        </w:rPr>
        <w:t xml:space="preserve">73 </w:t>
      </w:r>
      <w:r w:rsidRPr="00962508">
        <w:rPr>
          <w:rFonts w:ascii="Franklin Gothic Book" w:hAnsi="Franklin Gothic Book"/>
          <w:sz w:val="21"/>
        </w:rPr>
        <w:t>kilometres of rural roads and access ways were constructed through PRF II</w:t>
      </w:r>
      <w:r w:rsidR="005F6D4F" w:rsidRPr="00962508">
        <w:rPr>
          <w:rFonts w:ascii="Franklin Gothic Book" w:hAnsi="Franklin Gothic Book"/>
          <w:sz w:val="21"/>
        </w:rPr>
        <w:t xml:space="preserve"> and NTNIP</w:t>
      </w:r>
      <w:r w:rsidR="0036467C">
        <w:rPr>
          <w:rFonts w:ascii="Franklin Gothic Book" w:hAnsi="Franklin Gothic Book"/>
          <w:sz w:val="21"/>
        </w:rPr>
        <w:t xml:space="preserve"> to better link rural households to markets and improve their access to government services</w:t>
      </w:r>
      <w:r w:rsidR="004D394A">
        <w:rPr>
          <w:rFonts w:ascii="Franklin Gothic Book" w:hAnsi="Franklin Gothic Book"/>
          <w:sz w:val="21"/>
        </w:rPr>
        <w:t xml:space="preserve"> (lower than our target of 100 </w:t>
      </w:r>
      <w:r w:rsidR="004D394A" w:rsidRPr="00206329">
        <w:rPr>
          <w:rFonts w:ascii="Franklin Gothic Book" w:hAnsi="Franklin Gothic Book"/>
          <w:sz w:val="21"/>
        </w:rPr>
        <w:t>kilometres</w:t>
      </w:r>
      <w:r w:rsidR="004D394A">
        <w:rPr>
          <w:rFonts w:ascii="Franklin Gothic Book" w:hAnsi="Franklin Gothic Book"/>
          <w:sz w:val="21"/>
        </w:rPr>
        <w:t xml:space="preserve"> due to construction delays</w:t>
      </w:r>
      <w:r w:rsidR="00946D8F">
        <w:rPr>
          <w:rFonts w:ascii="Franklin Gothic Book" w:hAnsi="Franklin Gothic Book"/>
          <w:sz w:val="21"/>
        </w:rPr>
        <w:t>)</w:t>
      </w:r>
      <w:r w:rsidR="003B0D97">
        <w:rPr>
          <w:rFonts w:ascii="Franklin Gothic Book" w:hAnsi="Franklin Gothic Book"/>
          <w:sz w:val="21"/>
        </w:rPr>
        <w:t>.</w:t>
      </w:r>
      <w:r w:rsidR="00CE4C6D">
        <w:rPr>
          <w:rFonts w:ascii="Franklin Gothic Book" w:hAnsi="Franklin Gothic Book"/>
          <w:sz w:val="21"/>
        </w:rPr>
        <w:t xml:space="preserve"> </w:t>
      </w:r>
      <w:r w:rsidR="004D394A">
        <w:rPr>
          <w:rFonts w:ascii="Franklin Gothic Book" w:hAnsi="Franklin Gothic Book"/>
          <w:sz w:val="21"/>
        </w:rPr>
        <w:t>As a result, farmers gained improved road a</w:t>
      </w:r>
      <w:r w:rsidR="004D394A" w:rsidRPr="00F75F76">
        <w:rPr>
          <w:rFonts w:ascii="Franklin Gothic Book" w:hAnsi="Franklin Gothic Book"/>
          <w:sz w:val="21"/>
        </w:rPr>
        <w:t>ccess to district markets to obtain prices that are double those received from traders coming to the village.</w:t>
      </w:r>
      <w:r w:rsidR="004D394A">
        <w:rPr>
          <w:rStyle w:val="EndnoteReference"/>
        </w:rPr>
        <w:endnoteReference w:id="16"/>
      </w:r>
      <w:r w:rsidR="004D394A">
        <w:rPr>
          <w:rFonts w:ascii="Franklin Gothic Book" w:hAnsi="Franklin Gothic Book"/>
          <w:sz w:val="21"/>
        </w:rPr>
        <w:t xml:space="preserve"> This </w:t>
      </w:r>
      <w:r w:rsidR="004D394A" w:rsidRPr="006E76AF">
        <w:rPr>
          <w:rFonts w:ascii="Franklin Gothic Book" w:hAnsi="Franklin Gothic Book"/>
          <w:sz w:val="21"/>
        </w:rPr>
        <w:t>benefitt</w:t>
      </w:r>
      <w:r w:rsidR="004D394A">
        <w:rPr>
          <w:rFonts w:ascii="Franklin Gothic Book" w:hAnsi="Franklin Gothic Book"/>
          <w:sz w:val="21"/>
        </w:rPr>
        <w:t>ed</w:t>
      </w:r>
      <w:r w:rsidR="004D394A" w:rsidRPr="006E76AF">
        <w:rPr>
          <w:rFonts w:ascii="Franklin Gothic Book" w:hAnsi="Franklin Gothic Book"/>
          <w:sz w:val="21"/>
        </w:rPr>
        <w:t xml:space="preserve"> more than 6,953 people (at least 38 per cent women)</w:t>
      </w:r>
      <w:r w:rsidR="004D394A" w:rsidRPr="00962508">
        <w:rPr>
          <w:rFonts w:ascii="Franklin Gothic Book" w:hAnsi="Franklin Gothic Book"/>
          <w:sz w:val="21"/>
        </w:rPr>
        <w:t xml:space="preserve">. The infrastructure support </w:t>
      </w:r>
      <w:r w:rsidR="004D394A">
        <w:rPr>
          <w:rFonts w:ascii="Franklin Gothic Book" w:hAnsi="Franklin Gothic Book"/>
          <w:sz w:val="21"/>
        </w:rPr>
        <w:t>provided</w:t>
      </w:r>
      <w:r w:rsidR="004D394A" w:rsidRPr="00962508">
        <w:rPr>
          <w:rFonts w:ascii="Franklin Gothic Book" w:hAnsi="Franklin Gothic Book"/>
          <w:sz w:val="21"/>
        </w:rPr>
        <w:t xml:space="preserve"> by Australia facilitated increased connectivity, economic growth and trade by linking the major centre of Luang Prabang with the Lao-Thai border. Travel time along the road decreased by 50 per cent as </w:t>
      </w:r>
      <w:r w:rsidR="004D394A">
        <w:rPr>
          <w:rFonts w:ascii="Franklin Gothic Book" w:hAnsi="Franklin Gothic Book"/>
          <w:sz w:val="21"/>
        </w:rPr>
        <w:t xml:space="preserve">had been </w:t>
      </w:r>
      <w:r w:rsidR="004D394A" w:rsidRPr="00962508">
        <w:rPr>
          <w:rFonts w:ascii="Franklin Gothic Book" w:hAnsi="Franklin Gothic Book"/>
          <w:sz w:val="21"/>
        </w:rPr>
        <w:t>targeted (from 10.5 hours to about 5 hours) and high traffic growth was registered (22 per cent per year increase compared to forecast of 15 per cent). More significantly, cross border trade-generated revenue from tax, transport and immigration at the Kenthao</w:t>
      </w:r>
      <w:r w:rsidR="004D394A" w:rsidRPr="00962508">
        <w:rPr>
          <w:rStyle w:val="EndnoteReference"/>
        </w:rPr>
        <w:endnoteReference w:id="17"/>
      </w:r>
      <w:r w:rsidR="004D394A" w:rsidRPr="00962508">
        <w:rPr>
          <w:rFonts w:ascii="Franklin Gothic Book" w:hAnsi="Franklin Gothic Book"/>
          <w:sz w:val="21"/>
        </w:rPr>
        <w:t xml:space="preserve"> border increased from US$1.7m to US$7.2m between 2007 and 2013. Over its project life time, NTNIP </w:t>
      </w:r>
      <w:r w:rsidR="004D394A">
        <w:rPr>
          <w:rFonts w:ascii="Franklin Gothic Book" w:hAnsi="Franklin Gothic Book"/>
          <w:sz w:val="21"/>
        </w:rPr>
        <w:t>wa</w:t>
      </w:r>
      <w:r w:rsidR="004D394A" w:rsidRPr="00962508">
        <w:rPr>
          <w:rFonts w:ascii="Franklin Gothic Book" w:hAnsi="Franklin Gothic Book"/>
          <w:sz w:val="21"/>
        </w:rPr>
        <w:t>s a major achievement for the Australian aid program, benefitting more than 200,000 people (38 per cent women) living along the national and rural access roads.</w:t>
      </w:r>
    </w:p>
    <w:p w:rsidR="0008391F" w:rsidRPr="00962508" w:rsidRDefault="004D394A" w:rsidP="00BA6957">
      <w:pPr>
        <w:spacing w:after="120" w:line="280" w:lineRule="exact"/>
        <w:rPr>
          <w:rFonts w:ascii="Franklin Gothic Book" w:hAnsi="Franklin Gothic Book"/>
          <w:sz w:val="21"/>
        </w:rPr>
      </w:pPr>
      <w:r>
        <w:rPr>
          <w:rFonts w:ascii="Franklin Gothic Book" w:hAnsi="Franklin Gothic Book"/>
          <w:sz w:val="21"/>
        </w:rPr>
        <w:t>Through PRF II, w</w:t>
      </w:r>
      <w:r w:rsidR="00CE4C6D">
        <w:rPr>
          <w:rFonts w:ascii="Franklin Gothic Book" w:hAnsi="Franklin Gothic Book"/>
          <w:sz w:val="21"/>
        </w:rPr>
        <w:t xml:space="preserve">e </w:t>
      </w:r>
      <w:r w:rsidR="000A5282">
        <w:rPr>
          <w:rFonts w:ascii="Franklin Gothic Book" w:hAnsi="Franklin Gothic Book"/>
          <w:sz w:val="21"/>
        </w:rPr>
        <w:t xml:space="preserve">also </w:t>
      </w:r>
      <w:r w:rsidR="005F0CA3">
        <w:rPr>
          <w:rFonts w:ascii="Franklin Gothic Book" w:hAnsi="Franklin Gothic Book"/>
          <w:sz w:val="21"/>
        </w:rPr>
        <w:t>constructed</w:t>
      </w:r>
      <w:r w:rsidR="00CE4C6D" w:rsidRPr="00962508">
        <w:rPr>
          <w:rFonts w:ascii="Franklin Gothic Book" w:hAnsi="Franklin Gothic Book"/>
          <w:sz w:val="21"/>
        </w:rPr>
        <w:t xml:space="preserve"> water facilities</w:t>
      </w:r>
      <w:r w:rsidR="00CE4C6D">
        <w:rPr>
          <w:rFonts w:ascii="Franklin Gothic Book" w:hAnsi="Franklin Gothic Book"/>
          <w:sz w:val="21"/>
        </w:rPr>
        <w:t xml:space="preserve"> </w:t>
      </w:r>
      <w:r w:rsidR="005F0CA3">
        <w:rPr>
          <w:rFonts w:ascii="Franklin Gothic Book" w:hAnsi="Franklin Gothic Book"/>
          <w:sz w:val="21"/>
        </w:rPr>
        <w:t>enabling</w:t>
      </w:r>
      <w:r w:rsidR="00CE4C6D">
        <w:rPr>
          <w:rFonts w:ascii="Franklin Gothic Book" w:hAnsi="Franklin Gothic Book"/>
          <w:sz w:val="21"/>
        </w:rPr>
        <w:t xml:space="preserve"> </w:t>
      </w:r>
      <w:r w:rsidR="00CE4C6D" w:rsidRPr="00962508">
        <w:rPr>
          <w:rFonts w:ascii="Franklin Gothic Book" w:hAnsi="Franklin Gothic Book"/>
          <w:sz w:val="21"/>
        </w:rPr>
        <w:t xml:space="preserve">more than 9,747 people </w:t>
      </w:r>
      <w:r w:rsidR="005F0CA3">
        <w:rPr>
          <w:rFonts w:ascii="Franklin Gothic Book" w:hAnsi="Franklin Gothic Book"/>
          <w:sz w:val="21"/>
        </w:rPr>
        <w:t>access to improved</w:t>
      </w:r>
      <w:r w:rsidR="00CE4C6D" w:rsidRPr="00962508">
        <w:rPr>
          <w:rFonts w:ascii="Franklin Gothic Book" w:hAnsi="Franklin Gothic Book"/>
          <w:sz w:val="21"/>
        </w:rPr>
        <w:t xml:space="preserve"> water</w:t>
      </w:r>
      <w:r>
        <w:rPr>
          <w:rFonts w:ascii="Franklin Gothic Book" w:hAnsi="Franklin Gothic Book"/>
          <w:sz w:val="21"/>
        </w:rPr>
        <w:t xml:space="preserve"> (less</w:t>
      </w:r>
      <w:r w:rsidR="00CE4C6D">
        <w:rPr>
          <w:rFonts w:ascii="Franklin Gothic Book" w:hAnsi="Franklin Gothic Book"/>
          <w:sz w:val="21"/>
        </w:rPr>
        <w:t xml:space="preserve"> than the </w:t>
      </w:r>
      <w:r w:rsidR="00F726F9">
        <w:rPr>
          <w:rFonts w:ascii="Franklin Gothic Book" w:hAnsi="Franklin Gothic Book"/>
          <w:sz w:val="21"/>
        </w:rPr>
        <w:t xml:space="preserve">original estimate </w:t>
      </w:r>
      <w:r w:rsidR="00CE4C6D">
        <w:rPr>
          <w:rFonts w:ascii="Franklin Gothic Book" w:hAnsi="Franklin Gothic Book"/>
          <w:sz w:val="21"/>
        </w:rPr>
        <w:t xml:space="preserve">of 20,000 mainly due to </w:t>
      </w:r>
      <w:r>
        <w:rPr>
          <w:rFonts w:ascii="Franklin Gothic Book" w:hAnsi="Franklin Gothic Book"/>
          <w:sz w:val="21"/>
        </w:rPr>
        <w:t>lower than anticipated</w:t>
      </w:r>
      <w:r w:rsidR="00CE4C6D">
        <w:rPr>
          <w:rFonts w:ascii="Franklin Gothic Book" w:hAnsi="Franklin Gothic Book"/>
          <w:sz w:val="21"/>
        </w:rPr>
        <w:t xml:space="preserve"> community demand for water and sanitation </w:t>
      </w:r>
      <w:r>
        <w:rPr>
          <w:rFonts w:ascii="Franklin Gothic Book" w:hAnsi="Franklin Gothic Book"/>
          <w:sz w:val="21"/>
        </w:rPr>
        <w:t>facilities)</w:t>
      </w:r>
      <w:r w:rsidR="00CE4C6D">
        <w:rPr>
          <w:rFonts w:ascii="Franklin Gothic Book" w:hAnsi="Franklin Gothic Book"/>
          <w:sz w:val="21"/>
        </w:rPr>
        <w:t xml:space="preserve">. Our </w:t>
      </w:r>
      <w:r w:rsidR="004638D9">
        <w:rPr>
          <w:rFonts w:ascii="Franklin Gothic Book" w:hAnsi="Franklin Gothic Book"/>
          <w:sz w:val="21"/>
        </w:rPr>
        <w:t>investment</w:t>
      </w:r>
      <w:r w:rsidR="005F0CA3">
        <w:rPr>
          <w:rFonts w:ascii="Franklin Gothic Book" w:hAnsi="Franklin Gothic Book"/>
          <w:sz w:val="21"/>
        </w:rPr>
        <w:t xml:space="preserve"> in PRF</w:t>
      </w:r>
      <w:r>
        <w:rPr>
          <w:rFonts w:ascii="Franklin Gothic Book" w:hAnsi="Franklin Gothic Book"/>
          <w:sz w:val="21"/>
        </w:rPr>
        <w:t xml:space="preserve"> II</w:t>
      </w:r>
      <w:r w:rsidR="004638D9">
        <w:rPr>
          <w:rFonts w:ascii="Franklin Gothic Book" w:hAnsi="Franklin Gothic Book"/>
          <w:sz w:val="21"/>
        </w:rPr>
        <w:t xml:space="preserve"> also enabled the construction of other</w:t>
      </w:r>
      <w:r w:rsidR="0008391F" w:rsidRPr="00962508">
        <w:rPr>
          <w:rFonts w:ascii="Franklin Gothic Book" w:hAnsi="Franklin Gothic Book"/>
          <w:sz w:val="21"/>
        </w:rPr>
        <w:t xml:space="preserve"> productive infrastructure, including a market, </w:t>
      </w:r>
      <w:r w:rsidR="000A3D12">
        <w:rPr>
          <w:rFonts w:ascii="Franklin Gothic Book" w:hAnsi="Franklin Gothic Book"/>
          <w:sz w:val="21"/>
        </w:rPr>
        <w:t>two</w:t>
      </w:r>
      <w:r w:rsidR="0008391F" w:rsidRPr="00962508">
        <w:rPr>
          <w:rFonts w:ascii="Franklin Gothic Book" w:hAnsi="Franklin Gothic Book"/>
          <w:sz w:val="21"/>
        </w:rPr>
        <w:t xml:space="preserve"> bridges</w:t>
      </w:r>
      <w:r w:rsidR="005F0CA3">
        <w:rPr>
          <w:rFonts w:ascii="Franklin Gothic Book" w:hAnsi="Franklin Gothic Book"/>
          <w:sz w:val="21"/>
        </w:rPr>
        <w:t xml:space="preserve"> and</w:t>
      </w:r>
      <w:r w:rsidR="0008391F" w:rsidRPr="00962508">
        <w:rPr>
          <w:rFonts w:ascii="Franklin Gothic Book" w:hAnsi="Franklin Gothic Book"/>
          <w:sz w:val="21"/>
        </w:rPr>
        <w:t xml:space="preserve"> 11 irrigation systems and weirs</w:t>
      </w:r>
      <w:r w:rsidR="005F0CA3">
        <w:rPr>
          <w:rFonts w:ascii="Franklin Gothic Book" w:hAnsi="Franklin Gothic Book"/>
          <w:sz w:val="21"/>
        </w:rPr>
        <w:t>.</w:t>
      </w:r>
    </w:p>
    <w:p w:rsidR="0008391F" w:rsidRDefault="00304382" w:rsidP="00BA6957">
      <w:pPr>
        <w:spacing w:after="120" w:line="280" w:lineRule="exact"/>
        <w:rPr>
          <w:rFonts w:ascii="Franklin Gothic Book" w:hAnsi="Franklin Gothic Book"/>
          <w:sz w:val="21"/>
        </w:rPr>
      </w:pPr>
      <w:r>
        <w:rPr>
          <w:rFonts w:ascii="Franklin Gothic Book" w:hAnsi="Franklin Gothic Book"/>
          <w:sz w:val="21"/>
        </w:rPr>
        <w:t>PRF II has been ensuring adequate monitoring of social safeguards and environmental guidelines.</w:t>
      </w:r>
      <w:r w:rsidR="0008391F" w:rsidRPr="00962508">
        <w:rPr>
          <w:rFonts w:ascii="Franklin Gothic Book" w:hAnsi="Franklin Gothic Book"/>
          <w:sz w:val="21"/>
        </w:rPr>
        <w:t xml:space="preserve"> It </w:t>
      </w:r>
      <w:r w:rsidR="004638D9">
        <w:rPr>
          <w:rFonts w:ascii="Franklin Gothic Book" w:hAnsi="Franklin Gothic Book"/>
          <w:sz w:val="21"/>
        </w:rPr>
        <w:t>has</w:t>
      </w:r>
      <w:r w:rsidR="0008391F" w:rsidRPr="00962508">
        <w:rPr>
          <w:rFonts w:ascii="Franklin Gothic Book" w:hAnsi="Franklin Gothic Book"/>
          <w:sz w:val="21"/>
        </w:rPr>
        <w:t xml:space="preserve"> also implement</w:t>
      </w:r>
      <w:r w:rsidR="004638D9">
        <w:rPr>
          <w:rFonts w:ascii="Franklin Gothic Book" w:hAnsi="Franklin Gothic Book"/>
          <w:sz w:val="21"/>
        </w:rPr>
        <w:t>ed</w:t>
      </w:r>
      <w:r w:rsidR="0008391F" w:rsidRPr="00962508">
        <w:rPr>
          <w:rFonts w:ascii="Franklin Gothic Book" w:hAnsi="Franklin Gothic Book"/>
          <w:sz w:val="21"/>
        </w:rPr>
        <w:t xml:space="preserve"> disabled access strategies </w:t>
      </w:r>
      <w:r w:rsidR="004638D9">
        <w:rPr>
          <w:rFonts w:ascii="Franklin Gothic Book" w:hAnsi="Franklin Gothic Book"/>
          <w:sz w:val="21"/>
        </w:rPr>
        <w:t xml:space="preserve">as part of </w:t>
      </w:r>
      <w:r w:rsidR="0008391F" w:rsidRPr="00962508">
        <w:rPr>
          <w:rFonts w:ascii="Franklin Gothic Book" w:hAnsi="Franklin Gothic Book"/>
          <w:sz w:val="21"/>
        </w:rPr>
        <w:t>its community</w:t>
      </w:r>
      <w:r w:rsidR="004638D9">
        <w:rPr>
          <w:rFonts w:ascii="Franklin Gothic Book" w:hAnsi="Franklin Gothic Book"/>
          <w:sz w:val="21"/>
        </w:rPr>
        <w:t>-</w:t>
      </w:r>
      <w:r w:rsidR="0008391F" w:rsidRPr="00962508">
        <w:rPr>
          <w:rFonts w:ascii="Franklin Gothic Book" w:hAnsi="Franklin Gothic Book"/>
          <w:sz w:val="21"/>
        </w:rPr>
        <w:t xml:space="preserve">driven approach. </w:t>
      </w:r>
      <w:r w:rsidR="00CD113C">
        <w:rPr>
          <w:rFonts w:ascii="Franklin Gothic Book" w:hAnsi="Franklin Gothic Book"/>
          <w:sz w:val="21"/>
        </w:rPr>
        <w:t xml:space="preserve">In terms of mutual obligations, the Lao </w:t>
      </w:r>
      <w:r w:rsidR="00160EA8">
        <w:rPr>
          <w:rFonts w:ascii="Franklin Gothic Book" w:hAnsi="Franklin Gothic Book"/>
          <w:sz w:val="21"/>
        </w:rPr>
        <w:t>G</w:t>
      </w:r>
      <w:r w:rsidR="00CD113C">
        <w:rPr>
          <w:rFonts w:ascii="Franklin Gothic Book" w:hAnsi="Franklin Gothic Book"/>
          <w:sz w:val="21"/>
        </w:rPr>
        <w:t>overnment</w:t>
      </w:r>
      <w:r w:rsidR="0008391F" w:rsidRPr="00962508">
        <w:rPr>
          <w:rFonts w:ascii="Franklin Gothic Book" w:hAnsi="Franklin Gothic Book"/>
          <w:sz w:val="21"/>
        </w:rPr>
        <w:t xml:space="preserve"> </w:t>
      </w:r>
      <w:r w:rsidR="004D394A">
        <w:rPr>
          <w:rFonts w:ascii="Franklin Gothic Book" w:hAnsi="Franklin Gothic Book"/>
          <w:sz w:val="21"/>
        </w:rPr>
        <w:t xml:space="preserve">has </w:t>
      </w:r>
      <w:r w:rsidR="0008391F" w:rsidRPr="00962508">
        <w:rPr>
          <w:rFonts w:ascii="Franklin Gothic Book" w:hAnsi="Franklin Gothic Book"/>
          <w:sz w:val="21"/>
        </w:rPr>
        <w:t>committed to contribute US$10</w:t>
      </w:r>
      <w:r w:rsidR="003B0D97">
        <w:rPr>
          <w:rFonts w:ascii="Franklin Gothic Book" w:hAnsi="Franklin Gothic Book"/>
          <w:sz w:val="21"/>
        </w:rPr>
        <w:t xml:space="preserve"> </w:t>
      </w:r>
      <w:r w:rsidR="0008391F" w:rsidRPr="00962508">
        <w:rPr>
          <w:rFonts w:ascii="Franklin Gothic Book" w:hAnsi="Franklin Gothic Book"/>
          <w:sz w:val="21"/>
        </w:rPr>
        <w:t>m</w:t>
      </w:r>
      <w:r w:rsidR="003B0D97">
        <w:rPr>
          <w:rFonts w:ascii="Franklin Gothic Book" w:hAnsi="Franklin Gothic Book"/>
          <w:sz w:val="21"/>
        </w:rPr>
        <w:t>illion</w:t>
      </w:r>
      <w:r w:rsidR="0008391F" w:rsidRPr="00962508">
        <w:rPr>
          <w:rFonts w:ascii="Franklin Gothic Book" w:hAnsi="Franklin Gothic Book"/>
          <w:sz w:val="21"/>
        </w:rPr>
        <w:t xml:space="preserve"> from the national budget for pay for infrastructure projects. To date, </w:t>
      </w:r>
      <w:r w:rsidR="00CD113C">
        <w:rPr>
          <w:rFonts w:ascii="Franklin Gothic Book" w:hAnsi="Franklin Gothic Book"/>
          <w:sz w:val="21"/>
        </w:rPr>
        <w:t>it has</w:t>
      </w:r>
      <w:r w:rsidR="00CD113C" w:rsidRPr="00962508">
        <w:rPr>
          <w:rFonts w:ascii="Franklin Gothic Book" w:hAnsi="Franklin Gothic Book"/>
          <w:sz w:val="21"/>
        </w:rPr>
        <w:t xml:space="preserve"> </w:t>
      </w:r>
      <w:r w:rsidR="0008391F" w:rsidRPr="00962508">
        <w:rPr>
          <w:rFonts w:ascii="Franklin Gothic Book" w:hAnsi="Franklin Gothic Book"/>
          <w:sz w:val="21"/>
        </w:rPr>
        <w:t>disbursed US$6</w:t>
      </w:r>
      <w:r w:rsidR="003B0D97">
        <w:rPr>
          <w:rFonts w:ascii="Franklin Gothic Book" w:hAnsi="Franklin Gothic Book"/>
          <w:sz w:val="21"/>
        </w:rPr>
        <w:t xml:space="preserve"> </w:t>
      </w:r>
      <w:r w:rsidR="0008391F" w:rsidRPr="00962508">
        <w:rPr>
          <w:rFonts w:ascii="Franklin Gothic Book" w:hAnsi="Franklin Gothic Book"/>
          <w:sz w:val="21"/>
        </w:rPr>
        <w:t>m</w:t>
      </w:r>
      <w:r w:rsidR="003B0D97">
        <w:rPr>
          <w:rFonts w:ascii="Franklin Gothic Book" w:hAnsi="Franklin Gothic Book"/>
          <w:sz w:val="21"/>
        </w:rPr>
        <w:t>illion</w:t>
      </w:r>
      <w:r w:rsidR="0008391F" w:rsidRPr="00962508">
        <w:rPr>
          <w:rFonts w:ascii="Franklin Gothic Book" w:hAnsi="Franklin Gothic Book"/>
          <w:sz w:val="21"/>
        </w:rPr>
        <w:t xml:space="preserve">. The </w:t>
      </w:r>
      <w:r w:rsidR="00CD113C">
        <w:rPr>
          <w:rFonts w:ascii="Franklin Gothic Book" w:hAnsi="Franklin Gothic Book"/>
          <w:sz w:val="21"/>
        </w:rPr>
        <w:t xml:space="preserve">Lao </w:t>
      </w:r>
      <w:r w:rsidR="0008391F" w:rsidRPr="00962508">
        <w:rPr>
          <w:rFonts w:ascii="Franklin Gothic Book" w:hAnsi="Franklin Gothic Book"/>
          <w:sz w:val="21"/>
        </w:rPr>
        <w:t xml:space="preserve">Ministry of Finance agreed that the remaining amount </w:t>
      </w:r>
      <w:r w:rsidR="00CD113C">
        <w:rPr>
          <w:rFonts w:ascii="Franklin Gothic Book" w:hAnsi="Franklin Gothic Book"/>
          <w:sz w:val="21"/>
        </w:rPr>
        <w:t>would</w:t>
      </w:r>
      <w:r w:rsidR="00CD113C" w:rsidRPr="00962508">
        <w:rPr>
          <w:rFonts w:ascii="Franklin Gothic Book" w:hAnsi="Franklin Gothic Book"/>
          <w:sz w:val="21"/>
        </w:rPr>
        <w:t xml:space="preserve"> </w:t>
      </w:r>
      <w:r w:rsidR="0008391F" w:rsidRPr="00962508">
        <w:rPr>
          <w:rFonts w:ascii="Franklin Gothic Book" w:hAnsi="Franklin Gothic Book"/>
          <w:sz w:val="21"/>
        </w:rPr>
        <w:t xml:space="preserve">be disbursed over the next two years (2015-16 and 2016-17). </w:t>
      </w:r>
      <w:r w:rsidR="00CD113C">
        <w:rPr>
          <w:rFonts w:ascii="Franklin Gothic Book" w:hAnsi="Franklin Gothic Book"/>
          <w:sz w:val="21"/>
        </w:rPr>
        <w:t>A remaining challenge is the need to</w:t>
      </w:r>
      <w:r w:rsidR="0008391F" w:rsidRPr="00962508">
        <w:rPr>
          <w:rFonts w:ascii="Franklin Gothic Book" w:hAnsi="Franklin Gothic Book"/>
          <w:sz w:val="21"/>
        </w:rPr>
        <w:t xml:space="preserve"> integrate the PRF </w:t>
      </w:r>
      <w:r w:rsidR="004D394A">
        <w:rPr>
          <w:rFonts w:ascii="Franklin Gothic Book" w:hAnsi="Franklin Gothic Book"/>
          <w:sz w:val="21"/>
        </w:rPr>
        <w:t xml:space="preserve">II </w:t>
      </w:r>
      <w:r w:rsidR="0008391F" w:rsidRPr="00962508">
        <w:rPr>
          <w:rFonts w:ascii="Franklin Gothic Book" w:hAnsi="Franklin Gothic Book"/>
          <w:sz w:val="21"/>
        </w:rPr>
        <w:t xml:space="preserve">planning and financing system with </w:t>
      </w:r>
      <w:r w:rsidR="003A43AF">
        <w:rPr>
          <w:rFonts w:ascii="Franklin Gothic Book" w:hAnsi="Franklin Gothic Book"/>
          <w:sz w:val="21"/>
        </w:rPr>
        <w:t>those</w:t>
      </w:r>
      <w:r w:rsidR="0008391F" w:rsidRPr="00962508">
        <w:rPr>
          <w:rFonts w:ascii="Franklin Gothic Book" w:hAnsi="Franklin Gothic Book"/>
          <w:sz w:val="21"/>
        </w:rPr>
        <w:t xml:space="preserve"> of the Lao </w:t>
      </w:r>
      <w:r w:rsidR="005D196B">
        <w:rPr>
          <w:rFonts w:ascii="Franklin Gothic Book" w:hAnsi="Franklin Gothic Book"/>
          <w:sz w:val="21"/>
        </w:rPr>
        <w:t>Government</w:t>
      </w:r>
      <w:r w:rsidR="0008391F" w:rsidRPr="00962508">
        <w:rPr>
          <w:rFonts w:ascii="Franklin Gothic Book" w:hAnsi="Franklin Gothic Book"/>
          <w:sz w:val="21"/>
        </w:rPr>
        <w:t xml:space="preserve">. </w:t>
      </w:r>
      <w:r w:rsidR="005F0CA3">
        <w:rPr>
          <w:rFonts w:ascii="Franklin Gothic Book" w:hAnsi="Franklin Gothic Book"/>
          <w:sz w:val="21"/>
        </w:rPr>
        <w:t xml:space="preserve">To date, the PRF </w:t>
      </w:r>
      <w:r w:rsidR="004D394A">
        <w:rPr>
          <w:rFonts w:ascii="Franklin Gothic Book" w:hAnsi="Franklin Gothic Book"/>
          <w:sz w:val="21"/>
        </w:rPr>
        <w:t xml:space="preserve">II </w:t>
      </w:r>
      <w:r w:rsidR="005F0CA3">
        <w:rPr>
          <w:rFonts w:ascii="Franklin Gothic Book" w:hAnsi="Franklin Gothic Book"/>
          <w:sz w:val="21"/>
        </w:rPr>
        <w:t>budgeting cycle has been adjusted to align with the government budget process.</w:t>
      </w:r>
    </w:p>
    <w:p w:rsidR="009E47EA" w:rsidRDefault="009E47EA" w:rsidP="00BA6957">
      <w:pPr>
        <w:spacing w:after="120" w:line="280" w:lineRule="exact"/>
        <w:rPr>
          <w:rFonts w:ascii="Franklin Gothic Book" w:hAnsi="Franklin Gothic Book"/>
          <w:sz w:val="21"/>
        </w:rPr>
      </w:pPr>
    </w:p>
    <w:p w:rsidR="00FB4F27" w:rsidRPr="00962508" w:rsidRDefault="00FB4F27" w:rsidP="00BA6957">
      <w:pPr>
        <w:pStyle w:val="Heading3"/>
      </w:pPr>
      <w:r w:rsidRPr="00962508">
        <w:lastRenderedPageBreak/>
        <w:t>Strategy-wide initiatives</w:t>
      </w:r>
    </w:p>
    <w:p w:rsidR="00633D7D" w:rsidRPr="00962508" w:rsidRDefault="00633D7D" w:rsidP="00BA6957">
      <w:pPr>
        <w:pStyle w:val="BodyText"/>
        <w:spacing w:after="0"/>
        <w:rPr>
          <w:b/>
          <w:lang w:eastAsia="zh-CN"/>
        </w:rPr>
      </w:pPr>
    </w:p>
    <w:p w:rsidR="00726458" w:rsidRDefault="00FB4F27" w:rsidP="00BA6957">
      <w:pPr>
        <w:pStyle w:val="BodyText"/>
        <w:rPr>
          <w:szCs w:val="21"/>
        </w:rPr>
      </w:pPr>
      <w:r w:rsidRPr="00962508">
        <w:rPr>
          <w:b/>
          <w:lang w:eastAsia="zh-CN"/>
        </w:rPr>
        <w:t xml:space="preserve">Laos-Australia Institute </w:t>
      </w:r>
    </w:p>
    <w:p w:rsidR="009649EA" w:rsidRDefault="009649EA" w:rsidP="00BA6957">
      <w:pPr>
        <w:pStyle w:val="BodyText"/>
        <w:spacing w:after="120"/>
        <w:rPr>
          <w:szCs w:val="21"/>
        </w:rPr>
      </w:pPr>
      <w:r>
        <w:rPr>
          <w:szCs w:val="21"/>
        </w:rPr>
        <w:t xml:space="preserve">The Laos Australia Institute </w:t>
      </w:r>
      <w:r w:rsidR="00B74128">
        <w:rPr>
          <w:szCs w:val="21"/>
        </w:rPr>
        <w:t>(</w:t>
      </w:r>
      <w:hyperlink r:id="rId19" w:history="1">
        <w:r w:rsidR="00B74128" w:rsidRPr="00B74128">
          <w:rPr>
            <w:rStyle w:val="Hyperlink"/>
            <w:sz w:val="21"/>
            <w:szCs w:val="21"/>
          </w:rPr>
          <w:t>LAI</w:t>
        </w:r>
      </w:hyperlink>
      <w:r w:rsidR="00B74128">
        <w:rPr>
          <w:szCs w:val="21"/>
        </w:rPr>
        <w:t xml:space="preserve">) </w:t>
      </w:r>
      <w:r>
        <w:rPr>
          <w:szCs w:val="21"/>
        </w:rPr>
        <w:t>(</w:t>
      </w:r>
      <w:r w:rsidRPr="009649EA">
        <w:rPr>
          <w:szCs w:val="21"/>
        </w:rPr>
        <w:t>$12.5 million; 2014-2017</w:t>
      </w:r>
      <w:r>
        <w:rPr>
          <w:szCs w:val="21"/>
        </w:rPr>
        <w:t xml:space="preserve">) </w:t>
      </w:r>
      <w:r w:rsidRPr="009649EA">
        <w:rPr>
          <w:szCs w:val="21"/>
        </w:rPr>
        <w:t>is Australia’s principal investment in human resource development</w:t>
      </w:r>
      <w:r w:rsidR="00870368">
        <w:rPr>
          <w:szCs w:val="21"/>
        </w:rPr>
        <w:t xml:space="preserve"> (HRD)</w:t>
      </w:r>
      <w:r w:rsidRPr="009649EA">
        <w:rPr>
          <w:szCs w:val="21"/>
        </w:rPr>
        <w:t xml:space="preserve"> in Lao</w:t>
      </w:r>
      <w:r>
        <w:rPr>
          <w:szCs w:val="21"/>
        </w:rPr>
        <w:t>s</w:t>
      </w:r>
      <w:r w:rsidRPr="009649EA">
        <w:rPr>
          <w:szCs w:val="21"/>
        </w:rPr>
        <w:t xml:space="preserve">. It </w:t>
      </w:r>
      <w:r w:rsidR="004D394A">
        <w:rPr>
          <w:szCs w:val="21"/>
        </w:rPr>
        <w:t>offers</w:t>
      </w:r>
      <w:r w:rsidRPr="009649EA">
        <w:rPr>
          <w:szCs w:val="21"/>
        </w:rPr>
        <w:t xml:space="preserve"> scholarships and professional development training opportunities for </w:t>
      </w:r>
      <w:r w:rsidR="004D394A">
        <w:rPr>
          <w:szCs w:val="21"/>
        </w:rPr>
        <w:t xml:space="preserve">the Lao </w:t>
      </w:r>
      <w:r w:rsidR="00160EA8">
        <w:rPr>
          <w:szCs w:val="21"/>
        </w:rPr>
        <w:t>G</w:t>
      </w:r>
      <w:r w:rsidRPr="009649EA">
        <w:rPr>
          <w:szCs w:val="21"/>
        </w:rPr>
        <w:t>overnment, civil society and the private sector in priority areas that align with Australia’s aid program</w:t>
      </w:r>
      <w:r w:rsidR="004D394A">
        <w:rPr>
          <w:szCs w:val="21"/>
        </w:rPr>
        <w:t>, complementing</w:t>
      </w:r>
      <w:r w:rsidRPr="009649EA">
        <w:rPr>
          <w:szCs w:val="21"/>
        </w:rPr>
        <w:t xml:space="preserve"> aid investments in basic education, trade facilitation, rural development and water resource management.</w:t>
      </w:r>
    </w:p>
    <w:p w:rsidR="00DB43BB" w:rsidRDefault="00DB43BB" w:rsidP="00BA6957">
      <w:pPr>
        <w:pStyle w:val="BodyText"/>
        <w:spacing w:after="120"/>
        <w:rPr>
          <w:szCs w:val="21"/>
        </w:rPr>
      </w:pPr>
      <w:r>
        <w:rPr>
          <w:szCs w:val="21"/>
        </w:rPr>
        <w:t xml:space="preserve">LAI </w:t>
      </w:r>
      <w:r w:rsidRPr="00962508">
        <w:rPr>
          <w:szCs w:val="21"/>
        </w:rPr>
        <w:t>made good progress in 2014-15</w:t>
      </w:r>
      <w:r>
        <w:rPr>
          <w:szCs w:val="21"/>
        </w:rPr>
        <w:t xml:space="preserve">, </w:t>
      </w:r>
      <w:r w:rsidRPr="00962508">
        <w:rPr>
          <w:szCs w:val="21"/>
        </w:rPr>
        <w:t>establish</w:t>
      </w:r>
      <w:r>
        <w:rPr>
          <w:szCs w:val="21"/>
        </w:rPr>
        <w:t>ing</w:t>
      </w:r>
      <w:r w:rsidRPr="00962508">
        <w:rPr>
          <w:szCs w:val="21"/>
        </w:rPr>
        <w:t xml:space="preserve"> close working relationships with </w:t>
      </w:r>
      <w:r>
        <w:rPr>
          <w:szCs w:val="21"/>
        </w:rPr>
        <w:t>MoES</w:t>
      </w:r>
      <w:r w:rsidRPr="00962508">
        <w:rPr>
          <w:szCs w:val="21"/>
        </w:rPr>
        <w:t xml:space="preserve">, the National HRD Commission and HRD focal points in 28 Lao </w:t>
      </w:r>
      <w:r w:rsidR="00160EA8">
        <w:rPr>
          <w:szCs w:val="21"/>
        </w:rPr>
        <w:t>G</w:t>
      </w:r>
      <w:r w:rsidRPr="00962508">
        <w:rPr>
          <w:szCs w:val="21"/>
        </w:rPr>
        <w:t xml:space="preserve">overnment agencies. </w:t>
      </w:r>
      <w:r>
        <w:rPr>
          <w:szCs w:val="21"/>
        </w:rPr>
        <w:t xml:space="preserve">LAI was asked to support </w:t>
      </w:r>
      <w:r w:rsidR="000D54F3">
        <w:rPr>
          <w:szCs w:val="21"/>
        </w:rPr>
        <w:t xml:space="preserve">the </w:t>
      </w:r>
      <w:r>
        <w:rPr>
          <w:szCs w:val="21"/>
        </w:rPr>
        <w:t>development of Laos’ National HRD Strategy and</w:t>
      </w:r>
      <w:r w:rsidR="00870368">
        <w:rPr>
          <w:szCs w:val="21"/>
        </w:rPr>
        <w:t>,</w:t>
      </w:r>
      <w:r>
        <w:rPr>
          <w:szCs w:val="21"/>
        </w:rPr>
        <w:t xml:space="preserve"> in doing so</w:t>
      </w:r>
      <w:r w:rsidR="00870368">
        <w:rPr>
          <w:szCs w:val="21"/>
        </w:rPr>
        <w:t>,</w:t>
      </w:r>
      <w:r>
        <w:rPr>
          <w:szCs w:val="21"/>
        </w:rPr>
        <w:t xml:space="preserve"> established itself as a trusted and responsive </w:t>
      </w:r>
      <w:r w:rsidR="00DF16FE">
        <w:rPr>
          <w:szCs w:val="21"/>
        </w:rPr>
        <w:t>program</w:t>
      </w:r>
      <w:r>
        <w:rPr>
          <w:szCs w:val="21"/>
        </w:rPr>
        <w:t xml:space="preserve">. On the strength of this assistance, </w:t>
      </w:r>
      <w:r w:rsidRPr="00962508">
        <w:rPr>
          <w:szCs w:val="21"/>
        </w:rPr>
        <w:t xml:space="preserve">LAI was </w:t>
      </w:r>
      <w:r>
        <w:rPr>
          <w:szCs w:val="21"/>
        </w:rPr>
        <w:t>asked</w:t>
      </w:r>
      <w:r w:rsidRPr="00962508">
        <w:rPr>
          <w:szCs w:val="21"/>
        </w:rPr>
        <w:t xml:space="preserve"> to support </w:t>
      </w:r>
      <w:r>
        <w:rPr>
          <w:szCs w:val="21"/>
        </w:rPr>
        <w:t xml:space="preserve">an organisational assessment of </w:t>
      </w:r>
      <w:r w:rsidRPr="00962508">
        <w:rPr>
          <w:szCs w:val="21"/>
        </w:rPr>
        <w:t>MoES</w:t>
      </w:r>
      <w:r>
        <w:rPr>
          <w:szCs w:val="21"/>
        </w:rPr>
        <w:t xml:space="preserve"> to inform a restructure and </w:t>
      </w:r>
      <w:r w:rsidRPr="00962508">
        <w:rPr>
          <w:szCs w:val="21"/>
        </w:rPr>
        <w:t xml:space="preserve">prioritise emerging HRD needs. </w:t>
      </w:r>
      <w:r w:rsidR="00870368">
        <w:rPr>
          <w:szCs w:val="21"/>
        </w:rPr>
        <w:t xml:space="preserve">However, </w:t>
      </w:r>
      <w:r>
        <w:rPr>
          <w:szCs w:val="21"/>
        </w:rPr>
        <w:t xml:space="preserve">more needs to be done to build demand for HRD support from other Lao </w:t>
      </w:r>
      <w:r w:rsidR="005D196B">
        <w:rPr>
          <w:szCs w:val="21"/>
        </w:rPr>
        <w:t>Government</w:t>
      </w:r>
      <w:r>
        <w:rPr>
          <w:szCs w:val="21"/>
        </w:rPr>
        <w:t xml:space="preserve"> agencies.</w:t>
      </w:r>
    </w:p>
    <w:p w:rsidR="00B95F6F" w:rsidRPr="00962508" w:rsidRDefault="00B95F6F" w:rsidP="00BA6957">
      <w:pPr>
        <w:pStyle w:val="ListBullet"/>
        <w:numPr>
          <w:ilvl w:val="0"/>
          <w:numId w:val="0"/>
        </w:numPr>
        <w:rPr>
          <w:szCs w:val="21"/>
        </w:rPr>
      </w:pPr>
      <w:r w:rsidRPr="00962508">
        <w:rPr>
          <w:szCs w:val="21"/>
        </w:rPr>
        <w:t xml:space="preserve">LAI continued to manage the </w:t>
      </w:r>
      <w:hyperlink r:id="rId20" w:history="1">
        <w:r w:rsidR="00283E59" w:rsidRPr="00283E59">
          <w:rPr>
            <w:rStyle w:val="Hyperlink"/>
            <w:sz w:val="21"/>
            <w:szCs w:val="21"/>
          </w:rPr>
          <w:t>Australia Awards Scholarships</w:t>
        </w:r>
      </w:hyperlink>
      <w:r w:rsidR="00283E59">
        <w:rPr>
          <w:szCs w:val="21"/>
        </w:rPr>
        <w:t xml:space="preserve"> </w:t>
      </w:r>
      <w:r w:rsidR="00870368">
        <w:rPr>
          <w:szCs w:val="21"/>
        </w:rPr>
        <w:t xml:space="preserve">(AAS) </w:t>
      </w:r>
      <w:r w:rsidRPr="00962508">
        <w:rPr>
          <w:szCs w:val="21"/>
        </w:rPr>
        <w:t>program</w:t>
      </w:r>
      <w:r w:rsidR="004D29CE" w:rsidRPr="00962508">
        <w:rPr>
          <w:szCs w:val="21"/>
        </w:rPr>
        <w:t xml:space="preserve"> and </w:t>
      </w:r>
      <w:r w:rsidRPr="00962508">
        <w:rPr>
          <w:szCs w:val="21"/>
        </w:rPr>
        <w:t xml:space="preserve">the </w:t>
      </w:r>
      <w:hyperlink r:id="rId21" w:history="1">
        <w:r w:rsidR="00283E59" w:rsidRPr="00283E59">
          <w:rPr>
            <w:rStyle w:val="Hyperlink"/>
            <w:sz w:val="21"/>
            <w:szCs w:val="21"/>
          </w:rPr>
          <w:t>Laos-Australia National Scholarships (LANS)</w:t>
        </w:r>
      </w:hyperlink>
      <w:r w:rsidR="00870368">
        <w:rPr>
          <w:szCs w:val="21"/>
        </w:rPr>
        <w:t xml:space="preserve"> </w:t>
      </w:r>
      <w:r w:rsidR="004D29CE" w:rsidRPr="00962508">
        <w:rPr>
          <w:szCs w:val="21"/>
        </w:rPr>
        <w:t>program</w:t>
      </w:r>
      <w:r w:rsidR="00DB43BB">
        <w:rPr>
          <w:szCs w:val="21"/>
        </w:rPr>
        <w:t xml:space="preserve">, achieving </w:t>
      </w:r>
      <w:r w:rsidR="00870368">
        <w:rPr>
          <w:szCs w:val="21"/>
        </w:rPr>
        <w:t>our</w:t>
      </w:r>
      <w:r w:rsidR="00DB43BB">
        <w:rPr>
          <w:szCs w:val="21"/>
        </w:rPr>
        <w:t xml:space="preserve"> targets for </w:t>
      </w:r>
      <w:r w:rsidR="00DB43BB" w:rsidRPr="00962508">
        <w:rPr>
          <w:szCs w:val="21"/>
        </w:rPr>
        <w:t>2014</w:t>
      </w:r>
      <w:r w:rsidR="00DB43BB">
        <w:rPr>
          <w:szCs w:val="21"/>
        </w:rPr>
        <w:t xml:space="preserve">-15. </w:t>
      </w:r>
      <w:r w:rsidR="00DB43BB" w:rsidRPr="00962508">
        <w:rPr>
          <w:szCs w:val="21"/>
        </w:rPr>
        <w:t>50</w:t>
      </w:r>
      <w:r w:rsidR="000A3D12">
        <w:rPr>
          <w:szCs w:val="21"/>
        </w:rPr>
        <w:t> </w:t>
      </w:r>
      <w:r w:rsidR="00DB43BB">
        <w:rPr>
          <w:szCs w:val="21"/>
        </w:rPr>
        <w:t>Australia Awards scholarships</w:t>
      </w:r>
      <w:r w:rsidR="00DB43BB" w:rsidRPr="00962508">
        <w:rPr>
          <w:szCs w:val="21"/>
        </w:rPr>
        <w:t xml:space="preserve"> were awarded (</w:t>
      </w:r>
      <w:r w:rsidR="00DB43BB">
        <w:rPr>
          <w:szCs w:val="21"/>
        </w:rPr>
        <w:t xml:space="preserve">including </w:t>
      </w:r>
      <w:r w:rsidR="00057DB2" w:rsidRPr="00962508">
        <w:rPr>
          <w:szCs w:val="21"/>
        </w:rPr>
        <w:t xml:space="preserve">to </w:t>
      </w:r>
      <w:r w:rsidR="000D54F3">
        <w:rPr>
          <w:szCs w:val="21"/>
        </w:rPr>
        <w:t xml:space="preserve">25 </w:t>
      </w:r>
      <w:r w:rsidR="00057DB2" w:rsidRPr="00962508">
        <w:rPr>
          <w:szCs w:val="21"/>
        </w:rPr>
        <w:t xml:space="preserve">women) in </w:t>
      </w:r>
      <w:r w:rsidR="00870368">
        <w:rPr>
          <w:szCs w:val="21"/>
        </w:rPr>
        <w:t>fields</w:t>
      </w:r>
      <w:r w:rsidRPr="00962508">
        <w:rPr>
          <w:szCs w:val="21"/>
        </w:rPr>
        <w:t xml:space="preserve"> linked to the priorities of the</w:t>
      </w:r>
      <w:r w:rsidR="00057DB2" w:rsidRPr="00962508">
        <w:rPr>
          <w:szCs w:val="21"/>
        </w:rPr>
        <w:t xml:space="preserve"> </w:t>
      </w:r>
      <w:r w:rsidR="006553D1" w:rsidRPr="00962508">
        <w:t>Australia-Laos Development Cooperation Strategy</w:t>
      </w:r>
      <w:r w:rsidRPr="00962508">
        <w:rPr>
          <w:szCs w:val="21"/>
        </w:rPr>
        <w:t xml:space="preserve">. 74 provincial students (38 females), from remote and disadvantaged areas were awarded </w:t>
      </w:r>
      <w:r w:rsidR="004D29CE" w:rsidRPr="00962508">
        <w:rPr>
          <w:szCs w:val="21"/>
        </w:rPr>
        <w:t>LANS</w:t>
      </w:r>
      <w:r w:rsidRPr="00962508">
        <w:rPr>
          <w:szCs w:val="21"/>
        </w:rPr>
        <w:t xml:space="preserve"> to study undergraduate degrees at the National University of Laos. Six short-term </w:t>
      </w:r>
      <w:r w:rsidR="00870368" w:rsidRPr="00962508">
        <w:rPr>
          <w:szCs w:val="21"/>
        </w:rPr>
        <w:t xml:space="preserve">environment and food security </w:t>
      </w:r>
      <w:r w:rsidRPr="00962508">
        <w:rPr>
          <w:szCs w:val="21"/>
        </w:rPr>
        <w:t>Australia Awards Fellowships were offered.</w:t>
      </w:r>
    </w:p>
    <w:p w:rsidR="00B95F6F" w:rsidRDefault="00B95F6F" w:rsidP="00BA6957">
      <w:pPr>
        <w:pStyle w:val="ListBullet"/>
        <w:numPr>
          <w:ilvl w:val="0"/>
          <w:numId w:val="0"/>
        </w:numPr>
      </w:pPr>
      <w:r w:rsidRPr="00962508">
        <w:rPr>
          <w:szCs w:val="21"/>
        </w:rPr>
        <w:t xml:space="preserve">LAI conducted a number of reviews into the targeting, eligibility, levels of study and selection process for </w:t>
      </w:r>
      <w:r w:rsidR="003A43AF">
        <w:rPr>
          <w:szCs w:val="21"/>
        </w:rPr>
        <w:t>AAS</w:t>
      </w:r>
      <w:r w:rsidRPr="00962508">
        <w:rPr>
          <w:szCs w:val="21"/>
        </w:rPr>
        <w:t xml:space="preserve"> to ensure the program </w:t>
      </w:r>
      <w:r w:rsidR="006553D1">
        <w:rPr>
          <w:szCs w:val="21"/>
        </w:rPr>
        <w:t>identifies</w:t>
      </w:r>
      <w:r w:rsidR="006553D1" w:rsidRPr="00962508">
        <w:rPr>
          <w:szCs w:val="21"/>
        </w:rPr>
        <w:t xml:space="preserve"> </w:t>
      </w:r>
      <w:r w:rsidRPr="00962508">
        <w:rPr>
          <w:szCs w:val="21"/>
        </w:rPr>
        <w:t>and selects applicants with a high likelihood of success. The recommendations of the review</w:t>
      </w:r>
      <w:r w:rsidR="00F726F9">
        <w:rPr>
          <w:szCs w:val="21"/>
        </w:rPr>
        <w:t>s</w:t>
      </w:r>
      <w:r w:rsidRPr="00962508">
        <w:rPr>
          <w:szCs w:val="21"/>
        </w:rPr>
        <w:t xml:space="preserve"> have informed a new selection process for 2015. LAI also conducted a Women’s Leadership Analytical </w:t>
      </w:r>
      <w:r w:rsidR="006553D1">
        <w:rPr>
          <w:szCs w:val="21"/>
        </w:rPr>
        <w:t>S</w:t>
      </w:r>
      <w:r w:rsidRPr="00962508">
        <w:rPr>
          <w:szCs w:val="21"/>
        </w:rPr>
        <w:t>tudy</w:t>
      </w:r>
      <w:r w:rsidR="004D29CE" w:rsidRPr="00962508">
        <w:rPr>
          <w:szCs w:val="21"/>
        </w:rPr>
        <w:t>, the o</w:t>
      </w:r>
      <w:r w:rsidRPr="00962508">
        <w:rPr>
          <w:szCs w:val="21"/>
        </w:rPr>
        <w:t xml:space="preserve">utcomes of </w:t>
      </w:r>
      <w:r w:rsidR="004D29CE" w:rsidRPr="00962508">
        <w:rPr>
          <w:szCs w:val="21"/>
        </w:rPr>
        <w:t xml:space="preserve">which </w:t>
      </w:r>
      <w:r w:rsidRPr="00962508">
        <w:rPr>
          <w:szCs w:val="21"/>
        </w:rPr>
        <w:t xml:space="preserve">will </w:t>
      </w:r>
      <w:r w:rsidR="004D29CE" w:rsidRPr="00962508">
        <w:rPr>
          <w:szCs w:val="21"/>
        </w:rPr>
        <w:t xml:space="preserve">help </w:t>
      </w:r>
      <w:r w:rsidR="00870368">
        <w:rPr>
          <w:szCs w:val="21"/>
        </w:rPr>
        <w:t>it</w:t>
      </w:r>
      <w:r w:rsidR="00870368" w:rsidRPr="00962508">
        <w:rPr>
          <w:szCs w:val="21"/>
        </w:rPr>
        <w:t xml:space="preserve"> </w:t>
      </w:r>
      <w:r w:rsidR="004D29CE" w:rsidRPr="00962508">
        <w:t>to</w:t>
      </w:r>
      <w:r w:rsidR="00633D7D" w:rsidRPr="00962508">
        <w:t xml:space="preserve"> integrate gender equality in</w:t>
      </w:r>
      <w:r w:rsidR="004D29CE" w:rsidRPr="00962508">
        <w:t>to</w:t>
      </w:r>
      <w:r w:rsidR="00633D7D" w:rsidRPr="00962508">
        <w:t xml:space="preserve"> its HRD </w:t>
      </w:r>
      <w:r w:rsidR="004D29CE" w:rsidRPr="00962508">
        <w:t>activities, including through programs which specifically promote women’s leadership.</w:t>
      </w:r>
    </w:p>
    <w:p w:rsidR="001D7078" w:rsidRPr="001D7078" w:rsidRDefault="001D7078" w:rsidP="00BA6957">
      <w:pPr>
        <w:pStyle w:val="BodyText"/>
        <w:rPr>
          <w:b/>
          <w:lang w:eastAsia="zh-CN"/>
        </w:rPr>
      </w:pPr>
      <w:r w:rsidRPr="001D7078">
        <w:rPr>
          <w:b/>
          <w:lang w:eastAsia="zh-CN"/>
        </w:rPr>
        <w:t>Volunteers</w:t>
      </w:r>
    </w:p>
    <w:p w:rsidR="001D7078" w:rsidRPr="001D7078" w:rsidRDefault="001D7078" w:rsidP="00BA6957">
      <w:pPr>
        <w:pStyle w:val="ListBullet"/>
        <w:numPr>
          <w:ilvl w:val="0"/>
          <w:numId w:val="0"/>
        </w:numPr>
        <w:rPr>
          <w:szCs w:val="21"/>
        </w:rPr>
      </w:pPr>
      <w:r w:rsidRPr="001D7078">
        <w:rPr>
          <w:szCs w:val="21"/>
        </w:rPr>
        <w:t xml:space="preserve">The </w:t>
      </w:r>
      <w:hyperlink r:id="rId22" w:history="1">
        <w:r w:rsidR="00B74128" w:rsidRPr="00B74128">
          <w:rPr>
            <w:rStyle w:val="Hyperlink"/>
            <w:sz w:val="21"/>
            <w:szCs w:val="21"/>
          </w:rPr>
          <w:t>Australian Volunteers for International Development</w:t>
        </w:r>
      </w:hyperlink>
      <w:r w:rsidR="00283E59">
        <w:rPr>
          <w:szCs w:val="21"/>
        </w:rPr>
        <w:t xml:space="preserve"> </w:t>
      </w:r>
      <w:r w:rsidRPr="001D7078">
        <w:rPr>
          <w:szCs w:val="21"/>
        </w:rPr>
        <w:t>program, managed by Australian Red Cross and Scope Global</w:t>
      </w:r>
      <w:r w:rsidR="00946D8F">
        <w:rPr>
          <w:szCs w:val="21"/>
        </w:rPr>
        <w:t>,</w:t>
      </w:r>
      <w:r w:rsidRPr="001D7078">
        <w:rPr>
          <w:szCs w:val="21"/>
        </w:rPr>
        <w:t xml:space="preserve"> continued to support Australia’s development and public diplomacy goals and promoted positive people-to-people links. In line with the annual target</w:t>
      </w:r>
      <w:r w:rsidR="00946D8F">
        <w:rPr>
          <w:szCs w:val="21"/>
        </w:rPr>
        <w:t xml:space="preserve"> in 2014-15</w:t>
      </w:r>
      <w:r w:rsidRPr="001D7078">
        <w:rPr>
          <w:szCs w:val="21"/>
        </w:rPr>
        <w:t xml:space="preserve">, 35 volunteers were placed in Lao Government agencies and local NGOs in areas that align with Australia’s aid program priorities. </w:t>
      </w:r>
    </w:p>
    <w:p w:rsidR="00FB4F27" w:rsidRPr="00962508" w:rsidRDefault="00FB4F27" w:rsidP="00BA6957">
      <w:pPr>
        <w:pStyle w:val="BodyText"/>
        <w:spacing w:before="240"/>
        <w:rPr>
          <w:b/>
          <w:i/>
          <w:lang w:eastAsia="zh-CN"/>
        </w:rPr>
      </w:pPr>
      <w:r w:rsidRPr="00726458">
        <w:rPr>
          <w:b/>
          <w:lang w:eastAsia="zh-CN"/>
        </w:rPr>
        <w:t>Human Rights</w:t>
      </w:r>
      <w:r w:rsidRPr="00962508">
        <w:rPr>
          <w:b/>
          <w:lang w:eastAsia="zh-CN"/>
        </w:rPr>
        <w:t xml:space="preserve"> </w:t>
      </w:r>
    </w:p>
    <w:p w:rsidR="001D2D62" w:rsidRPr="00962508" w:rsidRDefault="006553D1" w:rsidP="00BA6957">
      <w:pPr>
        <w:pStyle w:val="ListBullet"/>
        <w:numPr>
          <w:ilvl w:val="0"/>
          <w:numId w:val="0"/>
        </w:numPr>
        <w:rPr>
          <w:szCs w:val="21"/>
        </w:rPr>
      </w:pPr>
      <w:r>
        <w:rPr>
          <w:szCs w:val="21"/>
        </w:rPr>
        <w:t>Australia’s</w:t>
      </w:r>
      <w:r w:rsidR="001D2D62" w:rsidRPr="00962508">
        <w:rPr>
          <w:szCs w:val="21"/>
        </w:rPr>
        <w:t xml:space="preserve"> program of </w:t>
      </w:r>
      <w:r>
        <w:rPr>
          <w:szCs w:val="21"/>
        </w:rPr>
        <w:t>human rights</w:t>
      </w:r>
      <w:r w:rsidR="001D2D62" w:rsidRPr="00962508">
        <w:rPr>
          <w:szCs w:val="21"/>
        </w:rPr>
        <w:t xml:space="preserve"> </w:t>
      </w:r>
      <w:r w:rsidR="003A43AF">
        <w:rPr>
          <w:szCs w:val="21"/>
        </w:rPr>
        <w:t>assistance</w:t>
      </w:r>
      <w:r w:rsidR="001D2D62" w:rsidRPr="00962508">
        <w:rPr>
          <w:szCs w:val="21"/>
        </w:rPr>
        <w:t xml:space="preserve"> </w:t>
      </w:r>
      <w:r w:rsidR="003431A2" w:rsidRPr="00962508">
        <w:rPr>
          <w:szCs w:val="21"/>
        </w:rPr>
        <w:t>included awareness raising activities at the national and provincial levels</w:t>
      </w:r>
      <w:r w:rsidR="00870368">
        <w:rPr>
          <w:szCs w:val="21"/>
        </w:rPr>
        <w:t xml:space="preserve"> and</w:t>
      </w:r>
      <w:r w:rsidR="003431A2" w:rsidRPr="00962508">
        <w:rPr>
          <w:szCs w:val="21"/>
        </w:rPr>
        <w:t xml:space="preserve"> capacity building in association with the biennial Lao-Australia </w:t>
      </w:r>
      <w:r w:rsidR="00726458">
        <w:rPr>
          <w:szCs w:val="21"/>
        </w:rPr>
        <w:t>H</w:t>
      </w:r>
      <w:r w:rsidR="003431A2" w:rsidRPr="00962508">
        <w:rPr>
          <w:szCs w:val="21"/>
        </w:rPr>
        <w:t xml:space="preserve">uman </w:t>
      </w:r>
      <w:r w:rsidR="00726458">
        <w:rPr>
          <w:szCs w:val="21"/>
        </w:rPr>
        <w:t>Ri</w:t>
      </w:r>
      <w:r w:rsidR="003431A2" w:rsidRPr="00962508">
        <w:rPr>
          <w:szCs w:val="21"/>
        </w:rPr>
        <w:t xml:space="preserve">ghts </w:t>
      </w:r>
      <w:r w:rsidR="00726458">
        <w:rPr>
          <w:szCs w:val="21"/>
        </w:rPr>
        <w:t>D</w:t>
      </w:r>
      <w:r w:rsidR="003431A2" w:rsidRPr="00962508">
        <w:rPr>
          <w:szCs w:val="21"/>
        </w:rPr>
        <w:t xml:space="preserve">ialogue. The program </w:t>
      </w:r>
      <w:r w:rsidR="001D2D62" w:rsidRPr="00962508">
        <w:rPr>
          <w:szCs w:val="21"/>
        </w:rPr>
        <w:t xml:space="preserve">helped establish a </w:t>
      </w:r>
      <w:r>
        <w:rPr>
          <w:szCs w:val="21"/>
        </w:rPr>
        <w:t>better</w:t>
      </w:r>
      <w:r w:rsidR="001D2D62" w:rsidRPr="00962508">
        <w:rPr>
          <w:szCs w:val="21"/>
        </w:rPr>
        <w:t xml:space="preserve"> </w:t>
      </w:r>
      <w:r>
        <w:rPr>
          <w:szCs w:val="21"/>
        </w:rPr>
        <w:t>understanding</w:t>
      </w:r>
      <w:r w:rsidRPr="00962508">
        <w:rPr>
          <w:szCs w:val="21"/>
        </w:rPr>
        <w:t xml:space="preserve"> </w:t>
      </w:r>
      <w:r w:rsidR="001D2D62" w:rsidRPr="00962508">
        <w:rPr>
          <w:szCs w:val="21"/>
        </w:rPr>
        <w:t>with</w:t>
      </w:r>
      <w:r w:rsidR="00946D8F">
        <w:rPr>
          <w:szCs w:val="21"/>
        </w:rPr>
        <w:t>in</w:t>
      </w:r>
      <w:r w:rsidR="001D2D62" w:rsidRPr="00962508">
        <w:rPr>
          <w:szCs w:val="21"/>
        </w:rPr>
        <w:t xml:space="preserve"> the Lao Government</w:t>
      </w:r>
      <w:r w:rsidR="004509C4">
        <w:rPr>
          <w:szCs w:val="21"/>
        </w:rPr>
        <w:t>, which should assist</w:t>
      </w:r>
      <w:r w:rsidR="001D2D62" w:rsidRPr="00962508">
        <w:rPr>
          <w:szCs w:val="21"/>
        </w:rPr>
        <w:t xml:space="preserve"> in </w:t>
      </w:r>
      <w:r w:rsidR="003A43AF">
        <w:rPr>
          <w:szCs w:val="21"/>
        </w:rPr>
        <w:t xml:space="preserve">advocating human rights reform. This included funding </w:t>
      </w:r>
      <w:r w:rsidR="004509C4">
        <w:rPr>
          <w:szCs w:val="21"/>
        </w:rPr>
        <w:t>a meeting of the A</w:t>
      </w:r>
      <w:r w:rsidR="001D2D62" w:rsidRPr="00962508">
        <w:rPr>
          <w:szCs w:val="21"/>
        </w:rPr>
        <w:t xml:space="preserve">ustralia-Laos </w:t>
      </w:r>
      <w:r w:rsidR="004509C4">
        <w:rPr>
          <w:szCs w:val="21"/>
        </w:rPr>
        <w:t>H</w:t>
      </w:r>
      <w:r w:rsidR="001D2D62" w:rsidRPr="00962508">
        <w:rPr>
          <w:szCs w:val="21"/>
        </w:rPr>
        <w:t xml:space="preserve">uman </w:t>
      </w:r>
      <w:r w:rsidR="004509C4">
        <w:rPr>
          <w:szCs w:val="21"/>
        </w:rPr>
        <w:t>R</w:t>
      </w:r>
      <w:r w:rsidR="001D2D62" w:rsidRPr="00962508">
        <w:rPr>
          <w:szCs w:val="21"/>
        </w:rPr>
        <w:t xml:space="preserve">ights </w:t>
      </w:r>
      <w:r w:rsidR="004509C4">
        <w:rPr>
          <w:szCs w:val="21"/>
        </w:rPr>
        <w:t>D</w:t>
      </w:r>
      <w:r w:rsidR="001D2D62" w:rsidRPr="00962508">
        <w:rPr>
          <w:szCs w:val="21"/>
        </w:rPr>
        <w:t>ialogue and study tour</w:t>
      </w:r>
      <w:r w:rsidR="003A43AF">
        <w:rPr>
          <w:szCs w:val="21"/>
        </w:rPr>
        <w:t xml:space="preserve"> to Australia</w:t>
      </w:r>
      <w:r w:rsidR="001D2D62" w:rsidRPr="00962508">
        <w:rPr>
          <w:szCs w:val="21"/>
        </w:rPr>
        <w:t xml:space="preserve"> </w:t>
      </w:r>
      <w:r w:rsidR="004509C4">
        <w:rPr>
          <w:szCs w:val="21"/>
        </w:rPr>
        <w:t>in March 2015 and a</w:t>
      </w:r>
      <w:r w:rsidR="001D2D62" w:rsidRPr="00962508">
        <w:rPr>
          <w:szCs w:val="21"/>
        </w:rPr>
        <w:t xml:space="preserve"> visit to Laos by </w:t>
      </w:r>
      <w:r w:rsidR="00946D8F">
        <w:rPr>
          <w:szCs w:val="21"/>
        </w:rPr>
        <w:t xml:space="preserve">the </w:t>
      </w:r>
      <w:r w:rsidR="001D2D62" w:rsidRPr="00962508">
        <w:rPr>
          <w:szCs w:val="21"/>
        </w:rPr>
        <w:t xml:space="preserve">Australian Race Discrimination Commissioner in June/July 2015.  </w:t>
      </w:r>
      <w:r w:rsidR="001F21AB">
        <w:rPr>
          <w:szCs w:val="21"/>
        </w:rPr>
        <w:t>While resources will be constrained, w</w:t>
      </w:r>
      <w:r w:rsidR="001D2D62" w:rsidRPr="00962508">
        <w:rPr>
          <w:szCs w:val="21"/>
        </w:rPr>
        <w:t xml:space="preserve">e </w:t>
      </w:r>
      <w:r w:rsidR="00870368">
        <w:rPr>
          <w:szCs w:val="21"/>
        </w:rPr>
        <w:t>plan</w:t>
      </w:r>
      <w:r w:rsidR="00870368" w:rsidRPr="00962508">
        <w:rPr>
          <w:szCs w:val="21"/>
        </w:rPr>
        <w:t xml:space="preserve"> </w:t>
      </w:r>
      <w:r w:rsidR="001D2D62" w:rsidRPr="00962508">
        <w:rPr>
          <w:szCs w:val="21"/>
        </w:rPr>
        <w:t xml:space="preserve">to build on these results </w:t>
      </w:r>
      <w:r w:rsidR="004509C4">
        <w:rPr>
          <w:szCs w:val="21"/>
        </w:rPr>
        <w:t xml:space="preserve">going forward by </w:t>
      </w:r>
      <w:r w:rsidR="001D2D62" w:rsidRPr="00962508">
        <w:rPr>
          <w:szCs w:val="21"/>
        </w:rPr>
        <w:t>design</w:t>
      </w:r>
      <w:r w:rsidR="004509C4">
        <w:rPr>
          <w:szCs w:val="21"/>
        </w:rPr>
        <w:t>ing</w:t>
      </w:r>
      <w:r w:rsidR="001D2D62" w:rsidRPr="00962508">
        <w:rPr>
          <w:szCs w:val="21"/>
        </w:rPr>
        <w:t xml:space="preserve"> a new </w:t>
      </w:r>
      <w:r w:rsidR="001F21AB">
        <w:rPr>
          <w:szCs w:val="21"/>
        </w:rPr>
        <w:t xml:space="preserve">streamlined </w:t>
      </w:r>
      <w:r w:rsidR="001D2D62" w:rsidRPr="00962508">
        <w:rPr>
          <w:szCs w:val="21"/>
        </w:rPr>
        <w:t>multi-year human rights technical cooperation program.</w:t>
      </w:r>
    </w:p>
    <w:p w:rsidR="00823FCA" w:rsidRPr="00870368" w:rsidRDefault="00823FCA" w:rsidP="00870368">
      <w:pPr>
        <w:pStyle w:val="Heading3"/>
      </w:pPr>
      <w:r w:rsidRPr="00870368">
        <w:t>Performance Benchmarks</w:t>
      </w:r>
    </w:p>
    <w:p w:rsidR="00BB304E" w:rsidRPr="00962508" w:rsidRDefault="000D2A2C" w:rsidP="00BA6957">
      <w:pPr>
        <w:pStyle w:val="ListBullet"/>
        <w:numPr>
          <w:ilvl w:val="0"/>
          <w:numId w:val="0"/>
        </w:numPr>
      </w:pPr>
      <w:r w:rsidRPr="00962508">
        <w:t xml:space="preserve">Of the </w:t>
      </w:r>
      <w:r w:rsidR="000D54F3">
        <w:t>11</w:t>
      </w:r>
      <w:r w:rsidR="000D54F3" w:rsidRPr="00962508">
        <w:t xml:space="preserve"> </w:t>
      </w:r>
      <w:r w:rsidR="00EF03FE" w:rsidRPr="00962508">
        <w:t>performance b</w:t>
      </w:r>
      <w:r w:rsidRPr="00962508">
        <w:t xml:space="preserve">enchmarks set for 2014-15, </w:t>
      </w:r>
      <w:r w:rsidR="000D54F3">
        <w:t>seven</w:t>
      </w:r>
      <w:r w:rsidR="000D54F3" w:rsidRPr="00962508">
        <w:t xml:space="preserve"> </w:t>
      </w:r>
      <w:r w:rsidRPr="00962508">
        <w:t>were achieved in full</w:t>
      </w:r>
      <w:r w:rsidR="005609A3" w:rsidRPr="00962508">
        <w:t xml:space="preserve"> and</w:t>
      </w:r>
      <w:r w:rsidR="007236A3" w:rsidRPr="00962508">
        <w:t xml:space="preserve"> </w:t>
      </w:r>
      <w:r w:rsidR="000D54F3">
        <w:t>four</w:t>
      </w:r>
      <w:r w:rsidR="000D54F3" w:rsidRPr="00962508">
        <w:t xml:space="preserve"> </w:t>
      </w:r>
      <w:r w:rsidR="000D54F3">
        <w:t xml:space="preserve">benchmarks for rural development </w:t>
      </w:r>
      <w:r w:rsidRPr="00962508">
        <w:t>were partially achieved</w:t>
      </w:r>
      <w:r w:rsidR="00EF03FE" w:rsidRPr="00962508">
        <w:t xml:space="preserve"> </w:t>
      </w:r>
      <w:r w:rsidR="004D29CE" w:rsidRPr="00962508">
        <w:t xml:space="preserve">due to </w:t>
      </w:r>
      <w:r w:rsidR="000D54F3">
        <w:t xml:space="preserve">delays and </w:t>
      </w:r>
      <w:r w:rsidR="004509C4">
        <w:t>budget reductions</w:t>
      </w:r>
      <w:r w:rsidR="004D29CE" w:rsidRPr="00962508">
        <w:t xml:space="preserve"> which meant activities were cancelled or reduced in scope </w:t>
      </w:r>
      <w:r w:rsidR="00BB304E" w:rsidRPr="00962508">
        <w:t xml:space="preserve">(see above and Annex </w:t>
      </w:r>
      <w:r w:rsidR="003C1438" w:rsidRPr="00962508">
        <w:t>B</w:t>
      </w:r>
      <w:r w:rsidR="00FD45E4" w:rsidRPr="00962508">
        <w:t xml:space="preserve"> for </w:t>
      </w:r>
      <w:r w:rsidR="005609A3" w:rsidRPr="00962508">
        <w:t xml:space="preserve">more </w:t>
      </w:r>
      <w:r w:rsidR="00FD45E4" w:rsidRPr="00962508">
        <w:t>details)</w:t>
      </w:r>
      <w:r w:rsidR="00EF03FE" w:rsidRPr="00962508">
        <w:t>.</w:t>
      </w:r>
      <w:r w:rsidR="00FD45E4" w:rsidRPr="00962508">
        <w:t xml:space="preserve"> </w:t>
      </w:r>
      <w:r w:rsidR="00171779">
        <w:t xml:space="preserve">The </w:t>
      </w:r>
      <w:r w:rsidR="00171779">
        <w:lastRenderedPageBreak/>
        <w:t xml:space="preserve">Performance Assessment Framework for the Laos bilateral country </w:t>
      </w:r>
      <w:r w:rsidR="001F21AB">
        <w:t xml:space="preserve">program </w:t>
      </w:r>
      <w:r w:rsidR="00171779">
        <w:t>also identifies 26 additional targets and milestones</w:t>
      </w:r>
      <w:r w:rsidR="00DB4D87">
        <w:t>, progress under which has been assessed above</w:t>
      </w:r>
      <w:r w:rsidR="00124446">
        <w:t xml:space="preserve"> and reported on Annex C</w:t>
      </w:r>
      <w:r w:rsidR="00DB4D87">
        <w:t>.</w:t>
      </w:r>
    </w:p>
    <w:p w:rsidR="000D733F" w:rsidRDefault="000D733F" w:rsidP="00BA6957">
      <w:pPr>
        <w:pStyle w:val="Heading3"/>
      </w:pPr>
      <w:r w:rsidRPr="00962508">
        <w:t>Mutual Obligations</w:t>
      </w:r>
    </w:p>
    <w:p w:rsidR="00B01634" w:rsidRPr="00962508" w:rsidRDefault="00D1241A" w:rsidP="00BA6957">
      <w:pPr>
        <w:pStyle w:val="ListBullet"/>
        <w:numPr>
          <w:ilvl w:val="0"/>
          <w:numId w:val="0"/>
        </w:numPr>
      </w:pPr>
      <w:r w:rsidRPr="00962508">
        <w:t xml:space="preserve">Our aid investments </w:t>
      </w:r>
      <w:r w:rsidR="00BB0EE3">
        <w:t xml:space="preserve">are aligned with Laos’ development priorities as reflected in the NSEDPs. </w:t>
      </w:r>
      <w:r w:rsidR="001F21AB">
        <w:t xml:space="preserve">In </w:t>
      </w:r>
      <w:r w:rsidR="00BB0EE3">
        <w:t xml:space="preserve">order to ensure the effectiveness </w:t>
      </w:r>
      <w:r w:rsidR="001F21AB" w:rsidRPr="001F21AB">
        <w:t>of our aid investments</w:t>
      </w:r>
      <w:r w:rsidR="00BB0EE3">
        <w:t xml:space="preserve"> we are </w:t>
      </w:r>
      <w:r w:rsidR="001F21AB">
        <w:t>work</w:t>
      </w:r>
      <w:r w:rsidR="00BB0EE3">
        <w:t>ing</w:t>
      </w:r>
      <w:r w:rsidR="001F21AB">
        <w:t xml:space="preserve"> closely with the Lao Government to support </w:t>
      </w:r>
      <w:r w:rsidR="00BB0EE3">
        <w:t>a number of key policy initiatives</w:t>
      </w:r>
      <w:r w:rsidR="001F21AB">
        <w:t>.</w:t>
      </w:r>
    </w:p>
    <w:p w:rsidR="003C5696" w:rsidRPr="00962508" w:rsidRDefault="005609A3" w:rsidP="00BA6957">
      <w:pPr>
        <w:pStyle w:val="ListBullet"/>
        <w:numPr>
          <w:ilvl w:val="0"/>
          <w:numId w:val="0"/>
        </w:numPr>
        <w:tabs>
          <w:tab w:val="clear" w:pos="284"/>
        </w:tabs>
      </w:pPr>
      <w:r w:rsidRPr="00962508">
        <w:rPr>
          <w:szCs w:val="21"/>
        </w:rPr>
        <w:t xml:space="preserve">The Lao </w:t>
      </w:r>
      <w:r w:rsidR="00160EA8">
        <w:rPr>
          <w:szCs w:val="21"/>
        </w:rPr>
        <w:t>G</w:t>
      </w:r>
      <w:r w:rsidRPr="00962508">
        <w:rPr>
          <w:szCs w:val="21"/>
        </w:rPr>
        <w:t>overnment</w:t>
      </w:r>
      <w:r w:rsidR="00C64EB7" w:rsidRPr="00962508">
        <w:rPr>
          <w:szCs w:val="21"/>
        </w:rPr>
        <w:t xml:space="preserve"> prioritises education under its </w:t>
      </w:r>
      <w:r w:rsidR="00C64EB7" w:rsidRPr="00962508">
        <w:t xml:space="preserve">current and forthcoming </w:t>
      </w:r>
      <w:r w:rsidR="007F3963" w:rsidRPr="00962508">
        <w:t>NSEDP</w:t>
      </w:r>
      <w:r w:rsidR="00B01634" w:rsidRPr="00962508">
        <w:t xml:space="preserve"> and has </w:t>
      </w:r>
      <w:r w:rsidR="00B01634" w:rsidRPr="00962508">
        <w:rPr>
          <w:szCs w:val="21"/>
        </w:rPr>
        <w:t>c</w:t>
      </w:r>
      <w:r w:rsidR="00560E3C" w:rsidRPr="00962508">
        <w:rPr>
          <w:szCs w:val="21"/>
        </w:rPr>
        <w:t xml:space="preserve">ommitted to </w:t>
      </w:r>
      <w:r w:rsidR="008177C5" w:rsidRPr="00962508">
        <w:rPr>
          <w:szCs w:val="21"/>
        </w:rPr>
        <w:t>a national budget allocation of 17 per cent</w:t>
      </w:r>
      <w:r w:rsidR="003F2984" w:rsidRPr="00962508">
        <w:rPr>
          <w:szCs w:val="21"/>
        </w:rPr>
        <w:t xml:space="preserve"> to the education sector</w:t>
      </w:r>
      <w:r w:rsidR="008177C5" w:rsidRPr="00962508">
        <w:rPr>
          <w:szCs w:val="21"/>
        </w:rPr>
        <w:t xml:space="preserve"> by 2015</w:t>
      </w:r>
      <w:r w:rsidR="003F2984" w:rsidRPr="00962508">
        <w:rPr>
          <w:szCs w:val="21"/>
        </w:rPr>
        <w:t xml:space="preserve">. However, </w:t>
      </w:r>
      <w:r w:rsidR="007F3963" w:rsidRPr="00962508">
        <w:t xml:space="preserve">in 2014-15 </w:t>
      </w:r>
      <w:r w:rsidR="005A1D9B" w:rsidRPr="00962508">
        <w:t xml:space="preserve">the national spend on education was </w:t>
      </w:r>
      <w:r w:rsidR="008177C5" w:rsidRPr="00962508">
        <w:t>only 11.8 per cent</w:t>
      </w:r>
      <w:r w:rsidR="008177C5" w:rsidRPr="00962508">
        <w:rPr>
          <w:rStyle w:val="EndnoteReference"/>
        </w:rPr>
        <w:endnoteReference w:id="18"/>
      </w:r>
      <w:r w:rsidR="003F2984" w:rsidRPr="00962508">
        <w:t xml:space="preserve"> . A</w:t>
      </w:r>
      <w:r w:rsidR="00CA7ABA" w:rsidRPr="00962508">
        <w:t xml:space="preserve"> critically </w:t>
      </w:r>
      <w:r w:rsidR="005A1D9B" w:rsidRPr="00962508">
        <w:t xml:space="preserve">low </w:t>
      </w:r>
      <w:r w:rsidR="007F3963" w:rsidRPr="00962508">
        <w:t xml:space="preserve">non-wage </w:t>
      </w:r>
      <w:r w:rsidR="008177C5" w:rsidRPr="00962508">
        <w:t xml:space="preserve">recurrent budget and </w:t>
      </w:r>
      <w:r w:rsidR="005A1D9B" w:rsidRPr="00962508">
        <w:t xml:space="preserve">slow </w:t>
      </w:r>
      <w:r w:rsidR="003A43AF">
        <w:t xml:space="preserve">financial flows from </w:t>
      </w:r>
      <w:r w:rsidR="00E26880">
        <w:t xml:space="preserve">central government </w:t>
      </w:r>
      <w:r w:rsidR="008177C5" w:rsidRPr="00962508">
        <w:t xml:space="preserve">to schools </w:t>
      </w:r>
      <w:r w:rsidR="00DB4D87">
        <w:t>have been</w:t>
      </w:r>
      <w:r w:rsidR="008177C5" w:rsidRPr="00962508">
        <w:t xml:space="preserve"> </w:t>
      </w:r>
      <w:r w:rsidR="00CA7ABA" w:rsidRPr="00962508">
        <w:t xml:space="preserve">key </w:t>
      </w:r>
      <w:r w:rsidR="007F3963" w:rsidRPr="00962508">
        <w:t>impediment</w:t>
      </w:r>
      <w:r w:rsidR="00DB4D87">
        <w:t>s</w:t>
      </w:r>
      <w:r w:rsidR="003A43AF">
        <w:t xml:space="preserve">. The Lao </w:t>
      </w:r>
      <w:r w:rsidR="00160EA8">
        <w:t>G</w:t>
      </w:r>
      <w:r w:rsidR="008177C5" w:rsidRPr="00962508">
        <w:t xml:space="preserve">overnment made a commitment to disburse school block grants as a condition for receiving complementary grants through the </w:t>
      </w:r>
      <w:r w:rsidR="003A43AF">
        <w:t>GPE</w:t>
      </w:r>
      <w:r w:rsidR="00AA1B57">
        <w:t> </w:t>
      </w:r>
      <w:r w:rsidR="003A43AF">
        <w:t>2</w:t>
      </w:r>
      <w:r w:rsidR="008177C5" w:rsidRPr="00962508">
        <w:t>. However, due to the lack of non-wage recurrent budget, schools will not receive their operating grants for 2014-15 until 2015-16 and this delay is likely to be repeated next year.</w:t>
      </w:r>
      <w:r w:rsidR="003C5696" w:rsidRPr="00962508">
        <w:t xml:space="preserve"> Most of the </w:t>
      </w:r>
      <w:r w:rsidR="00C82468">
        <w:t>agreements</w:t>
      </w:r>
      <w:r w:rsidR="00C82468" w:rsidRPr="00962508">
        <w:t xml:space="preserve"> </w:t>
      </w:r>
      <w:r w:rsidR="003C5696" w:rsidRPr="00962508">
        <w:t>of the multi-donor Education Joint Sector Review Mission (JSRM) 2014 were not met. This is partly because MoES prioritised developing the sector plan and revising the law. The result may have also been due to staff turnover within MoES</w:t>
      </w:r>
      <w:r w:rsidR="003C5696" w:rsidRPr="005F2CB1">
        <w:t xml:space="preserve">. </w:t>
      </w:r>
      <w:r w:rsidR="00721584" w:rsidRPr="005F2CB1">
        <w:t>DFAT will advocate</w:t>
      </w:r>
      <w:r w:rsidR="00721584" w:rsidRPr="00962508">
        <w:t xml:space="preserve"> for the JSRM process to be re-evaluated </w:t>
      </w:r>
      <w:r w:rsidR="003D3087">
        <w:t>t</w:t>
      </w:r>
      <w:r w:rsidR="00C82468">
        <w:t xml:space="preserve">o improve </w:t>
      </w:r>
      <w:r w:rsidR="00DB4D87">
        <w:t>implementation</w:t>
      </w:r>
      <w:r w:rsidR="003A43AF">
        <w:t>.</w:t>
      </w:r>
    </w:p>
    <w:p w:rsidR="00790B3C" w:rsidRPr="00962508" w:rsidRDefault="004509C4" w:rsidP="00BA6957">
      <w:pPr>
        <w:pStyle w:val="ListBullet"/>
        <w:numPr>
          <w:ilvl w:val="0"/>
          <w:numId w:val="0"/>
        </w:numPr>
        <w:rPr>
          <w:szCs w:val="21"/>
        </w:rPr>
      </w:pPr>
      <w:r>
        <w:rPr>
          <w:szCs w:val="21"/>
        </w:rPr>
        <w:t xml:space="preserve">The Lao </w:t>
      </w:r>
      <w:r w:rsidR="00160EA8">
        <w:rPr>
          <w:szCs w:val="21"/>
        </w:rPr>
        <w:t>G</w:t>
      </w:r>
      <w:r>
        <w:rPr>
          <w:szCs w:val="21"/>
        </w:rPr>
        <w:t>overnment</w:t>
      </w:r>
      <w:r w:rsidRPr="00962508">
        <w:rPr>
          <w:szCs w:val="21"/>
        </w:rPr>
        <w:t xml:space="preserve"> </w:t>
      </w:r>
      <w:r w:rsidR="007F3963" w:rsidRPr="00962508">
        <w:rPr>
          <w:szCs w:val="21"/>
        </w:rPr>
        <w:t>has demonstrated</w:t>
      </w:r>
      <w:r w:rsidR="007236A3" w:rsidRPr="00962508">
        <w:rPr>
          <w:szCs w:val="21"/>
        </w:rPr>
        <w:t xml:space="preserve"> a</w:t>
      </w:r>
      <w:r w:rsidR="007F3963" w:rsidRPr="00962508">
        <w:rPr>
          <w:szCs w:val="21"/>
        </w:rPr>
        <w:t xml:space="preserve"> strong push towards economic resilience </w:t>
      </w:r>
      <w:r w:rsidR="003A43AF">
        <w:rPr>
          <w:szCs w:val="21"/>
        </w:rPr>
        <w:t>by focusing</w:t>
      </w:r>
      <w:r w:rsidR="007F3963" w:rsidRPr="00962508">
        <w:rPr>
          <w:szCs w:val="21"/>
        </w:rPr>
        <w:t xml:space="preserve"> o</w:t>
      </w:r>
      <w:r>
        <w:rPr>
          <w:szCs w:val="21"/>
        </w:rPr>
        <w:t>n</w:t>
      </w:r>
      <w:r w:rsidR="007F3963" w:rsidRPr="00962508">
        <w:rPr>
          <w:szCs w:val="21"/>
        </w:rPr>
        <w:t xml:space="preserve"> national policies and guidelines that enable financial inclusion and social protection for the poor. </w:t>
      </w:r>
      <w:r>
        <w:rPr>
          <w:szCs w:val="21"/>
        </w:rPr>
        <w:t>It</w:t>
      </w:r>
      <w:r w:rsidR="007F3963" w:rsidRPr="00962508">
        <w:rPr>
          <w:szCs w:val="21"/>
        </w:rPr>
        <w:t xml:space="preserve"> supported enabling policies and guidelines to facilitate the </w:t>
      </w:r>
      <w:r w:rsidR="007F3963" w:rsidRPr="00962508">
        <w:t>promotion</w:t>
      </w:r>
      <w:r w:rsidR="007F3963" w:rsidRPr="00962508">
        <w:rPr>
          <w:szCs w:val="21"/>
        </w:rPr>
        <w:t xml:space="preserve"> and expansion of micro</w:t>
      </w:r>
      <w:r w:rsidR="005F2CB1">
        <w:rPr>
          <w:szCs w:val="21"/>
        </w:rPr>
        <w:t>-finance institutions, introduction of</w:t>
      </w:r>
      <w:r w:rsidR="007F3963" w:rsidRPr="00962508">
        <w:rPr>
          <w:szCs w:val="21"/>
        </w:rPr>
        <w:t xml:space="preserve"> branchless banking and mobile banking for the poor, and ensur</w:t>
      </w:r>
      <w:r w:rsidR="0015151F">
        <w:rPr>
          <w:szCs w:val="21"/>
        </w:rPr>
        <w:t>ing</w:t>
      </w:r>
      <w:r w:rsidR="007F3963" w:rsidRPr="00962508">
        <w:rPr>
          <w:szCs w:val="21"/>
        </w:rPr>
        <w:t xml:space="preserve"> better consumer protection through financial education. </w:t>
      </w:r>
      <w:r w:rsidR="00CA7ABA" w:rsidRPr="00962508">
        <w:rPr>
          <w:szCs w:val="21"/>
        </w:rPr>
        <w:t xml:space="preserve">It </w:t>
      </w:r>
      <w:r w:rsidR="00DB4D87">
        <w:rPr>
          <w:szCs w:val="21"/>
        </w:rPr>
        <w:t xml:space="preserve">has </w:t>
      </w:r>
      <w:r w:rsidR="00CA7ABA" w:rsidRPr="00962508">
        <w:rPr>
          <w:szCs w:val="21"/>
        </w:rPr>
        <w:t xml:space="preserve">also included social protection as a national strategic priority in the </w:t>
      </w:r>
      <w:r>
        <w:rPr>
          <w:szCs w:val="21"/>
        </w:rPr>
        <w:t xml:space="preserve">draft </w:t>
      </w:r>
      <w:r w:rsidR="00CA7ABA" w:rsidRPr="00962508">
        <w:rPr>
          <w:szCs w:val="21"/>
        </w:rPr>
        <w:t xml:space="preserve">8th NSEDP. However, </w:t>
      </w:r>
      <w:r w:rsidR="00D43BA9" w:rsidRPr="00D43BA9">
        <w:rPr>
          <w:szCs w:val="21"/>
        </w:rPr>
        <w:t>restrictive regulatory requirements and fiscal uncertainty delayed the implementation of our livelihoods program resulting in fewer beneficiaries</w:t>
      </w:r>
      <w:r w:rsidR="00D43BA9">
        <w:rPr>
          <w:szCs w:val="21"/>
        </w:rPr>
        <w:t>.</w:t>
      </w:r>
      <w:r w:rsidR="00B15145">
        <w:rPr>
          <w:szCs w:val="21"/>
        </w:rPr>
        <w:t xml:space="preserve"> </w:t>
      </w:r>
      <w:r w:rsidR="00790B3C">
        <w:rPr>
          <w:szCs w:val="21"/>
        </w:rPr>
        <w:t xml:space="preserve">Australia will work with other development partners to minimise the risk that our </w:t>
      </w:r>
      <w:r w:rsidR="00B15145">
        <w:rPr>
          <w:szCs w:val="21"/>
        </w:rPr>
        <w:t>exit from rural development</w:t>
      </w:r>
      <w:r w:rsidR="00DF16FE">
        <w:rPr>
          <w:szCs w:val="21"/>
        </w:rPr>
        <w:t xml:space="preserve"> </w:t>
      </w:r>
      <w:r w:rsidR="00790B3C">
        <w:rPr>
          <w:szCs w:val="21"/>
        </w:rPr>
        <w:t>will affect</w:t>
      </w:r>
      <w:r w:rsidR="00DF16FE">
        <w:rPr>
          <w:szCs w:val="21"/>
        </w:rPr>
        <w:t xml:space="preserve"> </w:t>
      </w:r>
      <w:r w:rsidR="00B15145">
        <w:rPr>
          <w:szCs w:val="21"/>
        </w:rPr>
        <w:t xml:space="preserve">the Lao </w:t>
      </w:r>
      <w:r w:rsidR="00160EA8">
        <w:rPr>
          <w:szCs w:val="21"/>
        </w:rPr>
        <w:t>G</w:t>
      </w:r>
      <w:r w:rsidR="00DB4D87">
        <w:rPr>
          <w:szCs w:val="21"/>
        </w:rPr>
        <w:t>o</w:t>
      </w:r>
      <w:r w:rsidR="00B15145">
        <w:rPr>
          <w:szCs w:val="21"/>
        </w:rPr>
        <w:t>vernment</w:t>
      </w:r>
      <w:r w:rsidR="00DF16FE">
        <w:rPr>
          <w:szCs w:val="21"/>
        </w:rPr>
        <w:t xml:space="preserve">'s ability to </w:t>
      </w:r>
      <w:r w:rsidR="00DB4D87">
        <w:rPr>
          <w:szCs w:val="21"/>
        </w:rPr>
        <w:t xml:space="preserve">advance </w:t>
      </w:r>
      <w:r w:rsidR="00B15145">
        <w:rPr>
          <w:szCs w:val="21"/>
        </w:rPr>
        <w:t xml:space="preserve">its commitments on </w:t>
      </w:r>
      <w:r w:rsidR="00B15145" w:rsidRPr="00BE4334">
        <w:rPr>
          <w:szCs w:val="21"/>
        </w:rPr>
        <w:t>financial inclusion and social protection</w:t>
      </w:r>
      <w:r w:rsidR="00B15145">
        <w:rPr>
          <w:szCs w:val="21"/>
        </w:rPr>
        <w:t>.</w:t>
      </w:r>
    </w:p>
    <w:p w:rsidR="008177C5" w:rsidRPr="00962508" w:rsidRDefault="00604388" w:rsidP="00BA6957">
      <w:pPr>
        <w:pStyle w:val="ListBullet"/>
        <w:numPr>
          <w:ilvl w:val="0"/>
          <w:numId w:val="0"/>
        </w:numPr>
        <w:rPr>
          <w:szCs w:val="21"/>
        </w:rPr>
      </w:pPr>
      <w:r w:rsidRPr="00962508">
        <w:rPr>
          <w:szCs w:val="21"/>
        </w:rPr>
        <w:t xml:space="preserve">The </w:t>
      </w:r>
      <w:r w:rsidR="00DB4D87">
        <w:rPr>
          <w:szCs w:val="21"/>
        </w:rPr>
        <w:t xml:space="preserve">Lao </w:t>
      </w:r>
      <w:r w:rsidR="00B01634" w:rsidRPr="00962508">
        <w:rPr>
          <w:szCs w:val="21"/>
        </w:rPr>
        <w:t xml:space="preserve">Prime Minister’s Office </w:t>
      </w:r>
      <w:r w:rsidR="004509C4">
        <w:rPr>
          <w:szCs w:val="21"/>
        </w:rPr>
        <w:t xml:space="preserve">has </w:t>
      </w:r>
      <w:r w:rsidR="00B01634" w:rsidRPr="00962508">
        <w:rPr>
          <w:szCs w:val="21"/>
        </w:rPr>
        <w:t>play</w:t>
      </w:r>
      <w:r w:rsidR="004509C4">
        <w:rPr>
          <w:szCs w:val="21"/>
        </w:rPr>
        <w:t>ed</w:t>
      </w:r>
      <w:r w:rsidR="003A43AF">
        <w:rPr>
          <w:szCs w:val="21"/>
        </w:rPr>
        <w:t xml:space="preserve"> an important </w:t>
      </w:r>
      <w:r w:rsidR="00B01634" w:rsidRPr="00962508">
        <w:rPr>
          <w:szCs w:val="21"/>
        </w:rPr>
        <w:t xml:space="preserve">leadership role in </w:t>
      </w:r>
      <w:r w:rsidR="0015151F" w:rsidRPr="00962508">
        <w:rPr>
          <w:szCs w:val="21"/>
        </w:rPr>
        <w:t>implementin</w:t>
      </w:r>
      <w:r w:rsidR="0015151F">
        <w:rPr>
          <w:szCs w:val="21"/>
        </w:rPr>
        <w:t>g</w:t>
      </w:r>
      <w:r w:rsidR="0015151F" w:rsidRPr="00962508">
        <w:rPr>
          <w:szCs w:val="21"/>
        </w:rPr>
        <w:t xml:space="preserve"> </w:t>
      </w:r>
      <w:r w:rsidR="00B01634" w:rsidRPr="00962508">
        <w:rPr>
          <w:szCs w:val="21"/>
        </w:rPr>
        <w:t>PRF II</w:t>
      </w:r>
      <w:r w:rsidR="00DB4D87">
        <w:rPr>
          <w:szCs w:val="21"/>
        </w:rPr>
        <w:t>, facilitating a contribution of</w:t>
      </w:r>
      <w:r w:rsidR="008177C5" w:rsidRPr="00962508">
        <w:rPr>
          <w:szCs w:val="21"/>
        </w:rPr>
        <w:t xml:space="preserve"> US$10</w:t>
      </w:r>
      <w:r w:rsidR="00721584" w:rsidRPr="00962508">
        <w:rPr>
          <w:szCs w:val="21"/>
        </w:rPr>
        <w:t xml:space="preserve"> </w:t>
      </w:r>
      <w:r w:rsidR="008177C5" w:rsidRPr="00962508">
        <w:rPr>
          <w:szCs w:val="21"/>
        </w:rPr>
        <w:t>m</w:t>
      </w:r>
      <w:r w:rsidR="00721584" w:rsidRPr="00962508">
        <w:rPr>
          <w:szCs w:val="21"/>
        </w:rPr>
        <w:t>illion</w:t>
      </w:r>
      <w:r w:rsidR="008177C5" w:rsidRPr="00962508">
        <w:rPr>
          <w:szCs w:val="21"/>
        </w:rPr>
        <w:t xml:space="preserve"> from the national budget for PRF </w:t>
      </w:r>
      <w:r w:rsidR="00DB4D87">
        <w:rPr>
          <w:szCs w:val="21"/>
        </w:rPr>
        <w:t xml:space="preserve">II </w:t>
      </w:r>
      <w:r w:rsidR="008177C5" w:rsidRPr="00962508">
        <w:rPr>
          <w:szCs w:val="21"/>
        </w:rPr>
        <w:t xml:space="preserve">infrastructure projects. </w:t>
      </w:r>
      <w:r w:rsidR="00B01634" w:rsidRPr="00962508">
        <w:rPr>
          <w:szCs w:val="21"/>
        </w:rPr>
        <w:t xml:space="preserve">The Lao </w:t>
      </w:r>
      <w:r w:rsidR="00160EA8">
        <w:rPr>
          <w:szCs w:val="21"/>
        </w:rPr>
        <w:t>G</w:t>
      </w:r>
      <w:r w:rsidR="00B01634" w:rsidRPr="00962508">
        <w:rPr>
          <w:szCs w:val="21"/>
        </w:rPr>
        <w:t>ove</w:t>
      </w:r>
      <w:r w:rsidR="00E46E9F">
        <w:rPr>
          <w:szCs w:val="21"/>
        </w:rPr>
        <w:t>rnment is on track to complete</w:t>
      </w:r>
      <w:r w:rsidR="00B01634" w:rsidRPr="00962508">
        <w:rPr>
          <w:szCs w:val="21"/>
        </w:rPr>
        <w:t xml:space="preserve"> its financial commitment, with U</w:t>
      </w:r>
      <w:r w:rsidR="008177C5" w:rsidRPr="00962508">
        <w:rPr>
          <w:szCs w:val="21"/>
        </w:rPr>
        <w:t>S$6</w:t>
      </w:r>
      <w:r w:rsidR="00721584" w:rsidRPr="00962508">
        <w:rPr>
          <w:szCs w:val="21"/>
        </w:rPr>
        <w:t xml:space="preserve"> </w:t>
      </w:r>
      <w:r w:rsidR="008177C5" w:rsidRPr="00962508">
        <w:rPr>
          <w:szCs w:val="21"/>
        </w:rPr>
        <w:t>m</w:t>
      </w:r>
      <w:r w:rsidR="00721584" w:rsidRPr="00962508">
        <w:rPr>
          <w:szCs w:val="21"/>
        </w:rPr>
        <w:t>illion</w:t>
      </w:r>
      <w:r w:rsidR="00B01634" w:rsidRPr="00962508">
        <w:rPr>
          <w:szCs w:val="21"/>
        </w:rPr>
        <w:t xml:space="preserve"> disbursed to date and </w:t>
      </w:r>
      <w:r w:rsidR="008177C5" w:rsidRPr="00962508">
        <w:rPr>
          <w:szCs w:val="21"/>
        </w:rPr>
        <w:t xml:space="preserve">the remaining amount </w:t>
      </w:r>
      <w:r w:rsidR="00560E3C" w:rsidRPr="00962508">
        <w:rPr>
          <w:szCs w:val="21"/>
        </w:rPr>
        <w:t>to</w:t>
      </w:r>
      <w:r w:rsidR="008177C5" w:rsidRPr="00962508">
        <w:rPr>
          <w:szCs w:val="21"/>
        </w:rPr>
        <w:t xml:space="preserve"> be disbursed over the next two years (2015-16 and 2016-17).  </w:t>
      </w:r>
    </w:p>
    <w:p w:rsidR="00560E3C" w:rsidRPr="00962508" w:rsidRDefault="00560E3C" w:rsidP="00BA6957">
      <w:pPr>
        <w:pStyle w:val="Heading2"/>
        <w:rPr>
          <w:i/>
          <w:sz w:val="28"/>
        </w:rPr>
      </w:pPr>
      <w:r w:rsidRPr="00962508">
        <w:rPr>
          <w:sz w:val="28"/>
        </w:rPr>
        <w:t>Program Quality and Partner Performance</w:t>
      </w:r>
    </w:p>
    <w:p w:rsidR="000D733F" w:rsidRPr="00962508" w:rsidRDefault="00906A81" w:rsidP="00BA6957">
      <w:pPr>
        <w:pStyle w:val="Heading3"/>
      </w:pPr>
      <w:r w:rsidRPr="00962508">
        <w:t>Overview</w:t>
      </w:r>
      <w:r w:rsidR="000D733F" w:rsidRPr="00962508">
        <w:tab/>
      </w:r>
      <w:r w:rsidR="000D733F" w:rsidRPr="00962508">
        <w:tab/>
      </w:r>
    </w:p>
    <w:p w:rsidR="00222C75" w:rsidRPr="00962508" w:rsidRDefault="00222C75" w:rsidP="00BA6957">
      <w:pPr>
        <w:pStyle w:val="ListBullet"/>
        <w:numPr>
          <w:ilvl w:val="0"/>
          <w:numId w:val="0"/>
        </w:numPr>
      </w:pPr>
      <w:r w:rsidRPr="00962508">
        <w:t>The performance assessment framework for the program has been adjusted from time</w:t>
      </w:r>
      <w:r w:rsidR="004509C4">
        <w:t>-</w:t>
      </w:r>
      <w:r w:rsidRPr="00962508">
        <w:t>to</w:t>
      </w:r>
      <w:r w:rsidR="004509C4">
        <w:t>-</w:t>
      </w:r>
      <w:r w:rsidRPr="00962508">
        <w:t>time to reflect major developments</w:t>
      </w:r>
      <w:r w:rsidR="00946D8F">
        <w:t>,</w:t>
      </w:r>
      <w:r w:rsidRPr="00962508">
        <w:t xml:space="preserve"> </w:t>
      </w:r>
      <w:r w:rsidR="004566AA" w:rsidRPr="00962508">
        <w:t>including</w:t>
      </w:r>
      <w:r w:rsidRPr="00962508">
        <w:t xml:space="preserve"> the development of delivery strategies for our education and rural development engagement and major new aid investments such as </w:t>
      </w:r>
      <w:r w:rsidR="003A43AF">
        <w:t>BEQ</w:t>
      </w:r>
      <w:r w:rsidR="0015151F">
        <w:t>U</w:t>
      </w:r>
      <w:r w:rsidR="003A43AF">
        <w:t>AL, LARLP and TDF 2</w:t>
      </w:r>
      <w:r w:rsidRPr="00962508">
        <w:t>.</w:t>
      </w:r>
    </w:p>
    <w:p w:rsidR="00222C75" w:rsidRPr="00962508" w:rsidRDefault="004509C4" w:rsidP="00BA6957">
      <w:pPr>
        <w:pStyle w:val="ListBullet"/>
        <w:numPr>
          <w:ilvl w:val="0"/>
          <w:numId w:val="0"/>
        </w:numPr>
      </w:pPr>
      <w:r w:rsidRPr="00726458">
        <w:t>Although t</w:t>
      </w:r>
      <w:r w:rsidR="00222C75" w:rsidRPr="00726458">
        <w:t>he program’s major aid investments generally have</w:t>
      </w:r>
      <w:r w:rsidRPr="00726458">
        <w:t xml:space="preserve"> had a strong record, </w:t>
      </w:r>
      <w:r w:rsidR="00222C75" w:rsidRPr="00726458">
        <w:t>monitoring and evaluation</w:t>
      </w:r>
      <w:r w:rsidRPr="00726458">
        <w:t xml:space="preserve"> </w:t>
      </w:r>
      <w:r w:rsidR="00222C75" w:rsidRPr="00726458">
        <w:t xml:space="preserve">of the </w:t>
      </w:r>
      <w:r w:rsidR="003A43AF">
        <w:t>EFA--FTI</w:t>
      </w:r>
      <w:r w:rsidR="00222C75" w:rsidRPr="00726458">
        <w:t xml:space="preserve"> and the Laos Basic Education School Meals and </w:t>
      </w:r>
      <w:r w:rsidR="000A3D12">
        <w:t xml:space="preserve">Water, Sanitation and Hygiene activities </w:t>
      </w:r>
      <w:r w:rsidR="00222C75" w:rsidRPr="00726458">
        <w:t>were rated as unsatisfactory in 2014-15.</w:t>
      </w:r>
    </w:p>
    <w:p w:rsidR="00222C75" w:rsidRPr="00962508" w:rsidRDefault="00222C75" w:rsidP="00BA6957">
      <w:pPr>
        <w:pStyle w:val="ListBullet"/>
        <w:numPr>
          <w:ilvl w:val="0"/>
          <w:numId w:val="0"/>
        </w:numPr>
      </w:pPr>
      <w:r w:rsidRPr="00962508">
        <w:t xml:space="preserve">In </w:t>
      </w:r>
      <w:r w:rsidR="003A43AF">
        <w:t xml:space="preserve">2014-15 independent evaluations or </w:t>
      </w:r>
      <w:r w:rsidRPr="00962508">
        <w:t xml:space="preserve">reviews were conducted for the </w:t>
      </w:r>
      <w:r w:rsidR="003A43AF">
        <w:t xml:space="preserve">TDF 2, </w:t>
      </w:r>
      <w:r w:rsidR="00FF7B66">
        <w:t xml:space="preserve">LANGOCA </w:t>
      </w:r>
      <w:r w:rsidR="00C51780" w:rsidRPr="00962508">
        <w:t>and the EFA-FTI</w:t>
      </w:r>
      <w:r w:rsidRPr="00962508">
        <w:t xml:space="preserve">. These assessments found that </w:t>
      </w:r>
      <w:r w:rsidR="001234D0">
        <w:t xml:space="preserve">TDF 2 </w:t>
      </w:r>
      <w:r w:rsidR="00BD0E6E">
        <w:t xml:space="preserve">and LANGOCA </w:t>
      </w:r>
      <w:r w:rsidR="001234D0">
        <w:t>had generally performed</w:t>
      </w:r>
      <w:r w:rsidRPr="00962508">
        <w:t xml:space="preserve"> well. </w:t>
      </w:r>
      <w:r w:rsidR="001234D0">
        <w:t>T</w:t>
      </w:r>
      <w:r w:rsidRPr="001234D0">
        <w:t xml:space="preserve">he </w:t>
      </w:r>
      <w:r w:rsidR="0015151F">
        <w:t xml:space="preserve">2014 </w:t>
      </w:r>
      <w:r w:rsidR="00C51780" w:rsidRPr="001234D0">
        <w:t xml:space="preserve">independent evaluation of </w:t>
      </w:r>
      <w:r w:rsidR="00CD0287" w:rsidRPr="001234D0">
        <w:t xml:space="preserve">the </w:t>
      </w:r>
      <w:r w:rsidR="00C51780" w:rsidRPr="001234D0">
        <w:t>EFA-FTI found most</w:t>
      </w:r>
      <w:r w:rsidR="00CF589F">
        <w:t xml:space="preserve"> </w:t>
      </w:r>
      <w:r w:rsidR="00C51780" w:rsidRPr="001234D0">
        <w:t>quality components of the program were unsatisfactory.</w:t>
      </w:r>
      <w:r w:rsidR="00B9343A">
        <w:t xml:space="preserve">  These findings </w:t>
      </w:r>
      <w:r w:rsidR="00E504AD">
        <w:t>provided further evidence to support</w:t>
      </w:r>
      <w:r w:rsidR="00FF7B66">
        <w:t xml:space="preserve"> decisions made with BEQUAL</w:t>
      </w:r>
      <w:r w:rsidR="00C51780" w:rsidRPr="00962508">
        <w:t xml:space="preserve"> </w:t>
      </w:r>
      <w:r w:rsidR="00B9343A">
        <w:t xml:space="preserve">to </w:t>
      </w:r>
      <w:r w:rsidR="00B9343A">
        <w:lastRenderedPageBreak/>
        <w:t xml:space="preserve">lift </w:t>
      </w:r>
      <w:r w:rsidR="00E504AD">
        <w:t xml:space="preserve">the </w:t>
      </w:r>
      <w:r w:rsidR="00B9343A">
        <w:t xml:space="preserve">attention </w:t>
      </w:r>
      <w:r w:rsidR="00E504AD">
        <w:t xml:space="preserve">devoted to </w:t>
      </w:r>
      <w:r w:rsidR="00B9343A">
        <w:t xml:space="preserve">quality. </w:t>
      </w:r>
      <w:r w:rsidR="00C51780" w:rsidRPr="00962508">
        <w:t xml:space="preserve">The </w:t>
      </w:r>
      <w:r w:rsidR="003A43AF">
        <w:t>TDF 2</w:t>
      </w:r>
      <w:r w:rsidRPr="00962508">
        <w:t xml:space="preserve"> review recommended increased attention on coordination across Lao </w:t>
      </w:r>
      <w:r w:rsidR="005D196B">
        <w:t>Government</w:t>
      </w:r>
      <w:r w:rsidRPr="00962508">
        <w:t xml:space="preserve"> departments, gender </w:t>
      </w:r>
      <w:r w:rsidR="00E22BD8" w:rsidRPr="00962508">
        <w:t xml:space="preserve">equality </w:t>
      </w:r>
      <w:r w:rsidRPr="00962508">
        <w:t>and communication of program outcomes and activities.</w:t>
      </w:r>
      <w:r w:rsidR="00B9343A">
        <w:t xml:space="preserve"> These findings will influence our future engagement with the program.</w:t>
      </w:r>
    </w:p>
    <w:p w:rsidR="00222C75" w:rsidRPr="00962508" w:rsidRDefault="00222C75" w:rsidP="00BA6957">
      <w:pPr>
        <w:pStyle w:val="ListBullet"/>
        <w:numPr>
          <w:ilvl w:val="0"/>
          <w:numId w:val="0"/>
        </w:numPr>
      </w:pPr>
      <w:r w:rsidRPr="00962508">
        <w:t>The program also conducted two major sector-level engagement reviews – the rural development sector investment plan mid-term rapid appraisal and an independent evaluation of Australia’s support to the UXO sector in Laos. The findings of the sector investment plan mid</w:t>
      </w:r>
      <w:r w:rsidR="004509C4">
        <w:t>-</w:t>
      </w:r>
      <w:r w:rsidRPr="00962508">
        <w:t xml:space="preserve">term review, combined with program budget cuts, resulted in a significant restructuring of </w:t>
      </w:r>
      <w:r w:rsidR="003A43AF">
        <w:t>LARLP</w:t>
      </w:r>
      <w:r w:rsidRPr="00962508">
        <w:t xml:space="preserve">. Plans to adjust our UXO sector engagement as a result of the findings of the independent evaluation have been overtaken by program budget </w:t>
      </w:r>
      <w:r w:rsidR="003A43AF">
        <w:t>reductions</w:t>
      </w:r>
      <w:r w:rsidRPr="00962508">
        <w:t xml:space="preserve"> which will see us withdrawing </w:t>
      </w:r>
      <w:r w:rsidR="0000303C" w:rsidRPr="00962508">
        <w:t xml:space="preserve">almost completely </w:t>
      </w:r>
      <w:r w:rsidRPr="00962508">
        <w:t>from the UXO sector.</w:t>
      </w:r>
    </w:p>
    <w:p w:rsidR="00DB4D87" w:rsidRDefault="00222C75" w:rsidP="00BA6957">
      <w:pPr>
        <w:pStyle w:val="ListBullet"/>
        <w:numPr>
          <w:ilvl w:val="0"/>
          <w:numId w:val="0"/>
        </w:numPr>
      </w:pPr>
      <w:r w:rsidRPr="00962508">
        <w:t>The program has made strong efforts to consolidate the number of aid investments supported</w:t>
      </w:r>
      <w:r w:rsidR="00B60AAA" w:rsidRPr="00962508">
        <w:t>, which</w:t>
      </w:r>
      <w:r w:rsidR="004509C4">
        <w:t xml:space="preserve"> ha</w:t>
      </w:r>
      <w:r w:rsidR="00EC1EC3">
        <w:t>s</w:t>
      </w:r>
      <w:r w:rsidR="004509C4" w:rsidRPr="00962508">
        <w:t xml:space="preserve"> </w:t>
      </w:r>
      <w:r w:rsidR="004509C4">
        <w:t>decreased</w:t>
      </w:r>
      <w:r w:rsidRPr="00962508">
        <w:t xml:space="preserve"> from </w:t>
      </w:r>
      <w:r w:rsidR="000B092C">
        <w:t>25</w:t>
      </w:r>
      <w:r w:rsidR="000B092C" w:rsidRPr="00962508">
        <w:t xml:space="preserve"> </w:t>
      </w:r>
      <w:r w:rsidRPr="00962508">
        <w:t xml:space="preserve">in 2013-14 to </w:t>
      </w:r>
      <w:r w:rsidR="000B092C">
        <w:t>16</w:t>
      </w:r>
      <w:r w:rsidR="000B092C" w:rsidRPr="00962508">
        <w:t xml:space="preserve"> </w:t>
      </w:r>
      <w:r w:rsidRPr="00962508">
        <w:t>in 2014-15.</w:t>
      </w:r>
    </w:p>
    <w:p w:rsidR="00B15145" w:rsidRPr="00962508" w:rsidRDefault="00B15145" w:rsidP="00BA6957">
      <w:pPr>
        <w:pStyle w:val="ListBullet"/>
        <w:numPr>
          <w:ilvl w:val="0"/>
          <w:numId w:val="0"/>
        </w:numPr>
      </w:pPr>
      <w:r>
        <w:t xml:space="preserve">Portfolio-level performance and quality was strengthened through the support of the Laos Australia Development Learning Facility (LADLF). The Facility supported the Rural Development Portfolio with strategic analytical products that assisted in program planning and cross-portfolio lessons learning. </w:t>
      </w:r>
      <w:r w:rsidR="00DB4D87">
        <w:t>Research considered</w:t>
      </w:r>
      <w:r>
        <w:t xml:space="preserve"> the </w:t>
      </w:r>
      <w:r w:rsidRPr="00001F60">
        <w:t xml:space="preserve">key drivers of vulnerability </w:t>
      </w:r>
      <w:r w:rsidR="00DF16FE">
        <w:t>at different</w:t>
      </w:r>
      <w:r w:rsidRPr="00001F60">
        <w:t xml:space="preserve"> life </w:t>
      </w:r>
      <w:r w:rsidR="00DF16FE">
        <w:t>stages</w:t>
      </w:r>
      <w:r>
        <w:t>, improving post-clearance impact assessment capacity of UXO Lao, and commercial sector resources leveraged by Australia’s rural development investments in inclusive finance.</w:t>
      </w:r>
    </w:p>
    <w:p w:rsidR="000D733F" w:rsidRPr="00962508" w:rsidRDefault="000D733F" w:rsidP="00BA6957">
      <w:pPr>
        <w:pStyle w:val="Heading3"/>
      </w:pPr>
      <w:r w:rsidRPr="00962508">
        <w:t xml:space="preserve">Analysis of </w:t>
      </w:r>
      <w:r w:rsidR="000D2CDD" w:rsidRPr="00962508">
        <w:t xml:space="preserve">Aid </w:t>
      </w:r>
      <w:r w:rsidRPr="00962508">
        <w:t xml:space="preserve">Quality </w:t>
      </w:r>
      <w:r w:rsidR="000D2CDD" w:rsidRPr="00962508">
        <w:t xml:space="preserve">Checks </w:t>
      </w:r>
      <w:r w:rsidR="0007149C" w:rsidRPr="00962508">
        <w:t>(AQCs)</w:t>
      </w:r>
    </w:p>
    <w:p w:rsidR="0065389A" w:rsidRDefault="0065389A" w:rsidP="00BA6957">
      <w:pPr>
        <w:pStyle w:val="ListBullet"/>
        <w:numPr>
          <w:ilvl w:val="0"/>
          <w:numId w:val="0"/>
        </w:numPr>
      </w:pPr>
      <w:r>
        <w:t>Largely</w:t>
      </w:r>
      <w:r w:rsidR="00DB4D87">
        <w:t xml:space="preserve"> due to implementation delays, o</w:t>
      </w:r>
      <w:r w:rsidR="00BD3969" w:rsidRPr="00962508">
        <w:t>verall program quality in 2014-15 deteriorated</w:t>
      </w:r>
      <w:r w:rsidR="00EC1EC3">
        <w:t xml:space="preserve"> somewhat</w:t>
      </w:r>
      <w:r w:rsidR="00BD3969" w:rsidRPr="00962508">
        <w:t xml:space="preserve"> compared to that for 2013-14 (see Table of AQC ratings at Annex </w:t>
      </w:r>
      <w:r w:rsidR="00356AA1">
        <w:t>E</w:t>
      </w:r>
      <w:r w:rsidR="00BD3969" w:rsidRPr="00962508">
        <w:t xml:space="preserve">). Across six </w:t>
      </w:r>
      <w:r w:rsidR="00593747" w:rsidRPr="00962508">
        <w:t>on-going investments</w:t>
      </w:r>
      <w:r w:rsidR="00FD45E4" w:rsidRPr="00962508">
        <w:rPr>
          <w:rStyle w:val="EndnoteReference"/>
        </w:rPr>
        <w:endnoteReference w:id="19"/>
      </w:r>
      <w:r w:rsidR="00BD3969" w:rsidRPr="00962508">
        <w:t xml:space="preserve"> three were assessed as unsatisfactory </w:t>
      </w:r>
      <w:r w:rsidR="00593747" w:rsidRPr="00962508">
        <w:t xml:space="preserve">for </w:t>
      </w:r>
      <w:r w:rsidR="00BD3969" w:rsidRPr="00962508">
        <w:t xml:space="preserve">effectiveness </w:t>
      </w:r>
      <w:r w:rsidR="00013E23" w:rsidRPr="00962508">
        <w:t>and/</w:t>
      </w:r>
      <w:r w:rsidR="00BD3969" w:rsidRPr="00962508">
        <w:t xml:space="preserve">or efficiency </w:t>
      </w:r>
      <w:r w:rsidR="00593747" w:rsidRPr="00962508">
        <w:t xml:space="preserve">criteria </w:t>
      </w:r>
      <w:r w:rsidR="00BD3969" w:rsidRPr="00962508">
        <w:t>compared to 2013-14</w:t>
      </w:r>
      <w:r w:rsidR="003F2984" w:rsidRPr="00962508">
        <w:t>,</w:t>
      </w:r>
      <w:r w:rsidR="00BD3969" w:rsidRPr="00962508">
        <w:t xml:space="preserve"> where only </w:t>
      </w:r>
      <w:r w:rsidR="00593747" w:rsidRPr="00962508">
        <w:t xml:space="preserve">one investment was </w:t>
      </w:r>
      <w:r w:rsidR="00BD3969" w:rsidRPr="00962508">
        <w:t>regarded as unsatisfactory</w:t>
      </w:r>
      <w:r w:rsidR="00593747" w:rsidRPr="00962508">
        <w:t xml:space="preserve"> on effectiveness</w:t>
      </w:r>
      <w:r w:rsidR="00861E13" w:rsidRPr="00962508">
        <w:t xml:space="preserve"> and efficiency</w:t>
      </w:r>
      <w:r w:rsidR="00EC7E63" w:rsidRPr="00962508">
        <w:t xml:space="preserve"> criteria</w:t>
      </w:r>
      <w:r w:rsidR="003A43AF">
        <w:t xml:space="preserve">. Two </w:t>
      </w:r>
      <w:r w:rsidR="0080596F">
        <w:t>investments</w:t>
      </w:r>
      <w:r w:rsidR="003A43AF">
        <w:t>,</w:t>
      </w:r>
      <w:r w:rsidR="00BD3969" w:rsidRPr="00962508">
        <w:t xml:space="preserve"> </w:t>
      </w:r>
      <w:r w:rsidR="003A43AF">
        <w:t>LARLP</w:t>
      </w:r>
      <w:r w:rsidR="003A43AF" w:rsidRPr="00962508">
        <w:t xml:space="preserve"> </w:t>
      </w:r>
      <w:r w:rsidR="00BD3969" w:rsidRPr="00962508">
        <w:t>and the Support for UXO action in Laos</w:t>
      </w:r>
      <w:r w:rsidR="004509C4">
        <w:t xml:space="preserve"> </w:t>
      </w:r>
      <w:r w:rsidR="00DB4D87">
        <w:t>were</w:t>
      </w:r>
      <w:r w:rsidR="00BD3969" w:rsidRPr="00962508">
        <w:t xml:space="preserve"> identified </w:t>
      </w:r>
      <w:r w:rsidR="00171779">
        <w:t xml:space="preserve">as investments requiring </w:t>
      </w:r>
      <w:r w:rsidR="00BD3969" w:rsidRPr="00962508">
        <w:t xml:space="preserve">improvement. Remedial action has already been successfully undertaken, with activity approvals from the Lao </w:t>
      </w:r>
      <w:r w:rsidR="00160EA8">
        <w:t>G</w:t>
      </w:r>
      <w:r w:rsidR="00BD3969" w:rsidRPr="00962508">
        <w:t xml:space="preserve">overnment now obtained and activity components and budgets adjusted. The UXO program </w:t>
      </w:r>
      <w:r w:rsidR="004509C4">
        <w:t>has been</w:t>
      </w:r>
      <w:r w:rsidR="004509C4" w:rsidRPr="00962508">
        <w:t xml:space="preserve"> </w:t>
      </w:r>
      <w:r w:rsidR="00BD3969" w:rsidRPr="00962508">
        <w:t xml:space="preserve">performing satisfactorily but was captured in the </w:t>
      </w:r>
      <w:r w:rsidR="0080596F" w:rsidRPr="00962508">
        <w:t>in</w:t>
      </w:r>
      <w:r w:rsidR="0080596F">
        <w:t>vestments</w:t>
      </w:r>
      <w:r w:rsidR="0080596F" w:rsidRPr="00962508">
        <w:t xml:space="preserve"> </w:t>
      </w:r>
      <w:r w:rsidR="00BD3969" w:rsidRPr="00962508">
        <w:t xml:space="preserve">requiring improvement process because it shared the same </w:t>
      </w:r>
      <w:r w:rsidR="00F47240">
        <w:t>AQC</w:t>
      </w:r>
      <w:r w:rsidR="00BD3969" w:rsidRPr="00962508">
        <w:t xml:space="preserve"> as </w:t>
      </w:r>
      <w:r w:rsidR="00F47240">
        <w:t>LARLP</w:t>
      </w:r>
      <w:r w:rsidR="00BD3969" w:rsidRPr="00962508">
        <w:t xml:space="preserve">. The </w:t>
      </w:r>
      <w:r w:rsidR="0080596F">
        <w:t>investment in</w:t>
      </w:r>
      <w:r w:rsidR="00BD3969" w:rsidRPr="00962508">
        <w:t xml:space="preserve"> </w:t>
      </w:r>
      <w:r w:rsidR="0080596F">
        <w:t>s</w:t>
      </w:r>
      <w:r w:rsidR="00BD3969" w:rsidRPr="00962508">
        <w:t xml:space="preserve">chool </w:t>
      </w:r>
      <w:r w:rsidR="0080596F">
        <w:t>m</w:t>
      </w:r>
      <w:r w:rsidR="00BD3969" w:rsidRPr="00962508">
        <w:t>eals</w:t>
      </w:r>
      <w:r w:rsidR="0080596F">
        <w:t>, water sanitation and hygiene activities</w:t>
      </w:r>
      <w:r w:rsidR="00BD3969" w:rsidRPr="00962508">
        <w:t xml:space="preserve"> is in the process of being adjusted to improve </w:t>
      </w:r>
      <w:r w:rsidR="00946D8F">
        <w:t xml:space="preserve">quality assurance of </w:t>
      </w:r>
      <w:r w:rsidR="00BD3969" w:rsidRPr="00962508">
        <w:t>infrastructure and the quality of monitoring and evaluation.</w:t>
      </w:r>
    </w:p>
    <w:p w:rsidR="00C51780" w:rsidRPr="00962508" w:rsidRDefault="0065389A" w:rsidP="00BA6957">
      <w:pPr>
        <w:pStyle w:val="ListBullet"/>
        <w:numPr>
          <w:ilvl w:val="0"/>
          <w:numId w:val="0"/>
        </w:numPr>
      </w:pPr>
      <w:r>
        <w:t>A</w:t>
      </w:r>
      <w:r w:rsidR="003F2984" w:rsidRPr="00962508">
        <w:t>ll</w:t>
      </w:r>
      <w:r w:rsidR="00FB01DF" w:rsidRPr="00962508">
        <w:t xml:space="preserve"> </w:t>
      </w:r>
      <w:r w:rsidR="003F2984" w:rsidRPr="00962508">
        <w:t>AQCs</w:t>
      </w:r>
      <w:r w:rsidR="00FB01DF" w:rsidRPr="00962508">
        <w:t xml:space="preserve"> recorded satisfactory performance on gender inclusion</w:t>
      </w:r>
      <w:r w:rsidR="003F2984" w:rsidRPr="00962508">
        <w:t xml:space="preserve">. </w:t>
      </w:r>
      <w:r w:rsidR="00C51780" w:rsidRPr="00962508">
        <w:t>The</w:t>
      </w:r>
      <w:r w:rsidR="007C3E2B" w:rsidRPr="00962508">
        <w:t xml:space="preserve"> good</w:t>
      </w:r>
      <w:r w:rsidR="00C51780" w:rsidRPr="00962508">
        <w:t xml:space="preserve"> gender performance of the portfolio</w:t>
      </w:r>
      <w:r w:rsidR="00FD45E4" w:rsidRPr="00962508">
        <w:rPr>
          <w:rStyle w:val="EndnoteReference"/>
        </w:rPr>
        <w:endnoteReference w:id="20"/>
      </w:r>
      <w:r w:rsidR="00C51780" w:rsidRPr="00962508">
        <w:t xml:space="preserve"> </w:t>
      </w:r>
      <w:r w:rsidR="00FB01DF" w:rsidRPr="00962508">
        <w:t xml:space="preserve">was </w:t>
      </w:r>
      <w:r>
        <w:t>mainly</w:t>
      </w:r>
      <w:r w:rsidRPr="00962508">
        <w:t xml:space="preserve"> </w:t>
      </w:r>
      <w:r w:rsidR="00C51780" w:rsidRPr="00962508">
        <w:t xml:space="preserve">due to the </w:t>
      </w:r>
      <w:r w:rsidR="005629F1" w:rsidRPr="00962508">
        <w:t xml:space="preserve">development and timely </w:t>
      </w:r>
      <w:r w:rsidR="00C51780" w:rsidRPr="00962508">
        <w:t xml:space="preserve">implementation of gender </w:t>
      </w:r>
      <w:r w:rsidR="005629F1" w:rsidRPr="00962508">
        <w:t xml:space="preserve">equality </w:t>
      </w:r>
      <w:r w:rsidR="00C51780" w:rsidRPr="00962508">
        <w:t xml:space="preserve">strategies </w:t>
      </w:r>
      <w:r w:rsidR="005629F1" w:rsidRPr="00962508">
        <w:t>for selected</w:t>
      </w:r>
      <w:r w:rsidR="00C51780" w:rsidRPr="00962508">
        <w:t xml:space="preserve"> investments.</w:t>
      </w:r>
      <w:r w:rsidR="00CD0287" w:rsidRPr="00962508">
        <w:t xml:space="preserve"> U</w:t>
      </w:r>
      <w:r w:rsidR="00C51780" w:rsidRPr="00962508">
        <w:t>nder LARLP, partners are employing strategies to reach disadvantaged rural women (e.g. 63</w:t>
      </w:r>
      <w:r w:rsidR="00875386" w:rsidRPr="00962508">
        <w:t xml:space="preserve"> per cent</w:t>
      </w:r>
      <w:r w:rsidR="00C51780" w:rsidRPr="00962508">
        <w:t xml:space="preserve"> of newly opened single accounts are held by women) and to determine enterprise options in the context of household division of labour, gender roles an</w:t>
      </w:r>
      <w:r>
        <w:t xml:space="preserve">d </w:t>
      </w:r>
      <w:r w:rsidR="00C51780" w:rsidRPr="00962508">
        <w:t xml:space="preserve">more equitable sharing of labour. </w:t>
      </w:r>
      <w:r w:rsidR="00B15145" w:rsidRPr="00DA62CB">
        <w:t xml:space="preserve">PRF </w:t>
      </w:r>
      <w:r w:rsidR="00B15145">
        <w:t xml:space="preserve">II also </w:t>
      </w:r>
      <w:r w:rsidR="00B15145" w:rsidRPr="00DA62CB">
        <w:t>contributes to improved quality of life among women</w:t>
      </w:r>
      <w:r>
        <w:t xml:space="preserve"> by reducing travel times</w:t>
      </w:r>
      <w:r w:rsidR="00606541">
        <w:t xml:space="preserve"> and through the involvement of women in decision making for village development</w:t>
      </w:r>
      <w:r w:rsidR="00B15145" w:rsidRPr="00DA62CB">
        <w:t xml:space="preserve">. </w:t>
      </w:r>
      <w:r w:rsidR="00C51780" w:rsidRPr="00962508">
        <w:t xml:space="preserve">Case studies on </w:t>
      </w:r>
      <w:r w:rsidR="005F1E83">
        <w:t xml:space="preserve">successful </w:t>
      </w:r>
      <w:r w:rsidR="00C51780" w:rsidRPr="00962508">
        <w:t xml:space="preserve">women’s economic empowerment </w:t>
      </w:r>
      <w:r w:rsidR="00B15145">
        <w:t xml:space="preserve">activities </w:t>
      </w:r>
      <w:r w:rsidR="00C51780" w:rsidRPr="00962508">
        <w:t xml:space="preserve">were published in Vientiane Times to celebrate International Women’s Day </w:t>
      </w:r>
      <w:r>
        <w:t xml:space="preserve">in </w:t>
      </w:r>
      <w:r w:rsidR="00C51780" w:rsidRPr="00962508">
        <w:t>2015.</w:t>
      </w:r>
    </w:p>
    <w:p w:rsidR="00C51780" w:rsidRPr="00962508" w:rsidRDefault="005629F1" w:rsidP="00BA6957">
      <w:pPr>
        <w:pStyle w:val="ListBullet"/>
        <w:numPr>
          <w:ilvl w:val="0"/>
          <w:numId w:val="0"/>
        </w:numPr>
      </w:pPr>
      <w:r w:rsidRPr="00962508">
        <w:t>TDF</w:t>
      </w:r>
      <w:r w:rsidR="00F47240">
        <w:t xml:space="preserve"> </w:t>
      </w:r>
      <w:r w:rsidRPr="00962508">
        <w:t>2</w:t>
      </w:r>
      <w:r w:rsidR="0065389A">
        <w:t>’s gender equality performance</w:t>
      </w:r>
      <w:r w:rsidRPr="00962508">
        <w:t xml:space="preserve"> will be strengthened when implementing partners begin to implement detailed recommendations ma</w:t>
      </w:r>
      <w:r w:rsidR="00F47240">
        <w:t>de in the mid-t</w:t>
      </w:r>
      <w:r w:rsidRPr="00962508">
        <w:t xml:space="preserve">erm </w:t>
      </w:r>
      <w:r w:rsidR="00F47240">
        <w:t>r</w:t>
      </w:r>
      <w:r w:rsidRPr="00962508">
        <w:t>eview</w:t>
      </w:r>
      <w:r w:rsidR="0080596F">
        <w:t>.</w:t>
      </w:r>
      <w:r w:rsidRPr="00962508">
        <w:t xml:space="preserve"> </w:t>
      </w:r>
      <w:r w:rsidR="0080596F">
        <w:t>This includes</w:t>
      </w:r>
      <w:r w:rsidRPr="00962508">
        <w:t xml:space="preserve"> improved targeting of women entrepreneurs and responding to their gender-related needs, and identifying gender equality gaps and opportunities in </w:t>
      </w:r>
      <w:r w:rsidR="007C3E2B" w:rsidRPr="00962508">
        <w:t xml:space="preserve">the manufacturing and services sectors as part of our trade research program. The outcomes of a Women’s leadership analytical study recently conducted will guide LAI </w:t>
      </w:r>
      <w:r w:rsidR="0080596F">
        <w:t>to better</w:t>
      </w:r>
      <w:r w:rsidR="0080596F" w:rsidRPr="00962508">
        <w:t xml:space="preserve"> </w:t>
      </w:r>
      <w:r w:rsidR="007E2A47" w:rsidRPr="00962508">
        <w:t xml:space="preserve">integrate gender equality dimensions into its work and promote </w:t>
      </w:r>
      <w:r w:rsidR="007C3E2B" w:rsidRPr="00962508">
        <w:t>women</w:t>
      </w:r>
      <w:r w:rsidR="007E2A47" w:rsidRPr="00962508">
        <w:t>’s</w:t>
      </w:r>
      <w:r w:rsidR="007C3E2B" w:rsidRPr="00962508">
        <w:t xml:space="preserve"> leadership</w:t>
      </w:r>
      <w:r w:rsidR="002C7FF5" w:rsidRPr="00962508">
        <w:t xml:space="preserve">. </w:t>
      </w:r>
      <w:r w:rsidR="00155450" w:rsidRPr="00962508">
        <w:t xml:space="preserve">Learning from </w:t>
      </w:r>
      <w:r w:rsidR="00EC1EC3">
        <w:t>the Education for All Fast Track Initiative (EFA FTI)</w:t>
      </w:r>
      <w:r w:rsidR="00155450" w:rsidRPr="00962508">
        <w:t xml:space="preserve">, </w:t>
      </w:r>
      <w:r w:rsidR="002C7FF5" w:rsidRPr="00962508">
        <w:t xml:space="preserve">DFAT </w:t>
      </w:r>
      <w:r w:rsidR="0065389A">
        <w:t xml:space="preserve">has </w:t>
      </w:r>
      <w:r w:rsidR="002C7FF5" w:rsidRPr="00962508">
        <w:t xml:space="preserve">ensured that </w:t>
      </w:r>
      <w:r w:rsidR="002C7FF5" w:rsidRPr="00962508">
        <w:lastRenderedPageBreak/>
        <w:t xml:space="preserve">the high level of gender integration </w:t>
      </w:r>
      <w:r w:rsidR="005F1E83">
        <w:t>in</w:t>
      </w:r>
      <w:r w:rsidR="005F1E83" w:rsidRPr="00962508">
        <w:t xml:space="preserve"> </w:t>
      </w:r>
      <w:r w:rsidR="002C7FF5" w:rsidRPr="00962508">
        <w:t xml:space="preserve">the </w:t>
      </w:r>
      <w:r w:rsidR="00064A2C">
        <w:t>Basic Education Quality and Access in Laos (BEQUAL) program</w:t>
      </w:r>
      <w:r w:rsidR="002C7FF5" w:rsidRPr="00962508">
        <w:t xml:space="preserve"> design was </w:t>
      </w:r>
      <w:r w:rsidR="00A67A64" w:rsidRPr="00962508">
        <w:t>reflected throughout</w:t>
      </w:r>
      <w:r w:rsidR="002C7FF5" w:rsidRPr="00962508">
        <w:t xml:space="preserve"> the BEQUAL contract</w:t>
      </w:r>
      <w:r w:rsidR="005F5A4C" w:rsidRPr="00962508">
        <w:t>.</w:t>
      </w:r>
    </w:p>
    <w:p w:rsidR="00BD3969" w:rsidRPr="00962508" w:rsidRDefault="00BD3969" w:rsidP="00BA6957">
      <w:pPr>
        <w:pStyle w:val="ListBullet"/>
        <w:numPr>
          <w:ilvl w:val="0"/>
          <w:numId w:val="0"/>
        </w:numPr>
      </w:pPr>
      <w:r w:rsidRPr="00962508">
        <w:t xml:space="preserve">Concluding </w:t>
      </w:r>
      <w:r w:rsidR="0080596F">
        <w:t>investment</w:t>
      </w:r>
      <w:r w:rsidR="0080596F" w:rsidRPr="00962508">
        <w:t xml:space="preserve">s </w:t>
      </w:r>
      <w:r w:rsidRPr="00962508">
        <w:t xml:space="preserve">that were the subject of </w:t>
      </w:r>
      <w:r w:rsidR="00726458">
        <w:t>final AQCs</w:t>
      </w:r>
      <w:r w:rsidR="00726458" w:rsidRPr="00962508">
        <w:t xml:space="preserve"> </w:t>
      </w:r>
      <w:r w:rsidR="00F47240">
        <w:t xml:space="preserve">were </w:t>
      </w:r>
      <w:r w:rsidRPr="00962508">
        <w:t>EFA FTI</w:t>
      </w:r>
      <w:r w:rsidR="00280909">
        <w:t xml:space="preserve"> (replaced by BEQUAL)</w:t>
      </w:r>
      <w:r w:rsidRPr="00962508">
        <w:t xml:space="preserve"> and </w:t>
      </w:r>
      <w:r w:rsidR="00EC1EC3">
        <w:t>Northern Transport Network Improvement Project (NTNIP)</w:t>
      </w:r>
      <w:r w:rsidRPr="00962508">
        <w:t xml:space="preserve">. The EFA FTI when operating was our flagship investment in education </w:t>
      </w:r>
      <w:r w:rsidR="005F1E83">
        <w:t>but</w:t>
      </w:r>
      <w:r w:rsidR="005F1E83" w:rsidRPr="00962508">
        <w:t xml:space="preserve"> </w:t>
      </w:r>
      <w:r w:rsidR="001E1227" w:rsidRPr="00962508">
        <w:t>lacked adequate oversight</w:t>
      </w:r>
      <w:r w:rsidR="005F1E83">
        <w:t>,</w:t>
      </w:r>
      <w:r w:rsidR="001E1227" w:rsidRPr="00962508">
        <w:t xml:space="preserve"> particularly in relation to</w:t>
      </w:r>
      <w:r w:rsidRPr="00962508">
        <w:t xml:space="preserve"> </w:t>
      </w:r>
      <w:r w:rsidR="00C51780" w:rsidRPr="00962508">
        <w:t xml:space="preserve">quality and </w:t>
      </w:r>
      <w:r w:rsidRPr="00962508">
        <w:t>sustainability</w:t>
      </w:r>
      <w:r w:rsidR="005F1E83">
        <w:t>, which</w:t>
      </w:r>
      <w:r w:rsidRPr="00962508">
        <w:t xml:space="preserve"> re</w:t>
      </w:r>
      <w:r w:rsidR="001E1227" w:rsidRPr="00962508">
        <w:t>sult</w:t>
      </w:r>
      <w:r w:rsidR="005F1E83">
        <w:t>ed</w:t>
      </w:r>
      <w:r w:rsidRPr="00962508">
        <w:t xml:space="preserve"> in unsatisfactory whole-of-investment-life effectiveness and efficiency ratings. The EFA FTI and NTNIP were both rated as unsatisfactory in relation to gender – lacking overarching gender strategies at implementation, and in relation to the NTNIP, an</w:t>
      </w:r>
      <w:r w:rsidR="00CA49A9" w:rsidRPr="00962508">
        <w:t xml:space="preserve"> only modest level commitment of</w:t>
      </w:r>
      <w:r w:rsidRPr="00962508">
        <w:t xml:space="preserve"> gender-related components of the program from key Lao </w:t>
      </w:r>
      <w:r w:rsidR="005D196B">
        <w:t>Government</w:t>
      </w:r>
      <w:r w:rsidRPr="00962508">
        <w:t xml:space="preserve"> stakeholders.</w:t>
      </w:r>
      <w:r w:rsidR="00F47240">
        <w:t xml:space="preserve"> These findings will be addressed in future program designs.</w:t>
      </w:r>
    </w:p>
    <w:p w:rsidR="000D733F" w:rsidRPr="00962508" w:rsidRDefault="000D733F" w:rsidP="00BA6957">
      <w:pPr>
        <w:pStyle w:val="Heading3"/>
      </w:pPr>
      <w:r w:rsidRPr="00962508">
        <w:t xml:space="preserve">Performance </w:t>
      </w:r>
      <w:r w:rsidR="004F4630" w:rsidRPr="00962508">
        <w:t>of key delivery partners</w:t>
      </w:r>
    </w:p>
    <w:p w:rsidR="00BD3969" w:rsidRPr="00962508" w:rsidRDefault="00BD3969" w:rsidP="00BA6957">
      <w:pPr>
        <w:pStyle w:val="ListBullet"/>
        <w:numPr>
          <w:ilvl w:val="0"/>
          <w:numId w:val="0"/>
        </w:numPr>
      </w:pPr>
      <w:r w:rsidRPr="00962508">
        <w:t xml:space="preserve">The World Bank remains </w:t>
      </w:r>
      <w:r w:rsidR="005F5A4C" w:rsidRPr="00962508">
        <w:t>a significant</w:t>
      </w:r>
      <w:r w:rsidRPr="00962508">
        <w:t xml:space="preserve"> partner delivering an estimated 12 per cent of</w:t>
      </w:r>
      <w:r w:rsidR="00604388" w:rsidRPr="00962508">
        <w:t xml:space="preserve"> </w:t>
      </w:r>
      <w:r w:rsidR="0080596F">
        <w:t xml:space="preserve">bilateral </w:t>
      </w:r>
      <w:r w:rsidRPr="00962508">
        <w:t xml:space="preserve">DFAT administered aid to Laos in 2014-15. </w:t>
      </w:r>
      <w:r w:rsidR="00C30D0B" w:rsidRPr="00962508">
        <w:t>It</w:t>
      </w:r>
      <w:r w:rsidRPr="00962508">
        <w:t xml:space="preserve">s management of the jointly funded </w:t>
      </w:r>
      <w:r w:rsidR="00604388" w:rsidRPr="00962508">
        <w:t>PRF</w:t>
      </w:r>
      <w:r w:rsidR="005F1E83">
        <w:t xml:space="preserve"> </w:t>
      </w:r>
      <w:r w:rsidR="00604388" w:rsidRPr="00962508">
        <w:t>II</w:t>
      </w:r>
      <w:r w:rsidRPr="00962508">
        <w:t xml:space="preserve"> has been strong, characterised by a focus on timely results, sustainability and good communication. </w:t>
      </w:r>
      <w:r w:rsidR="0065389A">
        <w:t>But t</w:t>
      </w:r>
      <w:r w:rsidRPr="00962508">
        <w:t xml:space="preserve">he Bank’s </w:t>
      </w:r>
      <w:r w:rsidR="00DF16FE">
        <w:t>ability to closely engage in the policy agenda and management of</w:t>
      </w:r>
      <w:r w:rsidRPr="00962508">
        <w:t xml:space="preserve"> the jointly funded </w:t>
      </w:r>
      <w:r w:rsidR="00604388" w:rsidRPr="00962508">
        <w:t>TDF</w:t>
      </w:r>
      <w:r w:rsidR="005F1E83">
        <w:t xml:space="preserve"> </w:t>
      </w:r>
      <w:r w:rsidR="00F47240">
        <w:t>2</w:t>
      </w:r>
      <w:r w:rsidRPr="00962508">
        <w:t xml:space="preserve"> </w:t>
      </w:r>
      <w:r w:rsidR="00DF16FE">
        <w:t>was affected by a</w:t>
      </w:r>
      <w:r w:rsidRPr="00962508">
        <w:t xml:space="preserve"> decision to </w:t>
      </w:r>
      <w:r w:rsidR="009E1742">
        <w:t xml:space="preserve">temporarily </w:t>
      </w:r>
      <w:r w:rsidRPr="00962508">
        <w:t xml:space="preserve">move supervision of the program from in-country to Cambodia </w:t>
      </w:r>
      <w:r w:rsidR="009E1742">
        <w:t>as a stop gap during the recruitment of the new Task Team Leader</w:t>
      </w:r>
      <w:r w:rsidRPr="00962508">
        <w:t xml:space="preserve">. </w:t>
      </w:r>
      <w:r w:rsidR="0065389A">
        <w:t>In addition, t</w:t>
      </w:r>
      <w:r w:rsidRPr="00962508">
        <w:t xml:space="preserve">he Bank’s performance in managing the </w:t>
      </w:r>
      <w:r w:rsidR="00604388" w:rsidRPr="00962508">
        <w:t>EFA-FTI</w:t>
      </w:r>
      <w:r w:rsidRPr="00962508">
        <w:t xml:space="preserve"> could have been stronger. DFAT and the Bank </w:t>
      </w:r>
      <w:r w:rsidR="0065389A">
        <w:t>had</w:t>
      </w:r>
      <w:r w:rsidR="0065389A" w:rsidRPr="00962508">
        <w:t xml:space="preserve"> </w:t>
      </w:r>
      <w:r w:rsidRPr="00962508">
        <w:t xml:space="preserve">different perspectives about the balance to be struck between keeping to implementation </w:t>
      </w:r>
      <w:r w:rsidR="001E1227" w:rsidRPr="00962508">
        <w:t xml:space="preserve">plans </w:t>
      </w:r>
      <w:r w:rsidRPr="00962508">
        <w:t xml:space="preserve">and being flexible enough to satisfactorily respond to emerging evidence around program impact. </w:t>
      </w:r>
      <w:r w:rsidR="007E2A47" w:rsidRPr="00962508">
        <w:t xml:space="preserve">For both investments, DFAT has </w:t>
      </w:r>
      <w:r w:rsidR="00757047">
        <w:t>recommended</w:t>
      </w:r>
      <w:r w:rsidR="007E2A47" w:rsidRPr="00962508">
        <w:t xml:space="preserve"> the World Bank </w:t>
      </w:r>
      <w:r w:rsidR="00757047">
        <w:t>provide</w:t>
      </w:r>
      <w:r w:rsidR="007E2A47" w:rsidRPr="00962508">
        <w:t xml:space="preserve"> strong</w:t>
      </w:r>
      <w:r w:rsidR="00757047">
        <w:t>er</w:t>
      </w:r>
      <w:r w:rsidR="007E2A47" w:rsidRPr="00962508">
        <w:t xml:space="preserve"> focus on gender equality results.</w:t>
      </w:r>
    </w:p>
    <w:p w:rsidR="00BD3969" w:rsidRPr="00962508" w:rsidRDefault="00BD3969" w:rsidP="00BA6957">
      <w:pPr>
        <w:pStyle w:val="ListBullet"/>
        <w:numPr>
          <w:ilvl w:val="0"/>
          <w:numId w:val="0"/>
        </w:numPr>
      </w:pPr>
      <w:r w:rsidRPr="00962508">
        <w:t xml:space="preserve">Managing contractors have continued to increase their share of DFAT-managed funds, accounting for 32 per cent of DFAT-administered aid to Laos in 2014-15. </w:t>
      </w:r>
      <w:r w:rsidR="00514A27" w:rsidRPr="00962508">
        <w:t xml:space="preserve">Commercial suppliers </w:t>
      </w:r>
      <w:r w:rsidRPr="00962508">
        <w:t xml:space="preserve">help manage </w:t>
      </w:r>
      <w:r w:rsidR="00604388" w:rsidRPr="00962508">
        <w:t>LAI</w:t>
      </w:r>
      <w:r w:rsidRPr="00962508">
        <w:t xml:space="preserve">, </w:t>
      </w:r>
      <w:r w:rsidR="0065389A">
        <w:t xml:space="preserve">the </w:t>
      </w:r>
      <w:r w:rsidR="00726458">
        <w:t>Lao-Australia Development Learning Facility, Social Protection and Sustainable Livelihoods Component (SPSL) of LARLP</w:t>
      </w:r>
      <w:r w:rsidR="00604388" w:rsidRPr="00962508">
        <w:t xml:space="preserve"> and BEQUAL</w:t>
      </w:r>
      <w:r w:rsidRPr="00962508">
        <w:t>. In general, managing contractors have performed well, justifying DFAT’s decision to make increasing use of th</w:t>
      </w:r>
      <w:r w:rsidR="0065389A">
        <w:t>is modality</w:t>
      </w:r>
      <w:r w:rsidRPr="00962508">
        <w:t xml:space="preserve">. </w:t>
      </w:r>
      <w:r w:rsidR="00B60AAA" w:rsidRPr="00962508">
        <w:t xml:space="preserve">It took some time to resolve problems between the managing contractor for </w:t>
      </w:r>
      <w:r w:rsidR="00B60AAA" w:rsidRPr="00726458">
        <w:t>SPSL</w:t>
      </w:r>
      <w:r w:rsidR="00B60AAA" w:rsidRPr="00962508">
        <w:t xml:space="preserve"> and our GoL and NGO partners</w:t>
      </w:r>
      <w:r w:rsidR="00F9322B" w:rsidRPr="00962508">
        <w:t>,</w:t>
      </w:r>
      <w:r w:rsidR="00B60AAA" w:rsidRPr="00962508">
        <w:t xml:space="preserve"> stemming in part from poor relationship management and problems with their senior staff selection. We have learned from this experience in managing senior </w:t>
      </w:r>
      <w:r w:rsidR="00606541">
        <w:t>M</w:t>
      </w:r>
      <w:r w:rsidR="00B60AAA" w:rsidRPr="00962508">
        <w:t xml:space="preserve">anaging Contractor personnel decisions in our subsequent programs. </w:t>
      </w:r>
      <w:r w:rsidRPr="00962508">
        <w:t>Adam Smith International has performed particularly well in relation to the Learning Facility, demonstrating high levels of responsiveness and quality.</w:t>
      </w:r>
    </w:p>
    <w:p w:rsidR="00BD3969" w:rsidRPr="00962508" w:rsidRDefault="00057DB2" w:rsidP="00BA6957">
      <w:pPr>
        <w:pStyle w:val="ListBullet"/>
        <w:numPr>
          <w:ilvl w:val="0"/>
          <w:numId w:val="0"/>
        </w:numPr>
      </w:pPr>
      <w:r w:rsidRPr="00962508">
        <w:t xml:space="preserve">UN agencies </w:t>
      </w:r>
      <w:r w:rsidR="00BD3969" w:rsidRPr="00962508">
        <w:t>delivered 21 per cent of DFAT-administered aid in 2014-15.  UNICEF has been a respons</w:t>
      </w:r>
      <w:r w:rsidR="005F5A4C" w:rsidRPr="00962508">
        <w:t>ive</w:t>
      </w:r>
      <w:r w:rsidR="00BD3969" w:rsidRPr="00962508">
        <w:t xml:space="preserve"> partner in relation to delivery of school water supply, sanitation and hygiene activities. However some concerns have emerged around infrastructure quality assurance and the balance struck between infrastructure and hygiene activities. UNICEF has </w:t>
      </w:r>
      <w:r w:rsidR="0065389A">
        <w:t xml:space="preserve">also </w:t>
      </w:r>
      <w:r w:rsidR="00BD3969" w:rsidRPr="00962508">
        <w:t xml:space="preserve">been an effective partner in the education sector. UNDP has been an important partner for Australia in the delivery of unexploded ordnance assistance, in particular through administration of a multi-donor trust fund. </w:t>
      </w:r>
      <w:r w:rsidR="00B60AAA" w:rsidRPr="00962508">
        <w:t>UNDP’s decision to conduct an independent review of the trust fund is welcome.</w:t>
      </w:r>
      <w:r w:rsidR="00BD3969" w:rsidRPr="00962508">
        <w:t xml:space="preserve"> Australia has had concerns about the quality of UNDP’s communication and attention to social safeguard adherence. WFP uses Australian funding to support a large-scale school meals program. WFP’s management of the program has generally been sound, although the quality of its monitoring and evaluation system remains an issue. The UNCDF receives Australian funding for a financial inclusion program.</w:t>
      </w:r>
      <w:r w:rsidR="005F1E83">
        <w:t xml:space="preserve"> Its </w:t>
      </w:r>
      <w:r w:rsidR="00BD3969" w:rsidRPr="00962508">
        <w:t xml:space="preserve">management has been solid, although there </w:t>
      </w:r>
      <w:r w:rsidR="0065389A">
        <w:t>were</w:t>
      </w:r>
      <w:r w:rsidR="00BD3969" w:rsidRPr="00962508">
        <w:t xml:space="preserve"> some early implementation delays.</w:t>
      </w:r>
    </w:p>
    <w:p w:rsidR="00BD3969" w:rsidRPr="00962508" w:rsidRDefault="00BD3969" w:rsidP="00BA6957">
      <w:pPr>
        <w:pStyle w:val="ListBullet"/>
        <w:numPr>
          <w:ilvl w:val="0"/>
          <w:numId w:val="0"/>
        </w:numPr>
      </w:pPr>
      <w:r w:rsidRPr="00962508">
        <w:t xml:space="preserve">International NGOs received funding through the managing contractor for the Social Protection and Sustainable Livelihoods program. There have been delays in mobilising activities under this program due </w:t>
      </w:r>
      <w:r w:rsidR="00B60AAA" w:rsidRPr="00962508">
        <w:t xml:space="preserve">in part </w:t>
      </w:r>
      <w:r w:rsidRPr="00962508">
        <w:t xml:space="preserve">to </w:t>
      </w:r>
      <w:r w:rsidR="005F1E83">
        <w:t xml:space="preserve">late </w:t>
      </w:r>
      <w:r w:rsidRPr="00962508">
        <w:t xml:space="preserve">Lao </w:t>
      </w:r>
      <w:r w:rsidR="00160EA8">
        <w:t>G</w:t>
      </w:r>
      <w:r w:rsidRPr="00962508">
        <w:t>overnment approval</w:t>
      </w:r>
      <w:r w:rsidR="005F1E83">
        <w:t>s</w:t>
      </w:r>
      <w:r w:rsidRPr="00962508">
        <w:t>. Activities are now commencing and we have been pleased with the performance of NGOs to date.</w:t>
      </w:r>
    </w:p>
    <w:p w:rsidR="000D733F" w:rsidRPr="00962508" w:rsidRDefault="000D733F" w:rsidP="00BA6957">
      <w:pPr>
        <w:pStyle w:val="Heading3"/>
      </w:pPr>
      <w:r w:rsidRPr="00962508">
        <w:lastRenderedPageBreak/>
        <w:t>Risks</w:t>
      </w:r>
    </w:p>
    <w:p w:rsidR="000D733F" w:rsidRPr="0065389A" w:rsidRDefault="00D763C0" w:rsidP="00BA6957">
      <w:pPr>
        <w:pStyle w:val="Caption"/>
      </w:pPr>
      <w:r w:rsidRPr="0065389A">
        <w:t xml:space="preserve">Table </w:t>
      </w:r>
      <w:r w:rsidR="004C02B6">
        <w:t>4</w:t>
      </w:r>
      <w:r w:rsidRPr="0065389A">
        <w:t xml:space="preserve"> Management of Key Risks to Achieving O</w:t>
      </w:r>
      <w:r w:rsidR="000D733F" w:rsidRPr="0065389A">
        <w:t>bjectives</w:t>
      </w:r>
    </w:p>
    <w:tbl>
      <w:tblPr>
        <w:tblStyle w:val="APPR"/>
        <w:tblW w:w="8974" w:type="dxa"/>
        <w:tblInd w:w="-148" w:type="dxa"/>
        <w:tblLook w:val="0600" w:firstRow="0" w:lastRow="0" w:firstColumn="0" w:lastColumn="0" w:noHBand="1" w:noVBand="1"/>
        <w:tblCaption w:val="Table 4 Management of Key Risks to Achieving Objectives"/>
        <w:tblDescription w:val="Table 4 shows how the Australian aid program has managed key risks associated with achieving its strategy objectives.  The table shows key risks, what actions were taken to manage the risks in financial year 2014-15, what further actions will be taken to manage the risks in financial year 2015-16, and a risk rating.  The risk rating uses a 3 point rating scale:  low, medium and high.  "/>
      </w:tblPr>
      <w:tblGrid>
        <w:gridCol w:w="2688"/>
        <w:gridCol w:w="2977"/>
        <w:gridCol w:w="2484"/>
        <w:gridCol w:w="825"/>
      </w:tblGrid>
      <w:tr w:rsidR="005C310A" w:rsidRPr="0065389A" w:rsidTr="0006433F">
        <w:tc>
          <w:tcPr>
            <w:tcW w:w="2646" w:type="dxa"/>
            <w:hideMark/>
          </w:tcPr>
          <w:p w:rsidR="005C310A" w:rsidRPr="0065389A" w:rsidRDefault="005C310A" w:rsidP="00BA6957">
            <w:pPr>
              <w:pStyle w:val="TableTextColumnHeading"/>
              <w:rPr>
                <w:sz w:val="16"/>
                <w:szCs w:val="16"/>
              </w:rPr>
            </w:pPr>
            <w:r w:rsidRPr="0065389A">
              <w:rPr>
                <w:sz w:val="16"/>
                <w:szCs w:val="16"/>
              </w:rPr>
              <w:t>Key risks</w:t>
            </w:r>
          </w:p>
        </w:tc>
        <w:tc>
          <w:tcPr>
            <w:tcW w:w="2949" w:type="dxa"/>
          </w:tcPr>
          <w:p w:rsidR="005C310A" w:rsidRPr="0065389A" w:rsidRDefault="005C310A" w:rsidP="00BA6957">
            <w:pPr>
              <w:pStyle w:val="TableTextColumnHeading"/>
              <w:rPr>
                <w:sz w:val="16"/>
                <w:szCs w:val="16"/>
              </w:rPr>
            </w:pPr>
            <w:r w:rsidRPr="0065389A">
              <w:rPr>
                <w:sz w:val="16"/>
                <w:szCs w:val="16"/>
              </w:rPr>
              <w:t>What actions were taken to manage the risks over the past year?</w:t>
            </w:r>
          </w:p>
        </w:tc>
        <w:tc>
          <w:tcPr>
            <w:tcW w:w="0" w:type="auto"/>
          </w:tcPr>
          <w:p w:rsidR="005C310A" w:rsidRPr="0065389A" w:rsidRDefault="005C310A" w:rsidP="00BA6957">
            <w:pPr>
              <w:pStyle w:val="TableTextColumnHeading"/>
              <w:rPr>
                <w:sz w:val="16"/>
                <w:szCs w:val="16"/>
              </w:rPr>
            </w:pPr>
            <w:r w:rsidRPr="0065389A">
              <w:rPr>
                <w:sz w:val="16"/>
                <w:szCs w:val="16"/>
              </w:rPr>
              <w:t>What further actions will be taken to manage the risks in the coming year?</w:t>
            </w:r>
          </w:p>
        </w:tc>
        <w:tc>
          <w:tcPr>
            <w:tcW w:w="0" w:type="auto"/>
          </w:tcPr>
          <w:p w:rsidR="005C310A" w:rsidRPr="0065389A" w:rsidRDefault="005C310A" w:rsidP="00BA6957">
            <w:pPr>
              <w:pStyle w:val="TableTextColumnHeading"/>
              <w:rPr>
                <w:sz w:val="16"/>
                <w:szCs w:val="16"/>
              </w:rPr>
            </w:pPr>
            <w:r w:rsidRPr="0065389A">
              <w:rPr>
                <w:sz w:val="16"/>
                <w:szCs w:val="16"/>
              </w:rPr>
              <w:t xml:space="preserve">Risk Rating </w:t>
            </w:r>
          </w:p>
        </w:tc>
      </w:tr>
      <w:tr w:rsidR="00E321B5" w:rsidRPr="0065389A" w:rsidTr="0006433F">
        <w:tc>
          <w:tcPr>
            <w:tcW w:w="2646" w:type="dxa"/>
          </w:tcPr>
          <w:p w:rsidR="00E321B5" w:rsidRPr="0065389A" w:rsidRDefault="00E321B5" w:rsidP="0065389A">
            <w:pPr>
              <w:pStyle w:val="ListBullet"/>
              <w:numPr>
                <w:ilvl w:val="0"/>
                <w:numId w:val="0"/>
              </w:numPr>
              <w:tabs>
                <w:tab w:val="left" w:pos="-278"/>
              </w:tabs>
              <w:spacing w:after="0" w:line="240" w:lineRule="auto"/>
              <w:rPr>
                <w:sz w:val="16"/>
                <w:szCs w:val="16"/>
              </w:rPr>
            </w:pPr>
            <w:r w:rsidRPr="0065389A">
              <w:rPr>
                <w:sz w:val="16"/>
                <w:szCs w:val="16"/>
              </w:rPr>
              <w:t xml:space="preserve">Relationships with the Lao Government and NGO partners become strained, and agreed development objectives </w:t>
            </w:r>
            <w:r w:rsidR="0065389A">
              <w:rPr>
                <w:sz w:val="16"/>
                <w:szCs w:val="16"/>
              </w:rPr>
              <w:t>are threatened</w:t>
            </w:r>
            <w:r w:rsidRPr="0065389A">
              <w:rPr>
                <w:sz w:val="16"/>
                <w:szCs w:val="16"/>
              </w:rPr>
              <w:t xml:space="preserve"> </w:t>
            </w:r>
            <w:r w:rsidR="000B092C">
              <w:rPr>
                <w:sz w:val="16"/>
                <w:szCs w:val="16"/>
              </w:rPr>
              <w:t xml:space="preserve"> as a result of the program budget cuts</w:t>
            </w:r>
          </w:p>
        </w:tc>
        <w:tc>
          <w:tcPr>
            <w:tcW w:w="2949" w:type="dxa"/>
          </w:tcPr>
          <w:p w:rsidR="00E321B5" w:rsidRPr="0065389A" w:rsidRDefault="005F1E83" w:rsidP="00BA6957">
            <w:pPr>
              <w:pStyle w:val="TableTextEntries"/>
              <w:rPr>
                <w:sz w:val="16"/>
                <w:szCs w:val="16"/>
              </w:rPr>
            </w:pPr>
            <w:r w:rsidRPr="0065389A">
              <w:rPr>
                <w:sz w:val="16"/>
                <w:szCs w:val="16"/>
              </w:rPr>
              <w:t xml:space="preserve">DFAT </w:t>
            </w:r>
            <w:r w:rsidR="0008391F" w:rsidRPr="0065389A">
              <w:rPr>
                <w:sz w:val="16"/>
                <w:szCs w:val="16"/>
              </w:rPr>
              <w:t>briefed implementing partners on the cuts and sought feedback to manage risks.</w:t>
            </w:r>
          </w:p>
          <w:p w:rsidR="00E321B5" w:rsidRPr="0065389A" w:rsidRDefault="00E321B5" w:rsidP="00BA6957">
            <w:pPr>
              <w:pStyle w:val="TableTextEntries"/>
              <w:rPr>
                <w:sz w:val="16"/>
                <w:szCs w:val="16"/>
              </w:rPr>
            </w:pPr>
            <w:r w:rsidRPr="0065389A">
              <w:rPr>
                <w:sz w:val="16"/>
                <w:szCs w:val="16"/>
              </w:rPr>
              <w:t xml:space="preserve">The new Aid Investment Plan includes a </w:t>
            </w:r>
            <w:r w:rsidR="00DF16FE" w:rsidRPr="0065389A">
              <w:rPr>
                <w:sz w:val="16"/>
                <w:szCs w:val="16"/>
              </w:rPr>
              <w:t xml:space="preserve">narrower </w:t>
            </w:r>
            <w:r w:rsidRPr="0065389A">
              <w:rPr>
                <w:sz w:val="16"/>
                <w:szCs w:val="16"/>
              </w:rPr>
              <w:t xml:space="preserve">sectoral focus. </w:t>
            </w:r>
          </w:p>
        </w:tc>
        <w:tc>
          <w:tcPr>
            <w:tcW w:w="0" w:type="auto"/>
          </w:tcPr>
          <w:p w:rsidR="00E321B5" w:rsidRPr="0065389A" w:rsidRDefault="0040115A" w:rsidP="0065389A">
            <w:pPr>
              <w:pStyle w:val="TableTextEntries"/>
              <w:rPr>
                <w:sz w:val="16"/>
                <w:szCs w:val="16"/>
              </w:rPr>
            </w:pPr>
            <w:r w:rsidRPr="0065389A">
              <w:rPr>
                <w:sz w:val="16"/>
                <w:szCs w:val="16"/>
              </w:rPr>
              <w:t xml:space="preserve">We will continue to engage in dialogue with key program partners, to explain the broader fiscal context influencing Australian aid to Laos and how we have sought to respond to maximise program effectiveness. </w:t>
            </w:r>
            <w:r w:rsidR="00E321B5" w:rsidRPr="0065389A">
              <w:rPr>
                <w:sz w:val="16"/>
                <w:szCs w:val="16"/>
              </w:rPr>
              <w:t xml:space="preserve">A </w:t>
            </w:r>
            <w:r w:rsidR="00CB1942" w:rsidRPr="0065389A">
              <w:rPr>
                <w:sz w:val="16"/>
                <w:szCs w:val="16"/>
              </w:rPr>
              <w:t xml:space="preserve">program </w:t>
            </w:r>
            <w:r w:rsidR="00E321B5" w:rsidRPr="0065389A">
              <w:rPr>
                <w:sz w:val="16"/>
                <w:szCs w:val="16"/>
              </w:rPr>
              <w:t xml:space="preserve">steering committee and mid-term program evaluation will provide strategic direction </w:t>
            </w:r>
            <w:r w:rsidR="0065389A">
              <w:rPr>
                <w:sz w:val="16"/>
                <w:szCs w:val="16"/>
              </w:rPr>
              <w:t>to</w:t>
            </w:r>
            <w:r w:rsidR="0065389A" w:rsidRPr="0065389A">
              <w:rPr>
                <w:sz w:val="16"/>
                <w:szCs w:val="16"/>
              </w:rPr>
              <w:t xml:space="preserve"> </w:t>
            </w:r>
            <w:r w:rsidR="00E321B5" w:rsidRPr="0065389A">
              <w:rPr>
                <w:sz w:val="16"/>
                <w:szCs w:val="16"/>
              </w:rPr>
              <w:t xml:space="preserve">the </w:t>
            </w:r>
            <w:r w:rsidR="0065389A">
              <w:rPr>
                <w:sz w:val="16"/>
                <w:szCs w:val="16"/>
              </w:rPr>
              <w:t>LAI</w:t>
            </w:r>
            <w:r w:rsidRPr="0065389A">
              <w:rPr>
                <w:sz w:val="16"/>
                <w:szCs w:val="16"/>
              </w:rPr>
              <w:t xml:space="preserve"> </w:t>
            </w:r>
          </w:p>
        </w:tc>
        <w:tc>
          <w:tcPr>
            <w:tcW w:w="0" w:type="auto"/>
          </w:tcPr>
          <w:p w:rsidR="00E321B5" w:rsidRPr="0065389A" w:rsidRDefault="00DF16FE" w:rsidP="00BA6957">
            <w:pPr>
              <w:pStyle w:val="TableTextEntries"/>
              <w:rPr>
                <w:sz w:val="16"/>
                <w:szCs w:val="16"/>
              </w:rPr>
            </w:pPr>
            <w:r w:rsidRPr="0065389A">
              <w:rPr>
                <w:sz w:val="16"/>
                <w:szCs w:val="16"/>
              </w:rPr>
              <w:t>Medium</w:t>
            </w:r>
          </w:p>
        </w:tc>
      </w:tr>
      <w:tr w:rsidR="005C310A" w:rsidRPr="0065389A" w:rsidTr="00CD0287">
        <w:tc>
          <w:tcPr>
            <w:tcW w:w="2646" w:type="dxa"/>
            <w:hideMark/>
          </w:tcPr>
          <w:p w:rsidR="005C310A" w:rsidRPr="0065389A" w:rsidRDefault="00815E3A" w:rsidP="0065389A">
            <w:pPr>
              <w:pStyle w:val="TableTextEntries"/>
              <w:rPr>
                <w:sz w:val="16"/>
                <w:szCs w:val="16"/>
              </w:rPr>
            </w:pPr>
            <w:r w:rsidRPr="0065389A">
              <w:rPr>
                <w:sz w:val="16"/>
                <w:szCs w:val="16"/>
              </w:rPr>
              <w:t>Resettlement processes undermine the development impacts and sustainability of Australia’s aid investments.</w:t>
            </w:r>
          </w:p>
        </w:tc>
        <w:tc>
          <w:tcPr>
            <w:tcW w:w="2949" w:type="dxa"/>
          </w:tcPr>
          <w:p w:rsidR="0008391F" w:rsidRPr="0065389A" w:rsidRDefault="0008391F" w:rsidP="00BA6957">
            <w:pPr>
              <w:pStyle w:val="TableTextEntries"/>
              <w:rPr>
                <w:sz w:val="16"/>
                <w:szCs w:val="16"/>
              </w:rPr>
            </w:pPr>
            <w:r w:rsidRPr="0065389A">
              <w:rPr>
                <w:sz w:val="16"/>
                <w:szCs w:val="16"/>
              </w:rPr>
              <w:t xml:space="preserve">LARLP has </w:t>
            </w:r>
            <w:r w:rsidR="0065389A">
              <w:rPr>
                <w:sz w:val="16"/>
                <w:szCs w:val="16"/>
              </w:rPr>
              <w:t xml:space="preserve">a </w:t>
            </w:r>
            <w:r w:rsidRPr="0065389A">
              <w:rPr>
                <w:sz w:val="16"/>
                <w:szCs w:val="16"/>
              </w:rPr>
              <w:t xml:space="preserve">detailed risk management plan that includes social safeguard issues and mitigation strategies. </w:t>
            </w:r>
          </w:p>
          <w:p w:rsidR="00815E3A" w:rsidRPr="0065389A" w:rsidRDefault="00815E3A" w:rsidP="0065389A">
            <w:pPr>
              <w:pStyle w:val="TableTextEntries"/>
              <w:rPr>
                <w:sz w:val="16"/>
                <w:szCs w:val="16"/>
              </w:rPr>
            </w:pPr>
            <w:r w:rsidRPr="0065389A">
              <w:rPr>
                <w:sz w:val="16"/>
                <w:szCs w:val="16"/>
              </w:rPr>
              <w:t>In selecting target villages for teacher trainees and school construction</w:t>
            </w:r>
            <w:r w:rsidR="0065389A">
              <w:rPr>
                <w:sz w:val="16"/>
                <w:szCs w:val="16"/>
              </w:rPr>
              <w:t xml:space="preserve">, </w:t>
            </w:r>
            <w:r w:rsidRPr="0065389A">
              <w:rPr>
                <w:sz w:val="16"/>
                <w:szCs w:val="16"/>
              </w:rPr>
              <w:t>Australia focus</w:t>
            </w:r>
            <w:r w:rsidR="0065389A">
              <w:rPr>
                <w:sz w:val="16"/>
                <w:szCs w:val="16"/>
              </w:rPr>
              <w:t>ed</w:t>
            </w:r>
            <w:r w:rsidRPr="0065389A">
              <w:rPr>
                <w:sz w:val="16"/>
                <w:szCs w:val="16"/>
              </w:rPr>
              <w:t xml:space="preserve"> on disadvantaged communities with stable populations. </w:t>
            </w:r>
          </w:p>
        </w:tc>
        <w:tc>
          <w:tcPr>
            <w:tcW w:w="0" w:type="auto"/>
          </w:tcPr>
          <w:p w:rsidR="005C310A" w:rsidRPr="0065389A" w:rsidRDefault="00815E3A" w:rsidP="00BA6957">
            <w:pPr>
              <w:pStyle w:val="TableTextEntries"/>
              <w:rPr>
                <w:sz w:val="16"/>
                <w:szCs w:val="16"/>
              </w:rPr>
            </w:pPr>
            <w:r w:rsidRPr="0065389A">
              <w:rPr>
                <w:sz w:val="16"/>
                <w:szCs w:val="16"/>
              </w:rPr>
              <w:t>Sites will be verified by the Managing Contractor</w:t>
            </w:r>
            <w:r w:rsidR="00624F9E" w:rsidRPr="0065389A">
              <w:rPr>
                <w:sz w:val="16"/>
                <w:szCs w:val="16"/>
              </w:rPr>
              <w:t>, using DFAT’s checklists on social safeguards.</w:t>
            </w:r>
          </w:p>
          <w:p w:rsidR="00815E3A" w:rsidRPr="0065389A" w:rsidRDefault="00815E3A" w:rsidP="00BA6957">
            <w:pPr>
              <w:pStyle w:val="TableTextEntries"/>
              <w:rPr>
                <w:sz w:val="16"/>
                <w:szCs w:val="16"/>
              </w:rPr>
            </w:pPr>
          </w:p>
        </w:tc>
        <w:tc>
          <w:tcPr>
            <w:tcW w:w="0" w:type="auto"/>
          </w:tcPr>
          <w:p w:rsidR="005C310A" w:rsidRPr="0065389A" w:rsidRDefault="008A5E22" w:rsidP="00BA6957">
            <w:pPr>
              <w:pStyle w:val="TableTextEntries"/>
              <w:rPr>
                <w:sz w:val="16"/>
                <w:szCs w:val="16"/>
              </w:rPr>
            </w:pPr>
            <w:r w:rsidRPr="0065389A">
              <w:rPr>
                <w:sz w:val="16"/>
                <w:szCs w:val="16"/>
              </w:rPr>
              <w:t>Medium</w:t>
            </w:r>
          </w:p>
          <w:p w:rsidR="00DD4D2F" w:rsidRPr="0065389A" w:rsidRDefault="00DD4D2F" w:rsidP="00BA6957">
            <w:pPr>
              <w:pStyle w:val="TableTextEntries"/>
              <w:rPr>
                <w:sz w:val="16"/>
                <w:szCs w:val="16"/>
              </w:rPr>
            </w:pPr>
          </w:p>
        </w:tc>
      </w:tr>
      <w:tr w:rsidR="005C310A" w:rsidRPr="0065389A" w:rsidTr="00CD0287">
        <w:tc>
          <w:tcPr>
            <w:tcW w:w="2646" w:type="dxa"/>
            <w:hideMark/>
          </w:tcPr>
          <w:p w:rsidR="00624F9E" w:rsidRPr="0065389A" w:rsidRDefault="00280909" w:rsidP="00BA6957">
            <w:pPr>
              <w:pStyle w:val="TableTextEntries"/>
              <w:rPr>
                <w:color w:val="000000" w:themeColor="text1"/>
                <w:sz w:val="16"/>
                <w:szCs w:val="16"/>
              </w:rPr>
            </w:pPr>
            <w:r>
              <w:rPr>
                <w:color w:val="000000" w:themeColor="text1"/>
                <w:sz w:val="16"/>
                <w:szCs w:val="16"/>
              </w:rPr>
              <w:t>Delivering i</w:t>
            </w:r>
            <w:r w:rsidR="00624F9E" w:rsidRPr="0065389A">
              <w:rPr>
                <w:color w:val="000000" w:themeColor="text1"/>
                <w:sz w:val="16"/>
                <w:szCs w:val="16"/>
              </w:rPr>
              <w:t>nvestment</w:t>
            </w:r>
            <w:r w:rsidR="0065389A">
              <w:rPr>
                <w:color w:val="000000" w:themeColor="text1"/>
                <w:sz w:val="16"/>
                <w:szCs w:val="16"/>
              </w:rPr>
              <w:t>s</w:t>
            </w:r>
            <w:r w:rsidR="00624F9E" w:rsidRPr="0065389A">
              <w:rPr>
                <w:color w:val="000000" w:themeColor="text1"/>
                <w:sz w:val="16"/>
                <w:szCs w:val="16"/>
              </w:rPr>
              <w:t xml:space="preserve"> </w:t>
            </w:r>
            <w:r w:rsidR="00DF16FE" w:rsidRPr="0065389A">
              <w:rPr>
                <w:color w:val="000000" w:themeColor="text1"/>
                <w:sz w:val="16"/>
                <w:szCs w:val="16"/>
              </w:rPr>
              <w:t xml:space="preserve">predominantly </w:t>
            </w:r>
            <w:r w:rsidR="00624F9E" w:rsidRPr="0065389A">
              <w:rPr>
                <w:color w:val="000000" w:themeColor="text1"/>
                <w:sz w:val="16"/>
                <w:szCs w:val="16"/>
              </w:rPr>
              <w:t xml:space="preserve">through multilateral agencies exposes Australia to the risks inherent with </w:t>
            </w:r>
            <w:r w:rsidR="00DF16FE" w:rsidRPr="0065389A">
              <w:rPr>
                <w:color w:val="000000" w:themeColor="text1"/>
                <w:sz w:val="16"/>
                <w:szCs w:val="16"/>
              </w:rPr>
              <w:t xml:space="preserve">a particular type of </w:t>
            </w:r>
            <w:r w:rsidR="00624F9E" w:rsidRPr="0065389A">
              <w:rPr>
                <w:color w:val="000000" w:themeColor="text1"/>
                <w:sz w:val="16"/>
                <w:szCs w:val="16"/>
              </w:rPr>
              <w:t>delivery partner.</w:t>
            </w:r>
          </w:p>
          <w:p w:rsidR="005C310A" w:rsidRPr="0065389A" w:rsidRDefault="005C310A" w:rsidP="00BA6957">
            <w:pPr>
              <w:pStyle w:val="TableTextEntries"/>
              <w:rPr>
                <w:sz w:val="16"/>
                <w:szCs w:val="16"/>
              </w:rPr>
            </w:pPr>
          </w:p>
        </w:tc>
        <w:tc>
          <w:tcPr>
            <w:tcW w:w="2949" w:type="dxa"/>
          </w:tcPr>
          <w:p w:rsidR="00624F9E" w:rsidRPr="0065389A" w:rsidRDefault="00624F9E" w:rsidP="00BA6957">
            <w:pPr>
              <w:pStyle w:val="TableTextEntries"/>
              <w:rPr>
                <w:color w:val="000000" w:themeColor="text1"/>
                <w:sz w:val="16"/>
                <w:szCs w:val="16"/>
              </w:rPr>
            </w:pPr>
            <w:r w:rsidRPr="0065389A">
              <w:rPr>
                <w:color w:val="000000" w:themeColor="text1"/>
                <w:sz w:val="16"/>
                <w:szCs w:val="16"/>
              </w:rPr>
              <w:t xml:space="preserve">The Lao program </w:t>
            </w:r>
            <w:r w:rsidR="00115070" w:rsidRPr="0065389A">
              <w:rPr>
                <w:color w:val="000000" w:themeColor="text1"/>
                <w:sz w:val="16"/>
                <w:szCs w:val="16"/>
              </w:rPr>
              <w:t>has been increasingly using</w:t>
            </w:r>
            <w:r w:rsidRPr="0065389A">
              <w:rPr>
                <w:color w:val="000000" w:themeColor="text1"/>
                <w:sz w:val="16"/>
                <w:szCs w:val="16"/>
              </w:rPr>
              <w:t xml:space="preserve"> </w:t>
            </w:r>
            <w:r w:rsidR="00115070" w:rsidRPr="0065389A">
              <w:rPr>
                <w:color w:val="000000" w:themeColor="text1"/>
                <w:sz w:val="16"/>
                <w:szCs w:val="16"/>
              </w:rPr>
              <w:t xml:space="preserve">managing contractors to deliver </w:t>
            </w:r>
            <w:r w:rsidRPr="0065389A">
              <w:rPr>
                <w:color w:val="000000" w:themeColor="text1"/>
                <w:sz w:val="16"/>
                <w:szCs w:val="16"/>
              </w:rPr>
              <w:t xml:space="preserve">new investments in order to diversify the range of delivery partners </w:t>
            </w:r>
            <w:r w:rsidR="00115070" w:rsidRPr="0065389A">
              <w:rPr>
                <w:color w:val="000000" w:themeColor="text1"/>
                <w:sz w:val="16"/>
                <w:szCs w:val="16"/>
              </w:rPr>
              <w:t xml:space="preserve">used by the program </w:t>
            </w:r>
            <w:r w:rsidRPr="0065389A">
              <w:rPr>
                <w:color w:val="000000" w:themeColor="text1"/>
                <w:sz w:val="16"/>
                <w:szCs w:val="16"/>
              </w:rPr>
              <w:t xml:space="preserve">and mitigate risks related to </w:t>
            </w:r>
            <w:r w:rsidR="00115070" w:rsidRPr="0065389A">
              <w:rPr>
                <w:color w:val="000000" w:themeColor="text1"/>
                <w:sz w:val="16"/>
                <w:szCs w:val="16"/>
              </w:rPr>
              <w:t>over-reliance on</w:t>
            </w:r>
            <w:r w:rsidRPr="0065389A">
              <w:rPr>
                <w:color w:val="000000" w:themeColor="text1"/>
                <w:sz w:val="16"/>
                <w:szCs w:val="16"/>
              </w:rPr>
              <w:t xml:space="preserve"> a single</w:t>
            </w:r>
            <w:r w:rsidR="00115070" w:rsidRPr="0065389A">
              <w:rPr>
                <w:color w:val="000000" w:themeColor="text1"/>
                <w:sz w:val="16"/>
                <w:szCs w:val="16"/>
              </w:rPr>
              <w:t xml:space="preserve"> type of</w:t>
            </w:r>
            <w:r w:rsidRPr="0065389A">
              <w:rPr>
                <w:color w:val="000000" w:themeColor="text1"/>
                <w:sz w:val="16"/>
                <w:szCs w:val="16"/>
              </w:rPr>
              <w:t xml:space="preserve"> delivery partner.</w:t>
            </w:r>
          </w:p>
          <w:p w:rsidR="005C310A" w:rsidRPr="0065389A" w:rsidRDefault="005C310A" w:rsidP="00BA6957">
            <w:pPr>
              <w:pStyle w:val="TableTextEntries"/>
              <w:rPr>
                <w:sz w:val="16"/>
                <w:szCs w:val="16"/>
              </w:rPr>
            </w:pPr>
          </w:p>
        </w:tc>
        <w:tc>
          <w:tcPr>
            <w:tcW w:w="0" w:type="auto"/>
          </w:tcPr>
          <w:p w:rsidR="005C310A" w:rsidRPr="0065389A" w:rsidRDefault="00624F9E" w:rsidP="00CB0D95">
            <w:pPr>
              <w:pStyle w:val="TableTextEntries"/>
              <w:rPr>
                <w:sz w:val="16"/>
                <w:szCs w:val="16"/>
              </w:rPr>
            </w:pPr>
            <w:r w:rsidRPr="0065389A">
              <w:rPr>
                <w:color w:val="000000" w:themeColor="text1"/>
                <w:sz w:val="16"/>
                <w:szCs w:val="16"/>
              </w:rPr>
              <w:t xml:space="preserve">The Lao program will continue to assess the effectiveness of </w:t>
            </w:r>
            <w:r w:rsidR="00115070" w:rsidRPr="0065389A">
              <w:rPr>
                <w:color w:val="000000" w:themeColor="text1"/>
                <w:sz w:val="16"/>
                <w:szCs w:val="16"/>
              </w:rPr>
              <w:t xml:space="preserve">the </w:t>
            </w:r>
            <w:r w:rsidRPr="0065389A">
              <w:rPr>
                <w:color w:val="000000" w:themeColor="text1"/>
                <w:sz w:val="16"/>
                <w:szCs w:val="16"/>
              </w:rPr>
              <w:t xml:space="preserve">current balance </w:t>
            </w:r>
            <w:r w:rsidR="00115070" w:rsidRPr="0065389A">
              <w:rPr>
                <w:color w:val="000000" w:themeColor="text1"/>
                <w:sz w:val="16"/>
                <w:szCs w:val="16"/>
              </w:rPr>
              <w:t>between</w:t>
            </w:r>
            <w:r w:rsidRPr="0065389A">
              <w:rPr>
                <w:color w:val="000000" w:themeColor="text1"/>
                <w:sz w:val="16"/>
                <w:szCs w:val="16"/>
              </w:rPr>
              <w:t xml:space="preserve"> managing contractors and multilateral agencies to ensure </w:t>
            </w:r>
            <w:r w:rsidR="00115070" w:rsidRPr="0065389A">
              <w:rPr>
                <w:color w:val="000000" w:themeColor="text1"/>
                <w:sz w:val="16"/>
                <w:szCs w:val="16"/>
              </w:rPr>
              <w:t xml:space="preserve">that Australian aid </w:t>
            </w:r>
            <w:r w:rsidR="00CB0D95">
              <w:rPr>
                <w:color w:val="000000" w:themeColor="text1"/>
                <w:sz w:val="16"/>
                <w:szCs w:val="16"/>
              </w:rPr>
              <w:t>remains</w:t>
            </w:r>
            <w:r w:rsidR="00115070" w:rsidRPr="0065389A">
              <w:rPr>
                <w:color w:val="000000" w:themeColor="text1"/>
                <w:sz w:val="16"/>
                <w:szCs w:val="16"/>
              </w:rPr>
              <w:t xml:space="preserve"> effective, visible and influential, while supporting well-coordinated donor engagement that minimises the aid management costs facing the Lao </w:t>
            </w:r>
            <w:r w:rsidR="00160EA8">
              <w:rPr>
                <w:color w:val="000000" w:themeColor="text1"/>
                <w:sz w:val="16"/>
                <w:szCs w:val="16"/>
              </w:rPr>
              <w:t>G</w:t>
            </w:r>
            <w:r w:rsidR="00115070" w:rsidRPr="0065389A">
              <w:rPr>
                <w:color w:val="000000" w:themeColor="text1"/>
                <w:sz w:val="16"/>
                <w:szCs w:val="16"/>
              </w:rPr>
              <w:t xml:space="preserve">overnment. </w:t>
            </w:r>
          </w:p>
        </w:tc>
        <w:tc>
          <w:tcPr>
            <w:tcW w:w="0" w:type="auto"/>
          </w:tcPr>
          <w:p w:rsidR="005C310A" w:rsidRPr="0065389A" w:rsidRDefault="00DD4D2F" w:rsidP="00BA6957">
            <w:pPr>
              <w:pStyle w:val="TableTextEntries"/>
              <w:rPr>
                <w:sz w:val="16"/>
                <w:szCs w:val="16"/>
              </w:rPr>
            </w:pPr>
            <w:r w:rsidRPr="0065389A">
              <w:rPr>
                <w:sz w:val="16"/>
                <w:szCs w:val="16"/>
              </w:rPr>
              <w:t>Low</w:t>
            </w:r>
          </w:p>
        </w:tc>
      </w:tr>
      <w:tr w:rsidR="005C310A" w:rsidRPr="0065389A" w:rsidTr="00CD0287">
        <w:tc>
          <w:tcPr>
            <w:tcW w:w="2646" w:type="dxa"/>
          </w:tcPr>
          <w:p w:rsidR="005C310A" w:rsidRPr="0065389A" w:rsidRDefault="005F5A4C" w:rsidP="00CB0D95">
            <w:pPr>
              <w:pStyle w:val="TableTextEntries"/>
              <w:rPr>
                <w:sz w:val="16"/>
                <w:szCs w:val="16"/>
              </w:rPr>
            </w:pPr>
            <w:r w:rsidRPr="0065389A">
              <w:rPr>
                <w:sz w:val="16"/>
                <w:szCs w:val="16"/>
              </w:rPr>
              <w:t>Poor</w:t>
            </w:r>
            <w:r w:rsidR="001637BE" w:rsidRPr="0065389A">
              <w:rPr>
                <w:sz w:val="16"/>
                <w:szCs w:val="16"/>
              </w:rPr>
              <w:t xml:space="preserve"> donor coordination </w:t>
            </w:r>
            <w:r w:rsidR="00624F9E" w:rsidRPr="0065389A">
              <w:rPr>
                <w:sz w:val="16"/>
                <w:szCs w:val="16"/>
              </w:rPr>
              <w:t xml:space="preserve">results in duplication of </w:t>
            </w:r>
            <w:r w:rsidR="001637BE" w:rsidRPr="0065389A">
              <w:rPr>
                <w:sz w:val="16"/>
                <w:szCs w:val="16"/>
              </w:rPr>
              <w:t>Australian aid program investments, leading to inefficiency</w:t>
            </w:r>
            <w:r w:rsidR="00CB0D95">
              <w:rPr>
                <w:sz w:val="16"/>
                <w:szCs w:val="16"/>
              </w:rPr>
              <w:t>.</w:t>
            </w:r>
          </w:p>
        </w:tc>
        <w:tc>
          <w:tcPr>
            <w:tcW w:w="2949" w:type="dxa"/>
          </w:tcPr>
          <w:p w:rsidR="005C310A" w:rsidRPr="0065389A" w:rsidRDefault="001637BE" w:rsidP="00BA6957">
            <w:pPr>
              <w:pStyle w:val="TableTextEntries"/>
              <w:rPr>
                <w:sz w:val="16"/>
                <w:szCs w:val="16"/>
              </w:rPr>
            </w:pPr>
            <w:r w:rsidRPr="0065389A">
              <w:rPr>
                <w:sz w:val="16"/>
                <w:szCs w:val="16"/>
              </w:rPr>
              <w:t>Australia continued to co-chair the Education Sector Working Group, and continued to perform the role of a co-ordinating agency for GPE.</w:t>
            </w:r>
          </w:p>
        </w:tc>
        <w:tc>
          <w:tcPr>
            <w:tcW w:w="0" w:type="auto"/>
          </w:tcPr>
          <w:p w:rsidR="00624F9E" w:rsidRPr="0065389A" w:rsidRDefault="00624F9E" w:rsidP="00BA6957">
            <w:pPr>
              <w:pStyle w:val="TableTextEntries"/>
              <w:rPr>
                <w:sz w:val="16"/>
                <w:szCs w:val="16"/>
              </w:rPr>
            </w:pPr>
            <w:r w:rsidRPr="0065389A">
              <w:rPr>
                <w:sz w:val="16"/>
                <w:szCs w:val="16"/>
              </w:rPr>
              <w:t xml:space="preserve">Australia will monitor resourcing requirements of coordination roles, and our effectiveness. </w:t>
            </w:r>
          </w:p>
          <w:p w:rsidR="005C310A" w:rsidRPr="0065389A" w:rsidRDefault="001637BE" w:rsidP="00BA6957">
            <w:pPr>
              <w:pStyle w:val="TableTextEntries"/>
              <w:rPr>
                <w:sz w:val="16"/>
                <w:szCs w:val="16"/>
              </w:rPr>
            </w:pPr>
            <w:r w:rsidRPr="0065389A">
              <w:rPr>
                <w:sz w:val="16"/>
                <w:szCs w:val="16"/>
              </w:rPr>
              <w:t xml:space="preserve">Australia </w:t>
            </w:r>
            <w:r w:rsidR="00624F9E" w:rsidRPr="0065389A">
              <w:rPr>
                <w:sz w:val="16"/>
                <w:szCs w:val="16"/>
              </w:rPr>
              <w:t>intends</w:t>
            </w:r>
            <w:r w:rsidRPr="0065389A">
              <w:rPr>
                <w:sz w:val="16"/>
                <w:szCs w:val="16"/>
              </w:rPr>
              <w:t xml:space="preserve"> </w:t>
            </w:r>
            <w:r w:rsidR="00624F9E" w:rsidRPr="0065389A">
              <w:rPr>
                <w:sz w:val="16"/>
                <w:szCs w:val="16"/>
              </w:rPr>
              <w:t xml:space="preserve">to </w:t>
            </w:r>
            <w:r w:rsidRPr="0065389A">
              <w:rPr>
                <w:sz w:val="16"/>
                <w:szCs w:val="16"/>
              </w:rPr>
              <w:t xml:space="preserve">continue to co-chair the ESWG. </w:t>
            </w:r>
          </w:p>
        </w:tc>
        <w:tc>
          <w:tcPr>
            <w:tcW w:w="0" w:type="auto"/>
          </w:tcPr>
          <w:p w:rsidR="005C310A" w:rsidRPr="0065389A" w:rsidRDefault="00DD4D2F" w:rsidP="00BA6957">
            <w:pPr>
              <w:pStyle w:val="TableTextEntries"/>
              <w:rPr>
                <w:sz w:val="16"/>
                <w:szCs w:val="16"/>
              </w:rPr>
            </w:pPr>
            <w:r w:rsidRPr="0065389A">
              <w:rPr>
                <w:sz w:val="16"/>
                <w:szCs w:val="16"/>
              </w:rPr>
              <w:t>Medium</w:t>
            </w:r>
          </w:p>
        </w:tc>
      </w:tr>
      <w:tr w:rsidR="00115070" w:rsidRPr="0065389A" w:rsidTr="00CD0287">
        <w:tc>
          <w:tcPr>
            <w:tcW w:w="2646" w:type="dxa"/>
          </w:tcPr>
          <w:p w:rsidR="00115070" w:rsidRPr="0065389A" w:rsidRDefault="00115070" w:rsidP="00BA6957">
            <w:pPr>
              <w:pStyle w:val="TableTextEntries"/>
              <w:rPr>
                <w:sz w:val="16"/>
                <w:szCs w:val="16"/>
              </w:rPr>
            </w:pPr>
            <w:r w:rsidRPr="0065389A">
              <w:rPr>
                <w:sz w:val="16"/>
                <w:szCs w:val="16"/>
              </w:rPr>
              <w:t>Australia’s leadership in coordination draws staff away from core responsibilities.</w:t>
            </w:r>
          </w:p>
        </w:tc>
        <w:tc>
          <w:tcPr>
            <w:tcW w:w="2949" w:type="dxa"/>
          </w:tcPr>
          <w:p w:rsidR="00115070" w:rsidRPr="0065389A" w:rsidRDefault="00115070" w:rsidP="00BA6957">
            <w:pPr>
              <w:pStyle w:val="TableTextEntries"/>
              <w:rPr>
                <w:sz w:val="16"/>
                <w:szCs w:val="16"/>
              </w:rPr>
            </w:pPr>
          </w:p>
        </w:tc>
        <w:tc>
          <w:tcPr>
            <w:tcW w:w="0" w:type="auto"/>
          </w:tcPr>
          <w:p w:rsidR="00115070" w:rsidRPr="0065389A" w:rsidRDefault="00115070" w:rsidP="00CB0D95">
            <w:pPr>
              <w:pStyle w:val="TableTextEntries"/>
              <w:rPr>
                <w:sz w:val="16"/>
                <w:szCs w:val="16"/>
              </w:rPr>
            </w:pPr>
            <w:r w:rsidRPr="0065389A">
              <w:rPr>
                <w:sz w:val="16"/>
                <w:szCs w:val="16"/>
              </w:rPr>
              <w:t xml:space="preserve">Australia </w:t>
            </w:r>
            <w:r w:rsidR="00CB0D95">
              <w:rPr>
                <w:sz w:val="16"/>
                <w:szCs w:val="16"/>
              </w:rPr>
              <w:t>will</w:t>
            </w:r>
            <w:r w:rsidR="00CB0D95" w:rsidRPr="0065389A">
              <w:rPr>
                <w:sz w:val="16"/>
                <w:szCs w:val="16"/>
              </w:rPr>
              <w:t xml:space="preserve"> </w:t>
            </w:r>
            <w:r w:rsidRPr="0065389A">
              <w:rPr>
                <w:sz w:val="16"/>
                <w:szCs w:val="16"/>
              </w:rPr>
              <w:t xml:space="preserve">consider stepping down as the GPE co-coordinating agency due the management resources it requires. </w:t>
            </w:r>
          </w:p>
        </w:tc>
        <w:tc>
          <w:tcPr>
            <w:tcW w:w="0" w:type="auto"/>
          </w:tcPr>
          <w:p w:rsidR="00115070" w:rsidRPr="0065389A" w:rsidRDefault="00115070" w:rsidP="00BA6957">
            <w:pPr>
              <w:pStyle w:val="TableTextEntries"/>
              <w:rPr>
                <w:sz w:val="16"/>
                <w:szCs w:val="16"/>
              </w:rPr>
            </w:pPr>
            <w:r w:rsidRPr="0065389A">
              <w:rPr>
                <w:sz w:val="16"/>
                <w:szCs w:val="16"/>
              </w:rPr>
              <w:t>High</w:t>
            </w:r>
          </w:p>
        </w:tc>
      </w:tr>
      <w:tr w:rsidR="005C310A" w:rsidRPr="0065389A" w:rsidTr="0006433F">
        <w:tc>
          <w:tcPr>
            <w:tcW w:w="2646" w:type="dxa"/>
          </w:tcPr>
          <w:p w:rsidR="005C310A" w:rsidRPr="0065389A" w:rsidRDefault="001637BE" w:rsidP="00BA6957">
            <w:pPr>
              <w:pStyle w:val="TableTextEntries"/>
              <w:rPr>
                <w:sz w:val="16"/>
                <w:szCs w:val="16"/>
              </w:rPr>
            </w:pPr>
            <w:r w:rsidRPr="0065389A">
              <w:rPr>
                <w:sz w:val="16"/>
                <w:szCs w:val="16"/>
              </w:rPr>
              <w:t xml:space="preserve">The operating environment for NGOs becomes more restrictive. </w:t>
            </w:r>
          </w:p>
        </w:tc>
        <w:tc>
          <w:tcPr>
            <w:tcW w:w="2949" w:type="dxa"/>
          </w:tcPr>
          <w:p w:rsidR="005C310A" w:rsidRPr="0065389A" w:rsidRDefault="0008391F" w:rsidP="00BA6957">
            <w:pPr>
              <w:pStyle w:val="TableTextEntries"/>
              <w:rPr>
                <w:sz w:val="16"/>
                <w:szCs w:val="16"/>
              </w:rPr>
            </w:pPr>
            <w:r w:rsidRPr="0065389A">
              <w:rPr>
                <w:sz w:val="16"/>
                <w:szCs w:val="16"/>
              </w:rPr>
              <w:t xml:space="preserve">NGOs implementing LARLP have MOUs in place which clarifies the terms by which </w:t>
            </w:r>
            <w:r w:rsidR="005F1E83" w:rsidRPr="0065389A">
              <w:rPr>
                <w:sz w:val="16"/>
                <w:szCs w:val="16"/>
              </w:rPr>
              <w:t xml:space="preserve">Laos </w:t>
            </w:r>
            <w:r w:rsidRPr="0065389A">
              <w:rPr>
                <w:sz w:val="16"/>
                <w:szCs w:val="16"/>
              </w:rPr>
              <w:t>agree</w:t>
            </w:r>
            <w:r w:rsidR="005F1E83" w:rsidRPr="0065389A">
              <w:rPr>
                <w:sz w:val="16"/>
                <w:szCs w:val="16"/>
              </w:rPr>
              <w:t>s</w:t>
            </w:r>
            <w:r w:rsidRPr="0065389A">
              <w:rPr>
                <w:sz w:val="16"/>
                <w:szCs w:val="16"/>
              </w:rPr>
              <w:t xml:space="preserve"> to their operations. </w:t>
            </w:r>
          </w:p>
          <w:p w:rsidR="001637BE" w:rsidRPr="0065389A" w:rsidRDefault="001637BE" w:rsidP="00BA6957">
            <w:pPr>
              <w:pStyle w:val="TableTextEntries"/>
              <w:rPr>
                <w:sz w:val="16"/>
                <w:szCs w:val="16"/>
              </w:rPr>
            </w:pPr>
            <w:r w:rsidRPr="0065389A">
              <w:rPr>
                <w:sz w:val="16"/>
                <w:szCs w:val="16"/>
              </w:rPr>
              <w:t xml:space="preserve">Australia conducted consultations with MoFA to facilitate agreement of MOUs for NGOs </w:t>
            </w:r>
            <w:r w:rsidR="00E321B5" w:rsidRPr="0065389A">
              <w:rPr>
                <w:sz w:val="16"/>
                <w:szCs w:val="16"/>
              </w:rPr>
              <w:t>supporting the BEQUAL program. A representative of the Lao Government participated on the selection panel for the NGO consortium. Australia included MoFA as a steering committee meeting for BEQUAL.</w:t>
            </w:r>
          </w:p>
        </w:tc>
        <w:tc>
          <w:tcPr>
            <w:tcW w:w="0" w:type="auto"/>
          </w:tcPr>
          <w:p w:rsidR="005C310A" w:rsidRPr="0065389A" w:rsidRDefault="00E321B5" w:rsidP="00CB0D95">
            <w:pPr>
              <w:pStyle w:val="TableTextEntries"/>
              <w:rPr>
                <w:sz w:val="16"/>
                <w:szCs w:val="16"/>
              </w:rPr>
            </w:pPr>
            <w:r w:rsidRPr="0065389A">
              <w:rPr>
                <w:sz w:val="16"/>
                <w:szCs w:val="16"/>
              </w:rPr>
              <w:t xml:space="preserve">Australia will continue to conduct consultations with MoFA to facilitate agreement of MOUs for NGOs </w:t>
            </w:r>
            <w:r w:rsidR="00CB0D95">
              <w:rPr>
                <w:sz w:val="16"/>
                <w:szCs w:val="16"/>
              </w:rPr>
              <w:t>in</w:t>
            </w:r>
            <w:r w:rsidR="00CB0D95" w:rsidRPr="0065389A">
              <w:rPr>
                <w:sz w:val="16"/>
                <w:szCs w:val="16"/>
              </w:rPr>
              <w:t xml:space="preserve"> </w:t>
            </w:r>
            <w:r w:rsidRPr="0065389A">
              <w:rPr>
                <w:sz w:val="16"/>
                <w:szCs w:val="16"/>
              </w:rPr>
              <w:t>the BEQUAL program.</w:t>
            </w:r>
          </w:p>
        </w:tc>
        <w:tc>
          <w:tcPr>
            <w:tcW w:w="0" w:type="auto"/>
          </w:tcPr>
          <w:p w:rsidR="005C310A" w:rsidRPr="0065389A" w:rsidRDefault="00DD4D2F" w:rsidP="00BA6957">
            <w:pPr>
              <w:pStyle w:val="TableTextEntries"/>
              <w:rPr>
                <w:sz w:val="16"/>
                <w:szCs w:val="16"/>
              </w:rPr>
            </w:pPr>
            <w:r w:rsidRPr="0065389A">
              <w:rPr>
                <w:sz w:val="16"/>
                <w:szCs w:val="16"/>
              </w:rPr>
              <w:t>Medium</w:t>
            </w:r>
          </w:p>
        </w:tc>
      </w:tr>
    </w:tbl>
    <w:p w:rsidR="001B4B51" w:rsidRDefault="001B4B51" w:rsidP="001B4B51">
      <w:pPr>
        <w:pStyle w:val="BodyText"/>
      </w:pPr>
    </w:p>
    <w:p w:rsidR="001B4B51" w:rsidRDefault="001B4B51" w:rsidP="001B4B51">
      <w:pPr>
        <w:pStyle w:val="BodyText"/>
      </w:pPr>
    </w:p>
    <w:p w:rsidR="000D733F" w:rsidRPr="00962508" w:rsidRDefault="000D733F" w:rsidP="00BA6957">
      <w:pPr>
        <w:pStyle w:val="Heading2"/>
        <w:rPr>
          <w:i/>
          <w:sz w:val="28"/>
        </w:rPr>
      </w:pPr>
      <w:r w:rsidRPr="00962508">
        <w:rPr>
          <w:sz w:val="28"/>
        </w:rPr>
        <w:lastRenderedPageBreak/>
        <w:t xml:space="preserve">Management </w:t>
      </w:r>
      <w:r w:rsidR="00805ADD" w:rsidRPr="00962508">
        <w:rPr>
          <w:sz w:val="28"/>
        </w:rPr>
        <w:t>Re</w:t>
      </w:r>
      <w:bookmarkStart w:id="2" w:name="_GoBack"/>
      <w:bookmarkEnd w:id="2"/>
      <w:r w:rsidR="00805ADD" w:rsidRPr="00962508">
        <w:rPr>
          <w:sz w:val="28"/>
        </w:rPr>
        <w:t>sponses</w:t>
      </w:r>
    </w:p>
    <w:p w:rsidR="00D1241A" w:rsidRPr="00962508" w:rsidRDefault="00AC7AB4" w:rsidP="00BA6957">
      <w:pPr>
        <w:pStyle w:val="ListBullet"/>
        <w:numPr>
          <w:ilvl w:val="0"/>
          <w:numId w:val="0"/>
        </w:numPr>
        <w:tabs>
          <w:tab w:val="clear" w:pos="284"/>
        </w:tabs>
        <w:ind w:left="360" w:hanging="360"/>
        <w:rPr>
          <w:b/>
        </w:rPr>
      </w:pPr>
      <w:r w:rsidRPr="00962508">
        <w:t>Progress in addressing 20</w:t>
      </w:r>
      <w:r w:rsidR="00D1241A" w:rsidRPr="00962508">
        <w:t xml:space="preserve">13-14 management responses is outlined in </w:t>
      </w:r>
      <w:r w:rsidR="00D1241A" w:rsidRPr="00962508">
        <w:rPr>
          <w:b/>
        </w:rPr>
        <w:t xml:space="preserve">Annex </w:t>
      </w:r>
      <w:r w:rsidR="001E1227" w:rsidRPr="00962508">
        <w:rPr>
          <w:b/>
        </w:rPr>
        <w:t>A.</w:t>
      </w:r>
    </w:p>
    <w:p w:rsidR="00EB3A31" w:rsidRPr="00962508" w:rsidRDefault="00EB3A31" w:rsidP="00BA6957">
      <w:pPr>
        <w:pStyle w:val="Heading3"/>
      </w:pPr>
      <w:r w:rsidRPr="00962508">
        <w:t>Education</w:t>
      </w:r>
    </w:p>
    <w:p w:rsidR="00EB3A31" w:rsidRPr="00962508" w:rsidRDefault="00CB0D95" w:rsidP="00BA6957">
      <w:pPr>
        <w:pStyle w:val="ListBullet"/>
        <w:tabs>
          <w:tab w:val="clear" w:pos="284"/>
        </w:tabs>
      </w:pPr>
      <w:r>
        <w:t>C</w:t>
      </w:r>
      <w:r w:rsidR="00EB3A31" w:rsidRPr="00962508">
        <w:t>onsider stepping down from t</w:t>
      </w:r>
      <w:r w:rsidR="00DD4D2F" w:rsidRPr="00962508">
        <w:t xml:space="preserve">he </w:t>
      </w:r>
      <w:r w:rsidR="00EB3A31" w:rsidRPr="00962508">
        <w:t xml:space="preserve">role </w:t>
      </w:r>
      <w:r w:rsidR="00DD4D2F" w:rsidRPr="00962508">
        <w:t>of GPE co-coordinating agency</w:t>
      </w:r>
      <w:r w:rsidR="0084385B" w:rsidRPr="00962508">
        <w:t xml:space="preserve"> in order to focus limited resources on ensuring effective mobilisation of BEQUAL.</w:t>
      </w:r>
    </w:p>
    <w:p w:rsidR="00EB3A31" w:rsidRPr="00962508" w:rsidRDefault="00CB0D95" w:rsidP="00BA6957">
      <w:pPr>
        <w:pStyle w:val="ListBullet"/>
        <w:tabs>
          <w:tab w:val="clear" w:pos="284"/>
        </w:tabs>
      </w:pPr>
      <w:r>
        <w:t>C</w:t>
      </w:r>
      <w:r w:rsidR="00DD4D2F" w:rsidRPr="00962508">
        <w:t xml:space="preserve">ontinue to </w:t>
      </w:r>
      <w:r>
        <w:t>encourage</w:t>
      </w:r>
      <w:r w:rsidR="00DD4D2F" w:rsidRPr="00962508">
        <w:t xml:space="preserve"> the Lao </w:t>
      </w:r>
      <w:r w:rsidR="00160EA8">
        <w:t>G</w:t>
      </w:r>
      <w:r w:rsidR="00DD4D2F" w:rsidRPr="00962508">
        <w:t xml:space="preserve">overnment </w:t>
      </w:r>
      <w:r>
        <w:t xml:space="preserve">to </w:t>
      </w:r>
      <w:r w:rsidR="00DD4D2F" w:rsidRPr="00962508">
        <w:t>meet its commitment to disburse</w:t>
      </w:r>
      <w:r w:rsidR="00EB3A31" w:rsidRPr="00962508">
        <w:t xml:space="preserve"> school block grants </w:t>
      </w:r>
      <w:r w:rsidR="00DD4D2F" w:rsidRPr="00962508">
        <w:t>to ensure schools have funding to meet operational needs.</w:t>
      </w:r>
    </w:p>
    <w:p w:rsidR="00AD1C7A" w:rsidRPr="00962508" w:rsidRDefault="00CB0D95" w:rsidP="00BA6957">
      <w:pPr>
        <w:pStyle w:val="ListBullet"/>
        <w:tabs>
          <w:tab w:val="clear" w:pos="284"/>
        </w:tabs>
      </w:pPr>
      <w:r>
        <w:t>A</w:t>
      </w:r>
      <w:r w:rsidR="00AD1C7A" w:rsidRPr="00962508">
        <w:t>dvocate for a review of the</w:t>
      </w:r>
      <w:r w:rsidR="00726458">
        <w:t xml:space="preserve"> </w:t>
      </w:r>
      <w:r>
        <w:t>JSRM</w:t>
      </w:r>
      <w:r w:rsidR="00AD1C7A" w:rsidRPr="00962508">
        <w:t xml:space="preserve"> </w:t>
      </w:r>
      <w:r w:rsidR="00016E30">
        <w:t xml:space="preserve">process </w:t>
      </w:r>
      <w:r w:rsidR="00AD1C7A" w:rsidRPr="00962508">
        <w:t>to take place in 201</w:t>
      </w:r>
      <w:r w:rsidR="00721584" w:rsidRPr="00962508">
        <w:t>6</w:t>
      </w:r>
      <w:r w:rsidR="00AD1C7A" w:rsidRPr="00962508">
        <w:t>.</w:t>
      </w:r>
    </w:p>
    <w:p w:rsidR="00B95F6F" w:rsidRPr="00962508" w:rsidRDefault="00B95F6F" w:rsidP="00BA6957">
      <w:pPr>
        <w:pStyle w:val="Heading3"/>
      </w:pPr>
      <w:r w:rsidRPr="00962508">
        <w:t>Human Resource Development</w:t>
      </w:r>
    </w:p>
    <w:p w:rsidR="0084385B" w:rsidRPr="00962508" w:rsidRDefault="00CB0D95" w:rsidP="00BA6957">
      <w:pPr>
        <w:pStyle w:val="ListBullet"/>
        <w:tabs>
          <w:tab w:val="clear" w:pos="284"/>
        </w:tabs>
      </w:pPr>
      <w:r>
        <w:t>E</w:t>
      </w:r>
      <w:r w:rsidR="0084385B" w:rsidRPr="00962508">
        <w:t xml:space="preserve">xplore how the new DFAT gender equality strategy can be applied </w:t>
      </w:r>
      <w:r>
        <w:t xml:space="preserve">most </w:t>
      </w:r>
      <w:r w:rsidR="0084385B" w:rsidRPr="00962508">
        <w:t>effectively</w:t>
      </w:r>
      <w:r w:rsidR="00155450" w:rsidRPr="00962508">
        <w:t>.</w:t>
      </w:r>
    </w:p>
    <w:p w:rsidR="00EB3A31" w:rsidRPr="00962508" w:rsidRDefault="00EB3A31" w:rsidP="00BA6957">
      <w:pPr>
        <w:pStyle w:val="Heading3"/>
      </w:pPr>
      <w:r w:rsidRPr="00962508">
        <w:t>Trade</w:t>
      </w:r>
      <w:r w:rsidR="002424AB" w:rsidRPr="00962508">
        <w:t xml:space="preserve"> and private sector</w:t>
      </w:r>
    </w:p>
    <w:p w:rsidR="00976374" w:rsidRPr="00962508" w:rsidRDefault="00CB0D95" w:rsidP="00BA6957">
      <w:pPr>
        <w:pStyle w:val="ListBullet"/>
        <w:tabs>
          <w:tab w:val="clear" w:pos="284"/>
          <w:tab w:val="left" w:pos="720"/>
        </w:tabs>
      </w:pPr>
      <w:r>
        <w:t>N</w:t>
      </w:r>
      <w:r w:rsidR="00976374" w:rsidRPr="00962508">
        <w:t xml:space="preserve">egotiate </w:t>
      </w:r>
      <w:r w:rsidR="0084385B" w:rsidRPr="00962508">
        <w:t xml:space="preserve">an </w:t>
      </w:r>
      <w:r w:rsidR="00976374" w:rsidRPr="00962508">
        <w:t xml:space="preserve">agreement for additional funding for TDF </w:t>
      </w:r>
      <w:r>
        <w:t>2</w:t>
      </w:r>
      <w:r w:rsidR="0084385B" w:rsidRPr="00962508">
        <w:t xml:space="preserve"> as a result of its one year extension</w:t>
      </w:r>
      <w:r w:rsidR="00976374" w:rsidRPr="00962508">
        <w:t>, focussed on strengthening the business enabling environment and support</w:t>
      </w:r>
      <w:r>
        <w:t>ing</w:t>
      </w:r>
      <w:r w:rsidR="00976374" w:rsidRPr="00962508">
        <w:t xml:space="preserve"> SMEs.</w:t>
      </w:r>
    </w:p>
    <w:p w:rsidR="00976374" w:rsidRDefault="00CB0D95" w:rsidP="00BA6957">
      <w:pPr>
        <w:pStyle w:val="ListBullet"/>
        <w:tabs>
          <w:tab w:val="clear" w:pos="284"/>
          <w:tab w:val="left" w:pos="720"/>
        </w:tabs>
      </w:pPr>
      <w:r>
        <w:t>I</w:t>
      </w:r>
      <w:r w:rsidR="00DF16FE">
        <w:t>ntegrate</w:t>
      </w:r>
      <w:r w:rsidR="00976374" w:rsidRPr="00962508">
        <w:t xml:space="preserve"> ODE’s recommendations from an upcoming aid for trade evaluation</w:t>
      </w:r>
      <w:r w:rsidR="00DF16FE">
        <w:t xml:space="preserve"> into the design of any successor program to TDF 2.</w:t>
      </w:r>
      <w:r w:rsidR="00976374" w:rsidRPr="00962508">
        <w:t xml:space="preserve"> </w:t>
      </w:r>
    </w:p>
    <w:p w:rsidR="00757047" w:rsidRPr="00962508" w:rsidRDefault="00CB0D95" w:rsidP="00BA6957">
      <w:pPr>
        <w:pStyle w:val="ListBullet"/>
        <w:tabs>
          <w:tab w:val="clear" w:pos="284"/>
          <w:tab w:val="left" w:pos="720"/>
        </w:tabs>
      </w:pPr>
      <w:r>
        <w:t>E</w:t>
      </w:r>
      <w:r w:rsidR="00757047">
        <w:t>nsure women’s economic empowerment and gender equality are a stronger focus under TDF 2</w:t>
      </w:r>
      <w:r>
        <w:t xml:space="preserve"> and </w:t>
      </w:r>
      <w:r w:rsidR="00757047">
        <w:t>submit a proposal for additional assistance to the gender equality fund.</w:t>
      </w:r>
    </w:p>
    <w:p w:rsidR="00C30D0B" w:rsidRPr="00962508" w:rsidRDefault="00C30D0B" w:rsidP="00BA6957">
      <w:pPr>
        <w:pStyle w:val="Heading3"/>
      </w:pPr>
      <w:r w:rsidRPr="00962508">
        <w:t>Rural Development</w:t>
      </w:r>
    </w:p>
    <w:p w:rsidR="00C30D0B" w:rsidRPr="00962508" w:rsidRDefault="00CB0D95" w:rsidP="00BA6957">
      <w:pPr>
        <w:pStyle w:val="ListBullet"/>
        <w:tabs>
          <w:tab w:val="clear" w:pos="284"/>
        </w:tabs>
      </w:pPr>
      <w:r>
        <w:t>S</w:t>
      </w:r>
      <w:r w:rsidR="00C30D0B" w:rsidRPr="00962508">
        <w:t xml:space="preserve">upport a World Bank-led impact evaluation of the </w:t>
      </w:r>
      <w:r>
        <w:t>PRF II</w:t>
      </w:r>
      <w:r w:rsidR="00C30D0B" w:rsidRPr="00962508">
        <w:t xml:space="preserve"> and utilise the </w:t>
      </w:r>
      <w:r w:rsidR="00B15145">
        <w:t>outcomes, along with the LARLP Independent Evaluation,</w:t>
      </w:r>
      <w:r w:rsidR="00B15145" w:rsidRPr="00962508">
        <w:t xml:space="preserve"> </w:t>
      </w:r>
      <w:r w:rsidR="00C30D0B" w:rsidRPr="00962508">
        <w:t xml:space="preserve">to </w:t>
      </w:r>
      <w:r>
        <w:t>guide</w:t>
      </w:r>
      <w:r w:rsidR="00C30D0B" w:rsidRPr="00962508">
        <w:t xml:space="preserve"> Australia’s withdrawal from the rural development sector.</w:t>
      </w:r>
    </w:p>
    <w:p w:rsidR="00C30D0B" w:rsidRPr="00962508" w:rsidRDefault="00790B3C" w:rsidP="00BA6957">
      <w:pPr>
        <w:pStyle w:val="ListBullet"/>
        <w:tabs>
          <w:tab w:val="clear" w:pos="284"/>
        </w:tabs>
        <w:sectPr w:rsidR="00C30D0B" w:rsidRPr="00962508" w:rsidSect="00603A3B">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1440" w:right="1440" w:bottom="1440" w:left="1440" w:header="851" w:footer="567" w:gutter="0"/>
          <w:pgNumType w:start="1"/>
          <w:cols w:space="720"/>
          <w:docGrid w:linePitch="326"/>
        </w:sectPr>
      </w:pPr>
      <w:r>
        <w:t>Encourage</w:t>
      </w:r>
      <w:r w:rsidR="00C30D0B" w:rsidRPr="00962508">
        <w:t xml:space="preserve"> relevant development partners such as the World Bank</w:t>
      </w:r>
      <w:r w:rsidR="00B15145">
        <w:t>, UK Aid</w:t>
      </w:r>
      <w:r w:rsidR="00C30D0B" w:rsidRPr="00962508">
        <w:t xml:space="preserve"> and Germany </w:t>
      </w:r>
      <w:r>
        <w:t xml:space="preserve">to </w:t>
      </w:r>
      <w:r w:rsidR="00CB0D95">
        <w:t>c</w:t>
      </w:r>
      <w:r w:rsidR="00016E30">
        <w:t>ontinu</w:t>
      </w:r>
      <w:r>
        <w:t>e</w:t>
      </w:r>
      <w:r w:rsidR="00C30D0B" w:rsidRPr="00962508">
        <w:t xml:space="preserve"> social protection/livelihoods and financial inclusion</w:t>
      </w:r>
      <w:r w:rsidR="00016E30">
        <w:t xml:space="preserve"> </w:t>
      </w:r>
      <w:r w:rsidR="00016E30" w:rsidRPr="00962508">
        <w:t xml:space="preserve">investments </w:t>
      </w:r>
      <w:r w:rsidR="00016E30">
        <w:t>once Australian support concludes</w:t>
      </w:r>
      <w:r w:rsidR="00B15145">
        <w:t xml:space="preserve"> in 2017</w:t>
      </w:r>
      <w:r w:rsidR="00C30D0B" w:rsidRPr="00962508">
        <w:t xml:space="preserve">. </w:t>
      </w:r>
    </w:p>
    <w:p w:rsidR="005C310A" w:rsidRPr="00962508" w:rsidRDefault="004F202A" w:rsidP="00BA6957">
      <w:pPr>
        <w:pStyle w:val="Heading2"/>
      </w:pPr>
      <w:r w:rsidRPr="00962508">
        <w:rPr>
          <w:sz w:val="28"/>
        </w:rPr>
        <w:lastRenderedPageBreak/>
        <w:t>Annex A</w:t>
      </w:r>
      <w:r w:rsidR="005C310A" w:rsidRPr="00962508">
        <w:rPr>
          <w:sz w:val="28"/>
        </w:rPr>
        <w:t xml:space="preserve"> - Progress in Addressing Management Responses</w:t>
      </w:r>
    </w:p>
    <w:tbl>
      <w:tblPr>
        <w:tblStyle w:val="APPR"/>
        <w:tblpPr w:leftFromText="180" w:rightFromText="180" w:vertAnchor="text" w:tblpY="1"/>
        <w:tblW w:w="5000" w:type="pct"/>
        <w:tblLook w:val="0000" w:firstRow="0" w:lastRow="0" w:firstColumn="0" w:lastColumn="0" w:noHBand="0" w:noVBand="0"/>
        <w:tblCaption w:val="Annex A - Progress in Addressing Management Responses"/>
        <w:tblDescription w:val="Annex A shows progress in addressing management responses identified in the 2013-14 APPR and progress made in addressing them in financial year 2014-15.  It shows management responses identified in the financial year 2013-14 APPR to be progressed in financial year 2014-15.  It rates financial year 2014-15 progress in undertaking the expected management responses.  It includes a narrative covering the progress made.   The progress rating uses a 3 point rating scale:  Achieved - significant progress has been made in addressing the issue.  Partly achieved - some progress has been made in addressing the issue, but the issue has not been resolved.  Not achieved - progress in addressing the issue has been significantly below expectations.  "/>
      </w:tblPr>
      <w:tblGrid>
        <w:gridCol w:w="5746"/>
        <w:gridCol w:w="988"/>
        <w:gridCol w:w="7496"/>
      </w:tblGrid>
      <w:tr w:rsidR="005C310A" w:rsidRPr="00962508" w:rsidTr="00356AA1">
        <w:trPr>
          <w:cnfStyle w:val="000000010000" w:firstRow="0" w:lastRow="0" w:firstColumn="0" w:lastColumn="0" w:oddVBand="0" w:evenVBand="0" w:oddHBand="0" w:evenHBand="1" w:firstRowFirstColumn="0" w:firstRowLastColumn="0" w:lastRowFirstColumn="0" w:lastRowLastColumn="0"/>
          <w:trHeight w:val="366"/>
        </w:trPr>
        <w:tc>
          <w:tcPr>
            <w:tcW w:w="2005" w:type="pct"/>
          </w:tcPr>
          <w:p w:rsidR="005C310A" w:rsidRPr="00962508" w:rsidRDefault="005C310A" w:rsidP="00BA6957">
            <w:pPr>
              <w:pStyle w:val="TableTextColumnHeading"/>
              <w:tabs>
                <w:tab w:val="left" w:pos="1185"/>
              </w:tabs>
            </w:pPr>
            <w:r w:rsidRPr="00962508">
              <w:t>Management respon</w:t>
            </w:r>
            <w:r w:rsidR="00F43B6E" w:rsidRPr="00962508">
              <w:t>s</w:t>
            </w:r>
            <w:r w:rsidRPr="00962508">
              <w:t>es identified in 2013-14 APPR</w:t>
            </w:r>
            <w:r w:rsidRPr="00962508">
              <w:tab/>
            </w:r>
          </w:p>
        </w:tc>
        <w:tc>
          <w:tcPr>
            <w:tcW w:w="337" w:type="pct"/>
          </w:tcPr>
          <w:p w:rsidR="005C310A" w:rsidRPr="00962508" w:rsidRDefault="005C310A" w:rsidP="00BA6957">
            <w:pPr>
              <w:pStyle w:val="TableTextColumnHeading"/>
            </w:pPr>
            <w:r w:rsidRPr="00962508">
              <w:t>Rating</w:t>
            </w:r>
          </w:p>
        </w:tc>
        <w:tc>
          <w:tcPr>
            <w:tcW w:w="2620" w:type="pct"/>
          </w:tcPr>
          <w:p w:rsidR="005C310A" w:rsidRPr="00962508" w:rsidRDefault="005C310A" w:rsidP="00BA6957">
            <w:pPr>
              <w:pStyle w:val="TableTextColumnHeading"/>
            </w:pPr>
            <w:r w:rsidRPr="00962508">
              <w:t>Progress made in 2014-</w:t>
            </w:r>
            <w:r w:rsidR="00E70C0E" w:rsidRPr="00962508">
              <w:t>1</w:t>
            </w:r>
            <w:r w:rsidRPr="00962508">
              <w:t>5</w:t>
            </w:r>
          </w:p>
        </w:tc>
      </w:tr>
      <w:tr w:rsidR="00567A9A" w:rsidRPr="00962508" w:rsidTr="00356AA1">
        <w:trPr>
          <w:cnfStyle w:val="000000010000" w:firstRow="0" w:lastRow="0" w:firstColumn="0" w:lastColumn="0" w:oddVBand="0" w:evenVBand="0" w:oddHBand="0" w:evenHBand="1" w:firstRowFirstColumn="0" w:firstRowLastColumn="0" w:lastRowFirstColumn="0" w:lastRowLastColumn="0"/>
          <w:trHeight w:val="973"/>
        </w:trPr>
        <w:tc>
          <w:tcPr>
            <w:tcW w:w="2005" w:type="pct"/>
          </w:tcPr>
          <w:p w:rsidR="00567A9A" w:rsidRPr="00962508" w:rsidRDefault="00567A9A" w:rsidP="00790B3C">
            <w:pPr>
              <w:pStyle w:val="TableTextEntries"/>
            </w:pPr>
            <w:r w:rsidRPr="00962508">
              <w:rPr>
                <w:lang w:eastAsia="zh-CN"/>
              </w:rPr>
              <w:t>Continue to monitor and deepen understanding about the implications of Lao</w:t>
            </w:r>
            <w:r w:rsidR="00790B3C">
              <w:rPr>
                <w:lang w:eastAsia="zh-CN"/>
              </w:rPr>
              <w:t>s’</w:t>
            </w:r>
            <w:r w:rsidRPr="00962508">
              <w:rPr>
                <w:lang w:eastAsia="zh-CN"/>
              </w:rPr>
              <w:t xml:space="preserve"> tight fiscal situation on current and future aid program investments.  Conduct a review of Rural Development Program and Education Program during 2014-15 to assess level of government.</w:t>
            </w:r>
          </w:p>
        </w:tc>
        <w:tc>
          <w:tcPr>
            <w:tcW w:w="337" w:type="pct"/>
            <w:shd w:val="clear" w:color="auto" w:fill="F79646" w:themeFill="accent6"/>
          </w:tcPr>
          <w:p w:rsidR="00567A9A" w:rsidRPr="00962508" w:rsidRDefault="0066693D" w:rsidP="00BA6957">
            <w:pPr>
              <w:pStyle w:val="TableTextEntries"/>
              <w:rPr>
                <w:color w:val="FFFFFF" w:themeColor="background1"/>
              </w:rPr>
            </w:pPr>
            <w:r w:rsidRPr="00962508">
              <w:rPr>
                <w:color w:val="FFFFFF" w:themeColor="background1"/>
              </w:rPr>
              <w:t>Partly achieved</w:t>
            </w:r>
          </w:p>
        </w:tc>
        <w:tc>
          <w:tcPr>
            <w:tcW w:w="2620" w:type="pct"/>
          </w:tcPr>
          <w:p w:rsidR="00567A9A" w:rsidRPr="00356AA1" w:rsidRDefault="00D649DE" w:rsidP="00790B3C">
            <w:pPr>
              <w:pStyle w:val="TableTextEntries"/>
              <w:rPr>
                <w:lang w:eastAsia="zh-CN"/>
              </w:rPr>
            </w:pPr>
            <w:r w:rsidRPr="00962508">
              <w:rPr>
                <w:lang w:eastAsia="zh-CN"/>
              </w:rPr>
              <w:t>The Independent Rapid Appraisal of the Rural Development Sector Investment Plan was completed in Nov 2014.</w:t>
            </w:r>
            <w:r w:rsidR="00606541">
              <w:rPr>
                <w:lang w:eastAsia="zh-CN"/>
              </w:rPr>
              <w:t xml:space="preserve"> </w:t>
            </w:r>
            <w:r w:rsidR="0066693D" w:rsidRPr="00962508">
              <w:rPr>
                <w:lang w:eastAsia="zh-CN"/>
              </w:rPr>
              <w:t>Due to uncertainty and delays in mobilising the education program, Australia has not commissioned a review of the Education program to assess level of government financing but will do so in 2015-16.</w:t>
            </w:r>
          </w:p>
        </w:tc>
      </w:tr>
      <w:tr w:rsidR="00567A9A" w:rsidRPr="00962508" w:rsidTr="00356AA1">
        <w:trPr>
          <w:cnfStyle w:val="000000010000" w:firstRow="0" w:lastRow="0" w:firstColumn="0" w:lastColumn="0" w:oddVBand="0" w:evenVBand="0" w:oddHBand="0" w:evenHBand="1" w:firstRowFirstColumn="0" w:firstRowLastColumn="0" w:lastRowFirstColumn="0" w:lastRowLastColumn="0"/>
          <w:trHeight w:val="919"/>
        </w:trPr>
        <w:tc>
          <w:tcPr>
            <w:tcW w:w="2005" w:type="pct"/>
          </w:tcPr>
          <w:p w:rsidR="00567A9A" w:rsidRPr="00962508" w:rsidRDefault="00567A9A" w:rsidP="00BA6957">
            <w:pPr>
              <w:pStyle w:val="TableTextEntries"/>
              <w:rPr>
                <w:lang w:eastAsia="zh-CN"/>
              </w:rPr>
            </w:pPr>
            <w:r w:rsidRPr="00962508">
              <w:rPr>
                <w:lang w:eastAsia="zh-CN"/>
              </w:rPr>
              <w:t>Develop a deeper understanding of the impact on broader reform processes of Laos’ tightening fiscal environment and its impending participation in the ASEAN Economic Community.</w:t>
            </w:r>
          </w:p>
        </w:tc>
        <w:tc>
          <w:tcPr>
            <w:tcW w:w="337" w:type="pct"/>
            <w:shd w:val="clear" w:color="auto" w:fill="9BBB59" w:themeFill="accent3"/>
          </w:tcPr>
          <w:p w:rsidR="00567A9A" w:rsidRPr="00962508" w:rsidRDefault="00E70C0E" w:rsidP="00BA6957">
            <w:pPr>
              <w:pStyle w:val="TableTextEntries"/>
              <w:rPr>
                <w:color w:val="FFFFFF" w:themeColor="background1"/>
              </w:rPr>
            </w:pPr>
            <w:r w:rsidRPr="00962508">
              <w:rPr>
                <w:color w:val="FFFFFF" w:themeColor="background1"/>
              </w:rPr>
              <w:t>Achieved</w:t>
            </w:r>
          </w:p>
        </w:tc>
        <w:tc>
          <w:tcPr>
            <w:tcW w:w="2620" w:type="pct"/>
          </w:tcPr>
          <w:p w:rsidR="00567A9A" w:rsidRPr="00356AA1" w:rsidRDefault="005F1E83" w:rsidP="00606541">
            <w:pPr>
              <w:pStyle w:val="TableTextEntries"/>
              <w:rPr>
                <w:lang w:eastAsia="zh-CN"/>
              </w:rPr>
            </w:pPr>
            <w:r>
              <w:rPr>
                <w:lang w:eastAsia="zh-CN"/>
              </w:rPr>
              <w:t>World Bank</w:t>
            </w:r>
            <w:r w:rsidRPr="00962508">
              <w:rPr>
                <w:lang w:eastAsia="zh-CN"/>
              </w:rPr>
              <w:t xml:space="preserve"> </w:t>
            </w:r>
            <w:r w:rsidR="00E70C0E" w:rsidRPr="00962508">
              <w:rPr>
                <w:lang w:eastAsia="zh-CN"/>
              </w:rPr>
              <w:t>analytical contributions on this topic have deepened our understanding of the challenges Laos is likely to face under the ASEAN Economic Community. DFAT is also supporting analytical work to support Ministry of Industry and Commerce to clarify its economic priorities for ASEAN next year to support their</w:t>
            </w:r>
            <w:r>
              <w:rPr>
                <w:lang w:eastAsia="zh-CN"/>
              </w:rPr>
              <w:t xml:space="preserve"> </w:t>
            </w:r>
            <w:r w:rsidR="00E70C0E" w:rsidRPr="00962508">
              <w:rPr>
                <w:lang w:eastAsia="zh-CN"/>
              </w:rPr>
              <w:t>participation in the AEC and ensure they are better prepa</w:t>
            </w:r>
            <w:r w:rsidR="00E70C0E" w:rsidRPr="00356AA1">
              <w:rPr>
                <w:lang w:eastAsia="zh-CN"/>
              </w:rPr>
              <w:t>red</w:t>
            </w:r>
            <w:r w:rsidR="00356AA1" w:rsidRPr="00356AA1">
              <w:rPr>
                <w:lang w:eastAsia="zh-CN"/>
              </w:rPr>
              <w:t>.</w:t>
            </w:r>
          </w:p>
        </w:tc>
      </w:tr>
      <w:tr w:rsidR="00567A9A" w:rsidRPr="00962508" w:rsidTr="00356AA1">
        <w:trPr>
          <w:cnfStyle w:val="000000010000" w:firstRow="0" w:lastRow="0" w:firstColumn="0" w:lastColumn="0" w:oddVBand="0" w:evenVBand="0" w:oddHBand="0" w:evenHBand="1" w:firstRowFirstColumn="0" w:firstRowLastColumn="0" w:lastRowFirstColumn="0" w:lastRowLastColumn="0"/>
        </w:trPr>
        <w:tc>
          <w:tcPr>
            <w:tcW w:w="2005" w:type="pct"/>
          </w:tcPr>
          <w:p w:rsidR="00567A9A" w:rsidRPr="00962508" w:rsidRDefault="00567A9A" w:rsidP="00BA6957">
            <w:pPr>
              <w:pStyle w:val="TableTextEntries"/>
              <w:rPr>
                <w:lang w:eastAsia="zh-CN"/>
              </w:rPr>
            </w:pPr>
            <w:r w:rsidRPr="00962508">
              <w:rPr>
                <w:lang w:eastAsia="zh-CN"/>
              </w:rPr>
              <w:t>Develop a fit-for-purpose approach to managing social safeguard risks across all major investments, drawing on PRFII lessoned learned on resettlement risk.</w:t>
            </w:r>
          </w:p>
        </w:tc>
        <w:tc>
          <w:tcPr>
            <w:tcW w:w="337" w:type="pct"/>
            <w:shd w:val="clear" w:color="auto" w:fill="9BBB59" w:themeFill="accent3"/>
          </w:tcPr>
          <w:p w:rsidR="00567A9A" w:rsidRPr="00962508" w:rsidRDefault="002527D2" w:rsidP="00BA6957">
            <w:pPr>
              <w:pStyle w:val="TableTextEntries"/>
              <w:rPr>
                <w:color w:val="FFFFFF" w:themeColor="background1"/>
              </w:rPr>
            </w:pPr>
            <w:r w:rsidRPr="00962508">
              <w:rPr>
                <w:color w:val="FFFFFF" w:themeColor="background1"/>
              </w:rPr>
              <w:t>Achieved</w:t>
            </w:r>
          </w:p>
        </w:tc>
        <w:tc>
          <w:tcPr>
            <w:tcW w:w="2620" w:type="pct"/>
          </w:tcPr>
          <w:p w:rsidR="00567A9A" w:rsidRPr="00962508" w:rsidRDefault="00D649DE" w:rsidP="00BA6957">
            <w:pPr>
              <w:pStyle w:val="TableTextEntries"/>
              <w:rPr>
                <w:lang w:eastAsia="zh-CN"/>
              </w:rPr>
            </w:pPr>
            <w:r w:rsidRPr="00962508">
              <w:rPr>
                <w:lang w:eastAsia="zh-CN"/>
              </w:rPr>
              <w:t xml:space="preserve">The </w:t>
            </w:r>
            <w:r w:rsidR="005F1E83">
              <w:rPr>
                <w:lang w:eastAsia="zh-CN"/>
              </w:rPr>
              <w:t>LARLP and BEQUAL</w:t>
            </w:r>
            <w:r w:rsidR="002527D2" w:rsidRPr="00962508">
              <w:rPr>
                <w:lang w:eastAsia="zh-CN"/>
              </w:rPr>
              <w:t xml:space="preserve"> programs </w:t>
            </w:r>
            <w:r w:rsidRPr="00962508">
              <w:rPr>
                <w:lang w:eastAsia="zh-CN"/>
              </w:rPr>
              <w:t>ha</w:t>
            </w:r>
            <w:r w:rsidR="002527D2" w:rsidRPr="00962508">
              <w:rPr>
                <w:lang w:eastAsia="zh-CN"/>
              </w:rPr>
              <w:t>ve</w:t>
            </w:r>
            <w:r w:rsidRPr="00962508">
              <w:rPr>
                <w:lang w:eastAsia="zh-CN"/>
              </w:rPr>
              <w:t xml:space="preserve"> detailed risk management plan</w:t>
            </w:r>
            <w:r w:rsidR="002527D2" w:rsidRPr="00962508">
              <w:rPr>
                <w:lang w:eastAsia="zh-CN"/>
              </w:rPr>
              <w:t>s that include</w:t>
            </w:r>
            <w:r w:rsidRPr="00962508">
              <w:rPr>
                <w:lang w:eastAsia="zh-CN"/>
              </w:rPr>
              <w:t xml:space="preserve"> social safeguard issues and mitigation strategies.</w:t>
            </w:r>
          </w:p>
        </w:tc>
      </w:tr>
      <w:tr w:rsidR="00567A9A" w:rsidRPr="00962508" w:rsidTr="00356AA1">
        <w:trPr>
          <w:cnfStyle w:val="000000010000" w:firstRow="0" w:lastRow="0" w:firstColumn="0" w:lastColumn="0" w:oddVBand="0" w:evenVBand="0" w:oddHBand="0" w:evenHBand="1" w:firstRowFirstColumn="0" w:firstRowLastColumn="0" w:lastRowFirstColumn="0" w:lastRowLastColumn="0"/>
        </w:trPr>
        <w:tc>
          <w:tcPr>
            <w:tcW w:w="2005" w:type="pct"/>
          </w:tcPr>
          <w:p w:rsidR="00567A9A" w:rsidRPr="00962508" w:rsidRDefault="00567A9A" w:rsidP="00BA6957">
            <w:pPr>
              <w:pStyle w:val="TableTextEntries"/>
              <w:rPr>
                <w:lang w:eastAsia="zh-CN"/>
              </w:rPr>
            </w:pPr>
            <w:r w:rsidRPr="00962508">
              <w:rPr>
                <w:lang w:eastAsia="zh-CN"/>
              </w:rPr>
              <w:t>Increase policy dialogue on gender equality and women’s economic empowerment with Lao ministry counterparts.</w:t>
            </w:r>
          </w:p>
        </w:tc>
        <w:tc>
          <w:tcPr>
            <w:tcW w:w="337" w:type="pct"/>
            <w:shd w:val="clear" w:color="auto" w:fill="9BBB59" w:themeFill="accent3"/>
          </w:tcPr>
          <w:p w:rsidR="00567A9A" w:rsidRPr="00962508" w:rsidRDefault="002527D2" w:rsidP="00BA6957">
            <w:pPr>
              <w:pStyle w:val="TableTextEntries"/>
              <w:rPr>
                <w:color w:val="FFFFFF" w:themeColor="background1"/>
              </w:rPr>
            </w:pPr>
            <w:r w:rsidRPr="00962508">
              <w:rPr>
                <w:color w:val="FFFFFF" w:themeColor="background1"/>
              </w:rPr>
              <w:t>Achieved</w:t>
            </w:r>
          </w:p>
        </w:tc>
        <w:tc>
          <w:tcPr>
            <w:tcW w:w="2620" w:type="pct"/>
          </w:tcPr>
          <w:p w:rsidR="00567A9A" w:rsidRPr="00962508" w:rsidRDefault="002527D2" w:rsidP="00BA6957">
            <w:pPr>
              <w:pStyle w:val="TableTextEntries"/>
              <w:rPr>
                <w:i/>
                <w:color w:val="F79646" w:themeColor="accent6"/>
              </w:rPr>
            </w:pPr>
            <w:r w:rsidRPr="00962508">
              <w:rPr>
                <w:lang w:eastAsia="zh-CN"/>
              </w:rPr>
              <w:t>LARLP,</w:t>
            </w:r>
            <w:r w:rsidR="00D649DE" w:rsidRPr="00962508">
              <w:rPr>
                <w:lang w:eastAsia="zh-CN"/>
              </w:rPr>
              <w:t xml:space="preserve"> PRFII</w:t>
            </w:r>
            <w:r w:rsidR="00AC7AB4" w:rsidRPr="00962508">
              <w:rPr>
                <w:lang w:eastAsia="zh-CN"/>
              </w:rPr>
              <w:t>,</w:t>
            </w:r>
            <w:r w:rsidRPr="00962508">
              <w:rPr>
                <w:lang w:eastAsia="zh-CN"/>
              </w:rPr>
              <w:t xml:space="preserve"> BEQUAL </w:t>
            </w:r>
            <w:r w:rsidR="00AC7AB4" w:rsidRPr="00962508">
              <w:rPr>
                <w:lang w:eastAsia="zh-CN"/>
              </w:rPr>
              <w:t xml:space="preserve">and LAI </w:t>
            </w:r>
            <w:r w:rsidR="00D649DE" w:rsidRPr="00962508">
              <w:rPr>
                <w:lang w:eastAsia="zh-CN"/>
              </w:rPr>
              <w:t>have gender equality targets and strategies which account for the stronger data and performance information.</w:t>
            </w:r>
            <w:r w:rsidR="00AC7AB4" w:rsidRPr="00962508">
              <w:rPr>
                <w:lang w:eastAsia="zh-CN"/>
              </w:rPr>
              <w:t xml:space="preserve"> </w:t>
            </w:r>
          </w:p>
        </w:tc>
      </w:tr>
      <w:tr w:rsidR="002527D2" w:rsidRPr="00962508" w:rsidTr="00356AA1">
        <w:trPr>
          <w:cnfStyle w:val="000000010000" w:firstRow="0" w:lastRow="0" w:firstColumn="0" w:lastColumn="0" w:oddVBand="0" w:evenVBand="0" w:oddHBand="0" w:evenHBand="1" w:firstRowFirstColumn="0" w:firstRowLastColumn="0" w:lastRowFirstColumn="0" w:lastRowLastColumn="0"/>
        </w:trPr>
        <w:tc>
          <w:tcPr>
            <w:tcW w:w="2005" w:type="pct"/>
          </w:tcPr>
          <w:p w:rsidR="002527D2" w:rsidRPr="00962508" w:rsidRDefault="002527D2" w:rsidP="00BA6957">
            <w:pPr>
              <w:pStyle w:val="TableTextEntries"/>
              <w:rPr>
                <w:lang w:eastAsia="zh-CN"/>
              </w:rPr>
            </w:pPr>
            <w:r w:rsidRPr="00962508">
              <w:rPr>
                <w:lang w:eastAsia="zh-CN"/>
              </w:rPr>
              <w:t>Continue to monitor the civil society operational context to be better able to manage risk in the engagement of NGOs in program delivery in rural development and education.</w:t>
            </w:r>
          </w:p>
        </w:tc>
        <w:tc>
          <w:tcPr>
            <w:tcW w:w="337" w:type="pct"/>
            <w:shd w:val="clear" w:color="auto" w:fill="9BBB59" w:themeFill="accent3"/>
          </w:tcPr>
          <w:p w:rsidR="002527D2" w:rsidRPr="00962508" w:rsidRDefault="002527D2" w:rsidP="00BA6957">
            <w:pPr>
              <w:pStyle w:val="TableTextEntries"/>
              <w:rPr>
                <w:color w:val="FFFFFF" w:themeColor="background1"/>
              </w:rPr>
            </w:pPr>
            <w:r w:rsidRPr="00962508">
              <w:rPr>
                <w:color w:val="FFFFFF" w:themeColor="background1"/>
              </w:rPr>
              <w:t>Achieved</w:t>
            </w:r>
          </w:p>
        </w:tc>
        <w:tc>
          <w:tcPr>
            <w:tcW w:w="2620" w:type="pct"/>
          </w:tcPr>
          <w:p w:rsidR="002527D2" w:rsidRPr="00962508" w:rsidRDefault="002527D2" w:rsidP="00BA6957">
            <w:pPr>
              <w:pStyle w:val="TableTextEntries"/>
              <w:rPr>
                <w:lang w:eastAsia="zh-CN"/>
              </w:rPr>
            </w:pPr>
            <w:r w:rsidRPr="00962508">
              <w:rPr>
                <w:lang w:eastAsia="zh-CN"/>
              </w:rPr>
              <w:t xml:space="preserve">Quarterly meetings are held with LARLP NGO partners and include discussions on operating context. </w:t>
            </w:r>
          </w:p>
          <w:p w:rsidR="002527D2" w:rsidRPr="00962508" w:rsidRDefault="002527D2" w:rsidP="00BA6957">
            <w:pPr>
              <w:pStyle w:val="TableTextEntries"/>
              <w:rPr>
                <w:lang w:eastAsia="zh-CN"/>
              </w:rPr>
            </w:pPr>
            <w:r w:rsidRPr="00962508">
              <w:rPr>
                <w:lang w:eastAsia="zh-CN"/>
              </w:rPr>
              <w:t>NGOs attend ESWG meetings, including the monthly informal development partner meeting where they report on changes in the civil society context.</w:t>
            </w:r>
          </w:p>
        </w:tc>
      </w:tr>
      <w:tr w:rsidR="002527D2" w:rsidRPr="00962508" w:rsidTr="00356AA1">
        <w:trPr>
          <w:cnfStyle w:val="000000010000" w:firstRow="0" w:lastRow="0" w:firstColumn="0" w:lastColumn="0" w:oddVBand="0" w:evenVBand="0" w:oddHBand="0" w:evenHBand="1" w:firstRowFirstColumn="0" w:firstRowLastColumn="0" w:lastRowFirstColumn="0" w:lastRowLastColumn="0"/>
        </w:trPr>
        <w:tc>
          <w:tcPr>
            <w:tcW w:w="2005" w:type="pct"/>
          </w:tcPr>
          <w:p w:rsidR="002527D2" w:rsidRPr="00962508" w:rsidRDefault="002527D2" w:rsidP="00BA6957">
            <w:pPr>
              <w:pStyle w:val="TableTextEntries"/>
              <w:rPr>
                <w:lang w:eastAsia="zh-CN"/>
              </w:rPr>
            </w:pPr>
            <w:r w:rsidRPr="00962508">
              <w:rPr>
                <w:lang w:eastAsia="zh-CN"/>
              </w:rPr>
              <w:t>Build productive relationships with managing contractor teams to manage program-related risks through regular communication and joint work.</w:t>
            </w:r>
          </w:p>
        </w:tc>
        <w:tc>
          <w:tcPr>
            <w:tcW w:w="337" w:type="pct"/>
            <w:shd w:val="clear" w:color="auto" w:fill="9BBB59" w:themeFill="accent3"/>
          </w:tcPr>
          <w:p w:rsidR="002527D2" w:rsidRPr="00962508" w:rsidRDefault="002527D2" w:rsidP="00BA6957">
            <w:pPr>
              <w:pStyle w:val="TableTextEntries"/>
              <w:rPr>
                <w:color w:val="FFFFFF" w:themeColor="background1"/>
              </w:rPr>
            </w:pPr>
            <w:r w:rsidRPr="00962508">
              <w:rPr>
                <w:color w:val="FFFFFF" w:themeColor="background1"/>
              </w:rPr>
              <w:t>Achieved</w:t>
            </w:r>
          </w:p>
        </w:tc>
        <w:tc>
          <w:tcPr>
            <w:tcW w:w="2620" w:type="pct"/>
          </w:tcPr>
          <w:p w:rsidR="002527D2" w:rsidRPr="00962508" w:rsidRDefault="00606541" w:rsidP="00606541">
            <w:pPr>
              <w:pStyle w:val="TableTextEntries"/>
              <w:rPr>
                <w:lang w:eastAsia="zh-CN"/>
              </w:rPr>
            </w:pPr>
            <w:r>
              <w:rPr>
                <w:lang w:eastAsia="zh-CN"/>
              </w:rPr>
              <w:t xml:space="preserve">Post instituted bi-weekly meetings with the LARLP and BEQUAL </w:t>
            </w:r>
            <w:r w:rsidR="002527D2" w:rsidRPr="00962508">
              <w:rPr>
                <w:lang w:eastAsia="zh-CN"/>
              </w:rPr>
              <w:t xml:space="preserve">Managing </w:t>
            </w:r>
            <w:r>
              <w:rPr>
                <w:lang w:eastAsia="zh-CN"/>
              </w:rPr>
              <w:t>C</w:t>
            </w:r>
            <w:r w:rsidR="002527D2" w:rsidRPr="00962508">
              <w:rPr>
                <w:lang w:eastAsia="zh-CN"/>
              </w:rPr>
              <w:t>ontractors.</w:t>
            </w:r>
          </w:p>
        </w:tc>
      </w:tr>
      <w:tr w:rsidR="002527D2" w:rsidRPr="00962508" w:rsidTr="00356AA1">
        <w:trPr>
          <w:cnfStyle w:val="000000010000" w:firstRow="0" w:lastRow="0" w:firstColumn="0" w:lastColumn="0" w:oddVBand="0" w:evenVBand="0" w:oddHBand="0" w:evenHBand="1" w:firstRowFirstColumn="0" w:firstRowLastColumn="0" w:lastRowFirstColumn="0" w:lastRowLastColumn="0"/>
        </w:trPr>
        <w:tc>
          <w:tcPr>
            <w:tcW w:w="2005" w:type="pct"/>
          </w:tcPr>
          <w:p w:rsidR="002527D2" w:rsidRPr="00962508" w:rsidRDefault="002527D2" w:rsidP="00BA6957">
            <w:pPr>
              <w:pStyle w:val="TableTextEntries"/>
              <w:rPr>
                <w:lang w:eastAsia="zh-CN"/>
              </w:rPr>
            </w:pPr>
            <w:r w:rsidRPr="00962508">
              <w:rPr>
                <w:lang w:eastAsia="zh-CN"/>
              </w:rPr>
              <w:t xml:space="preserve">Improve the </w:t>
            </w:r>
            <w:r w:rsidR="00356AA1">
              <w:rPr>
                <w:lang w:eastAsia="zh-CN"/>
              </w:rPr>
              <w:t>quantum</w:t>
            </w:r>
            <w:r w:rsidR="00356AA1" w:rsidRPr="00962508">
              <w:rPr>
                <w:lang w:eastAsia="zh-CN"/>
              </w:rPr>
              <w:t xml:space="preserve"> </w:t>
            </w:r>
            <w:r w:rsidRPr="00962508">
              <w:rPr>
                <w:lang w:eastAsia="zh-CN"/>
              </w:rPr>
              <w:t>and quality of our public diplomacy and public relations through Post’s new dedicated Public Diplomacy Officer.</w:t>
            </w:r>
          </w:p>
        </w:tc>
        <w:tc>
          <w:tcPr>
            <w:tcW w:w="337" w:type="pct"/>
            <w:shd w:val="clear" w:color="auto" w:fill="9BBB59"/>
          </w:tcPr>
          <w:p w:rsidR="002527D2" w:rsidRPr="00962508" w:rsidRDefault="00AC7AB4" w:rsidP="00BA6957">
            <w:pPr>
              <w:pStyle w:val="TableTextEntries"/>
              <w:rPr>
                <w:color w:val="FFFFFF" w:themeColor="background1"/>
              </w:rPr>
            </w:pPr>
            <w:r w:rsidRPr="00962508">
              <w:rPr>
                <w:color w:val="FFFFFF" w:themeColor="background1"/>
              </w:rPr>
              <w:t>Achieved</w:t>
            </w:r>
          </w:p>
        </w:tc>
        <w:tc>
          <w:tcPr>
            <w:tcW w:w="2620" w:type="pct"/>
          </w:tcPr>
          <w:p w:rsidR="002527D2" w:rsidRPr="00962508" w:rsidRDefault="00CB1942" w:rsidP="00790B3C">
            <w:pPr>
              <w:pStyle w:val="TableTextEntries"/>
              <w:rPr>
                <w:lang w:eastAsia="zh-CN"/>
              </w:rPr>
            </w:pPr>
            <w:r w:rsidRPr="00962508">
              <w:rPr>
                <w:lang w:eastAsia="zh-CN"/>
              </w:rPr>
              <w:t xml:space="preserve">DFAT post has </w:t>
            </w:r>
            <w:r w:rsidRPr="00962508">
              <w:t>taken steps to improve the quality and reach of its public diplomacy. DFAT promotes results from its aid program online through the website and has started a Face</w:t>
            </w:r>
            <w:r w:rsidR="00790B3C">
              <w:t>b</w:t>
            </w:r>
            <w:r w:rsidRPr="00962508">
              <w:t xml:space="preserve">ook page, while continuing traditional media engagement including authoring local articles. Post has increased the frequency and quality of engagement with the </w:t>
            </w:r>
            <w:r w:rsidR="00790B3C">
              <w:t>a</w:t>
            </w:r>
            <w:r w:rsidRPr="00962508">
              <w:t xml:space="preserve">lumni network, hosting well attended and innovative events that relate back to core embassy functions and programs. </w:t>
            </w:r>
          </w:p>
        </w:tc>
      </w:tr>
      <w:tr w:rsidR="002527D2" w:rsidRPr="00962508" w:rsidTr="00356AA1">
        <w:trPr>
          <w:cnfStyle w:val="000000010000" w:firstRow="0" w:lastRow="0" w:firstColumn="0" w:lastColumn="0" w:oddVBand="0" w:evenVBand="0" w:oddHBand="0" w:evenHBand="1" w:firstRowFirstColumn="0" w:firstRowLastColumn="0" w:lastRowFirstColumn="0" w:lastRowLastColumn="0"/>
        </w:trPr>
        <w:tc>
          <w:tcPr>
            <w:tcW w:w="2005" w:type="pct"/>
          </w:tcPr>
          <w:p w:rsidR="002527D2" w:rsidRPr="00962508" w:rsidRDefault="002527D2" w:rsidP="00BA6957">
            <w:pPr>
              <w:pStyle w:val="TableTextEntries"/>
              <w:rPr>
                <w:lang w:eastAsia="zh-CN"/>
              </w:rPr>
            </w:pPr>
            <w:r w:rsidRPr="00962508">
              <w:rPr>
                <w:lang w:eastAsia="zh-CN"/>
              </w:rPr>
              <w:t>Assess current aid program commitments against the new strategic framework for the aid program, and highlight opportunities and constraints for the Laos Country Program to respond to new priorities.</w:t>
            </w:r>
          </w:p>
        </w:tc>
        <w:tc>
          <w:tcPr>
            <w:tcW w:w="337" w:type="pct"/>
            <w:shd w:val="clear" w:color="auto" w:fill="9BBB59"/>
          </w:tcPr>
          <w:p w:rsidR="002527D2" w:rsidRPr="00962508" w:rsidRDefault="00FF557E" w:rsidP="00BA6957">
            <w:pPr>
              <w:pStyle w:val="TableTextEntries"/>
              <w:rPr>
                <w:color w:val="FFFFFF" w:themeColor="background1"/>
              </w:rPr>
            </w:pPr>
            <w:r w:rsidRPr="00962508">
              <w:rPr>
                <w:color w:val="FFFFFF" w:themeColor="background1"/>
              </w:rPr>
              <w:t>Achieved</w:t>
            </w:r>
            <w:r w:rsidR="001C2ACC" w:rsidRPr="00962508">
              <w:rPr>
                <w:color w:val="FFFFFF" w:themeColor="background1"/>
              </w:rPr>
              <w:t xml:space="preserve"> </w:t>
            </w:r>
          </w:p>
          <w:p w:rsidR="00155450" w:rsidRPr="00962508" w:rsidRDefault="00155450" w:rsidP="00BA6957">
            <w:pPr>
              <w:pStyle w:val="TableTextEntries"/>
              <w:rPr>
                <w:color w:val="FFFFFF" w:themeColor="background1"/>
              </w:rPr>
            </w:pPr>
          </w:p>
        </w:tc>
        <w:tc>
          <w:tcPr>
            <w:tcW w:w="2620" w:type="pct"/>
          </w:tcPr>
          <w:p w:rsidR="002527D2" w:rsidRPr="00962508" w:rsidRDefault="00606541" w:rsidP="00A615A5">
            <w:pPr>
              <w:pStyle w:val="TableTextEntries"/>
              <w:rPr>
                <w:lang w:eastAsia="zh-CN"/>
              </w:rPr>
            </w:pPr>
            <w:r>
              <w:rPr>
                <w:lang w:eastAsia="zh-CN"/>
              </w:rPr>
              <w:t xml:space="preserve">DFAT developed a new Aid Investment Plan in consultation with the Lao Government, which aligns with the new strategic framework. </w:t>
            </w:r>
          </w:p>
        </w:tc>
      </w:tr>
      <w:tr w:rsidR="002527D2" w:rsidRPr="00962508" w:rsidTr="00356AA1">
        <w:trPr>
          <w:cnfStyle w:val="000000010000" w:firstRow="0" w:lastRow="0" w:firstColumn="0" w:lastColumn="0" w:oddVBand="0" w:evenVBand="0" w:oddHBand="0" w:evenHBand="1" w:firstRowFirstColumn="0" w:firstRowLastColumn="0" w:lastRowFirstColumn="0" w:lastRowLastColumn="0"/>
        </w:trPr>
        <w:tc>
          <w:tcPr>
            <w:tcW w:w="2005" w:type="pct"/>
          </w:tcPr>
          <w:p w:rsidR="002527D2" w:rsidRPr="00962508" w:rsidRDefault="002527D2" w:rsidP="00BA6957">
            <w:pPr>
              <w:pStyle w:val="TableTextEntries"/>
              <w:rPr>
                <w:lang w:eastAsia="zh-CN"/>
              </w:rPr>
            </w:pPr>
            <w:r w:rsidRPr="00962508">
              <w:rPr>
                <w:lang w:eastAsia="zh-CN"/>
              </w:rPr>
              <w:t>Document lessons learned on the challenges in mobilising major aid investments in Laos, and ensure these lessons are shared across the Laos Country Program – particularly to inform the mobilisation of new programs</w:t>
            </w:r>
            <w:r w:rsidR="00356AA1">
              <w:rPr>
                <w:lang w:eastAsia="zh-CN"/>
              </w:rPr>
              <w:t>.</w:t>
            </w:r>
          </w:p>
        </w:tc>
        <w:tc>
          <w:tcPr>
            <w:tcW w:w="337" w:type="pct"/>
            <w:tcBorders>
              <w:bottom w:val="single" w:sz="12" w:space="0" w:color="000000" w:themeColor="text1"/>
            </w:tcBorders>
            <w:shd w:val="clear" w:color="auto" w:fill="F79646" w:themeFill="accent6"/>
          </w:tcPr>
          <w:p w:rsidR="002527D2" w:rsidRPr="00962508" w:rsidRDefault="001C2ACC" w:rsidP="00BA6957">
            <w:pPr>
              <w:pStyle w:val="TableTextEntries"/>
              <w:rPr>
                <w:color w:val="FFFFFF" w:themeColor="background1"/>
              </w:rPr>
            </w:pPr>
            <w:r>
              <w:rPr>
                <w:color w:val="FFFFFF" w:themeColor="background1"/>
              </w:rPr>
              <w:t>Partially a</w:t>
            </w:r>
            <w:r w:rsidR="00FF557E" w:rsidRPr="00962508">
              <w:rPr>
                <w:color w:val="FFFFFF" w:themeColor="background1"/>
              </w:rPr>
              <w:t>chieved</w:t>
            </w:r>
          </w:p>
        </w:tc>
        <w:tc>
          <w:tcPr>
            <w:tcW w:w="2620" w:type="pct"/>
          </w:tcPr>
          <w:p w:rsidR="002424AB" w:rsidRPr="00962508" w:rsidRDefault="002527D2" w:rsidP="00BA6957">
            <w:pPr>
              <w:pStyle w:val="TableTextEntries"/>
              <w:rPr>
                <w:lang w:eastAsia="zh-CN"/>
              </w:rPr>
            </w:pPr>
            <w:r w:rsidRPr="00962508">
              <w:rPr>
                <w:lang w:eastAsia="zh-CN"/>
              </w:rPr>
              <w:t>Lessons learned from LARLP and PRF</w:t>
            </w:r>
            <w:r w:rsidR="00790B3C">
              <w:rPr>
                <w:lang w:eastAsia="zh-CN"/>
              </w:rPr>
              <w:t xml:space="preserve"> </w:t>
            </w:r>
            <w:r w:rsidRPr="00962508">
              <w:rPr>
                <w:lang w:eastAsia="zh-CN"/>
              </w:rPr>
              <w:t>II are included in the sector annual report. These lessons were generated during the Portfolio Annual Review 2014.</w:t>
            </w:r>
            <w:r w:rsidR="002424AB" w:rsidRPr="00962508">
              <w:rPr>
                <w:lang w:eastAsia="zh-CN"/>
              </w:rPr>
              <w:t xml:space="preserve"> </w:t>
            </w:r>
          </w:p>
          <w:p w:rsidR="002527D2" w:rsidRPr="00962508" w:rsidRDefault="002424AB" w:rsidP="00606541">
            <w:pPr>
              <w:pStyle w:val="TableTextEntries"/>
              <w:rPr>
                <w:i/>
                <w:color w:val="F79646" w:themeColor="accent6"/>
              </w:rPr>
            </w:pPr>
            <w:r w:rsidRPr="00962508">
              <w:rPr>
                <w:lang w:eastAsia="zh-CN"/>
              </w:rPr>
              <w:t xml:space="preserve">The BEQUAL program was delayed due to budget </w:t>
            </w:r>
            <w:r w:rsidR="00606541">
              <w:rPr>
                <w:lang w:eastAsia="zh-CN"/>
              </w:rPr>
              <w:t>uncertainty</w:t>
            </w:r>
            <w:r w:rsidRPr="00962508">
              <w:rPr>
                <w:lang w:eastAsia="zh-CN"/>
              </w:rPr>
              <w:t xml:space="preserve">, DFAT staff will seek to implement </w:t>
            </w:r>
            <w:r w:rsidR="001C2ACC">
              <w:rPr>
                <w:lang w:eastAsia="zh-CN"/>
              </w:rPr>
              <w:t>this management response in 2015-16</w:t>
            </w:r>
            <w:r w:rsidRPr="00962508">
              <w:rPr>
                <w:lang w:eastAsia="zh-CN"/>
              </w:rPr>
              <w:t>.</w:t>
            </w:r>
          </w:p>
        </w:tc>
      </w:tr>
    </w:tbl>
    <w:p w:rsidR="005C310A" w:rsidRPr="00962508" w:rsidRDefault="005C310A" w:rsidP="00BA6957">
      <w:pPr>
        <w:pStyle w:val="Note"/>
        <w:jc w:val="left"/>
      </w:pPr>
      <w:r w:rsidRPr="00962508">
        <w:t xml:space="preserve">Note: </w:t>
      </w:r>
    </w:p>
    <w:p w:rsidR="005C310A" w:rsidRPr="00962508" w:rsidRDefault="005C310A" w:rsidP="00BA6957">
      <w:pPr>
        <w:pStyle w:val="Note"/>
        <w:jc w:val="left"/>
      </w:pPr>
      <w:r w:rsidRPr="00962508">
        <w:rPr>
          <w:color w:val="72AF2F"/>
        </w:rPr>
        <w:sym w:font="Webdings" w:char="F067"/>
      </w:r>
      <w:r w:rsidRPr="00962508">
        <w:t> </w:t>
      </w:r>
      <w:r w:rsidRPr="00962508">
        <w:t xml:space="preserve"> Achieved.  Significant progress has been made in addressing the issue </w:t>
      </w:r>
    </w:p>
    <w:p w:rsidR="005C310A" w:rsidRPr="00962508" w:rsidRDefault="005C310A" w:rsidP="00BA6957">
      <w:pPr>
        <w:pStyle w:val="Note"/>
        <w:jc w:val="left"/>
      </w:pPr>
      <w:r w:rsidRPr="00962508">
        <w:rPr>
          <w:color w:val="E36C0A"/>
        </w:rPr>
        <w:sym w:font="Webdings" w:char="F067"/>
      </w:r>
      <w:r w:rsidRPr="00962508">
        <w:t> </w:t>
      </w:r>
      <w:r w:rsidRPr="00962508">
        <w:t xml:space="preserve"> Partly achieved.  Some progress has been made in addressing the issue, but the issue has not been resolved </w:t>
      </w:r>
    </w:p>
    <w:p w:rsidR="005C310A" w:rsidRPr="00962508" w:rsidRDefault="005C310A" w:rsidP="00BA6957">
      <w:pPr>
        <w:pStyle w:val="Note"/>
        <w:jc w:val="left"/>
      </w:pPr>
      <w:r w:rsidRPr="00962508">
        <w:rPr>
          <w:color w:val="FF0000"/>
        </w:rPr>
        <w:sym w:font="Webdings" w:char="F067"/>
      </w:r>
      <w:r w:rsidRPr="00962508">
        <w:t> </w:t>
      </w:r>
      <w:r w:rsidRPr="00962508">
        <w:t xml:space="preserve"> Not achieved. Progress in addressing the issue has been significantly below expectations</w:t>
      </w:r>
    </w:p>
    <w:p w:rsidR="00AC1EA4" w:rsidRPr="00962508" w:rsidRDefault="00416B02" w:rsidP="00BA6957">
      <w:pPr>
        <w:pStyle w:val="Heading2"/>
        <w:rPr>
          <w:sz w:val="28"/>
        </w:rPr>
      </w:pPr>
      <w:r w:rsidRPr="00962508">
        <w:rPr>
          <w:sz w:val="28"/>
        </w:rPr>
        <w:lastRenderedPageBreak/>
        <w:t>Annex</w:t>
      </w:r>
      <w:r w:rsidR="004F202A" w:rsidRPr="00962508">
        <w:rPr>
          <w:sz w:val="28"/>
        </w:rPr>
        <w:t xml:space="preserve"> B</w:t>
      </w:r>
      <w:r w:rsidR="0057490F" w:rsidRPr="00962508">
        <w:rPr>
          <w:sz w:val="28"/>
        </w:rPr>
        <w:t xml:space="preserve"> </w:t>
      </w:r>
      <w:r w:rsidR="00A96E4D">
        <w:rPr>
          <w:sz w:val="28"/>
        </w:rPr>
        <w:t>–</w:t>
      </w:r>
      <w:r w:rsidR="0057490F" w:rsidRPr="00962508">
        <w:rPr>
          <w:sz w:val="28"/>
        </w:rPr>
        <w:t xml:space="preserve"> </w:t>
      </w:r>
      <w:r w:rsidR="00A96E4D">
        <w:rPr>
          <w:sz w:val="28"/>
        </w:rPr>
        <w:t xml:space="preserve">Progress towards Performance Benchmarks in </w:t>
      </w:r>
      <w:r w:rsidR="00AC1EA4" w:rsidRPr="00962508">
        <w:rPr>
          <w:sz w:val="28"/>
        </w:rPr>
        <w:t>2014-15</w:t>
      </w:r>
    </w:p>
    <w:tbl>
      <w:tblPr>
        <w:tblStyle w:val="DFATTable"/>
        <w:tblW w:w="14914" w:type="dxa"/>
        <w:tblLook w:val="04A0" w:firstRow="1" w:lastRow="0" w:firstColumn="1" w:lastColumn="0" w:noHBand="0" w:noVBand="1"/>
        <w:tblCaption w:val="Annex B – Progress towards Performance Benchmarks in 2014-15"/>
        <w:tblDescription w:val="Annex B shows progress in financial year 2014-15 towards the performance benchmarks we set ourselves for that year in the financial year 2013-14 APPR.  It shows our aid objectives, the 2014-15 benchmarks we set ourselves, a rating of progress and a narrative on progress.  The progress rating uses a 3 point rating scale. Achieved - significant progress has been made and the performance benchmark was achieved.  Partly achieved - some progress has been made towards achieving the performance benchmark, but progress was less than anticipated. Not achieved - progress towards the performance benchmark has been significantly below expectations."/>
      </w:tblPr>
      <w:tblGrid>
        <w:gridCol w:w="2235"/>
        <w:gridCol w:w="4677"/>
        <w:gridCol w:w="1127"/>
        <w:gridCol w:w="6875"/>
      </w:tblGrid>
      <w:tr w:rsidR="00F35455" w:rsidRPr="00962508" w:rsidTr="0006433F">
        <w:trPr>
          <w:tblHeader/>
        </w:trPr>
        <w:tc>
          <w:tcPr>
            <w:tcW w:w="2235" w:type="dxa"/>
            <w:tcMar>
              <w:top w:w="57" w:type="dxa"/>
              <w:bottom w:w="57" w:type="dxa"/>
            </w:tcMar>
          </w:tcPr>
          <w:p w:rsidR="00F35455" w:rsidRPr="00962508" w:rsidRDefault="00F35455" w:rsidP="00BA6957">
            <w:pPr>
              <w:pStyle w:val="TableHeading1"/>
            </w:pPr>
            <w:r w:rsidRPr="00962508">
              <w:t>Aid objective</w:t>
            </w:r>
          </w:p>
        </w:tc>
        <w:tc>
          <w:tcPr>
            <w:tcW w:w="4677" w:type="dxa"/>
          </w:tcPr>
          <w:p w:rsidR="00F35455" w:rsidRPr="00962508" w:rsidRDefault="00F35455" w:rsidP="00BA6957">
            <w:pPr>
              <w:pStyle w:val="TableHeading1"/>
            </w:pPr>
            <w:r w:rsidRPr="00962508">
              <w:t xml:space="preserve">2014-15 </w:t>
            </w:r>
            <w:r w:rsidR="00A96E4D">
              <w:t>Performance Benchmarks</w:t>
            </w:r>
          </w:p>
        </w:tc>
        <w:tc>
          <w:tcPr>
            <w:tcW w:w="1127" w:type="dxa"/>
          </w:tcPr>
          <w:p w:rsidR="00F35455" w:rsidRPr="00962508" w:rsidRDefault="00F35455" w:rsidP="00BA6957">
            <w:pPr>
              <w:pStyle w:val="TableHeading1"/>
            </w:pPr>
            <w:r w:rsidRPr="00962508">
              <w:t>Rating</w:t>
            </w:r>
          </w:p>
        </w:tc>
        <w:tc>
          <w:tcPr>
            <w:tcW w:w="6875" w:type="dxa"/>
          </w:tcPr>
          <w:p w:rsidR="00F35455" w:rsidRPr="00962508" w:rsidRDefault="00F35455" w:rsidP="00BA6957">
            <w:pPr>
              <w:pStyle w:val="TableHeading1"/>
            </w:pPr>
            <w:r w:rsidRPr="00962508">
              <w:t>Progress in 2014-15</w:t>
            </w:r>
          </w:p>
        </w:tc>
      </w:tr>
      <w:tr w:rsidR="000661E7" w:rsidRPr="00962508" w:rsidTr="00367E32">
        <w:tc>
          <w:tcPr>
            <w:tcW w:w="2235" w:type="dxa"/>
            <w:vMerge w:val="restart"/>
            <w:tcMar>
              <w:top w:w="57" w:type="dxa"/>
              <w:bottom w:w="57" w:type="dxa"/>
            </w:tcMar>
          </w:tcPr>
          <w:p w:rsidR="000661E7" w:rsidRPr="00962508" w:rsidRDefault="000661E7" w:rsidP="00BA6957">
            <w:pPr>
              <w:pStyle w:val="TableTextEntries"/>
            </w:pPr>
            <w:r w:rsidRPr="00962508">
              <w:t>More girls and boys, especially those experiencing disadvantage, complete good quality basic education, achieving literacy, numeracy and other relevant life skills</w:t>
            </w:r>
          </w:p>
        </w:tc>
        <w:tc>
          <w:tcPr>
            <w:tcW w:w="4677" w:type="dxa"/>
          </w:tcPr>
          <w:p w:rsidR="000661E7" w:rsidRPr="00962508" w:rsidRDefault="000661E7" w:rsidP="00790B3C">
            <w:pPr>
              <w:rPr>
                <w:rFonts w:ascii="Franklin Gothic Book" w:hAnsi="Franklin Gothic Book"/>
                <w:b/>
                <w:i/>
                <w:iCs/>
                <w:sz w:val="17"/>
                <w:szCs w:val="17"/>
              </w:rPr>
            </w:pPr>
            <w:r w:rsidRPr="00962508">
              <w:rPr>
                <w:rFonts w:ascii="Franklin Gothic Book" w:hAnsi="Franklin Gothic Book"/>
                <w:iCs/>
                <w:sz w:val="17"/>
                <w:szCs w:val="17"/>
              </w:rPr>
              <w:t xml:space="preserve">115 schools have water and sanitation facilities meeting </w:t>
            </w:r>
            <w:r>
              <w:rPr>
                <w:rFonts w:ascii="Franklin Gothic Book" w:hAnsi="Franklin Gothic Book"/>
                <w:iCs/>
                <w:sz w:val="17"/>
                <w:szCs w:val="17"/>
              </w:rPr>
              <w:t>Laos’</w:t>
            </w:r>
            <w:r w:rsidRPr="00962508">
              <w:rPr>
                <w:rFonts w:ascii="Franklin Gothic Book" w:hAnsi="Franklin Gothic Book"/>
                <w:iCs/>
                <w:sz w:val="17"/>
                <w:szCs w:val="17"/>
              </w:rPr>
              <w:t xml:space="preserve"> quality standards with district funded O&amp;M plan in place</w:t>
            </w:r>
          </w:p>
        </w:tc>
        <w:tc>
          <w:tcPr>
            <w:tcW w:w="1127" w:type="dxa"/>
            <w:tcBorders>
              <w:top w:val="nil"/>
              <w:bottom w:val="nil"/>
            </w:tcBorders>
            <w:shd w:val="clear" w:color="auto" w:fill="F79646"/>
          </w:tcPr>
          <w:p w:rsidR="000661E7" w:rsidRPr="00A96E4D" w:rsidRDefault="000661E7" w:rsidP="00BA6957">
            <w:pPr>
              <w:pStyle w:val="TableTextEntries"/>
              <w:rPr>
                <w:color w:val="FFFFFF" w:themeColor="background1"/>
              </w:rPr>
            </w:pPr>
            <w:r w:rsidRPr="00A96E4D">
              <w:rPr>
                <w:color w:val="FFFFFF" w:themeColor="background1"/>
              </w:rPr>
              <w:t>Partly achieved</w:t>
            </w:r>
          </w:p>
        </w:tc>
        <w:tc>
          <w:tcPr>
            <w:tcW w:w="6875" w:type="dxa"/>
          </w:tcPr>
          <w:p w:rsidR="000661E7" w:rsidRPr="00962508" w:rsidRDefault="000661E7" w:rsidP="00BA6957">
            <w:pPr>
              <w:pStyle w:val="TableTextEntries"/>
              <w:rPr>
                <w:iCs w:val="0"/>
              </w:rPr>
            </w:pPr>
            <w:r w:rsidRPr="00962508">
              <w:rPr>
                <w:iCs w:val="0"/>
              </w:rPr>
              <w:t xml:space="preserve">101 schools have water and sanitation facilities meeting </w:t>
            </w:r>
            <w:r>
              <w:rPr>
                <w:iCs w:val="0"/>
              </w:rPr>
              <w:t>Laos’</w:t>
            </w:r>
            <w:r w:rsidRPr="00962508">
              <w:rPr>
                <w:iCs w:val="0"/>
              </w:rPr>
              <w:t xml:space="preserve"> quality standards with district funded O&amp;M plan in place.</w:t>
            </w:r>
          </w:p>
          <w:p w:rsidR="000661E7" w:rsidRPr="00962508" w:rsidRDefault="000661E7" w:rsidP="00BA6957">
            <w:pPr>
              <w:pStyle w:val="TableTextEntries"/>
              <w:rPr>
                <w:i/>
              </w:rPr>
            </w:pPr>
          </w:p>
        </w:tc>
      </w:tr>
      <w:tr w:rsidR="00F35455" w:rsidRPr="00962508" w:rsidTr="00790B3C">
        <w:trPr>
          <w:trHeight w:val="719"/>
        </w:trPr>
        <w:tc>
          <w:tcPr>
            <w:tcW w:w="2235" w:type="dxa"/>
            <w:vMerge/>
            <w:tcMar>
              <w:top w:w="57" w:type="dxa"/>
              <w:bottom w:w="57" w:type="dxa"/>
            </w:tcMar>
          </w:tcPr>
          <w:p w:rsidR="00F35455" w:rsidRPr="00962508" w:rsidRDefault="00F35455" w:rsidP="00BA6957">
            <w:pPr>
              <w:pStyle w:val="TableTextEntries"/>
            </w:pPr>
          </w:p>
        </w:tc>
        <w:tc>
          <w:tcPr>
            <w:tcW w:w="4677" w:type="dxa"/>
          </w:tcPr>
          <w:p w:rsidR="00F35455" w:rsidRPr="00962508" w:rsidRDefault="00F35455" w:rsidP="00BA6957">
            <w:pPr>
              <w:rPr>
                <w:rFonts w:ascii="Franklin Gothic Book" w:hAnsi="Franklin Gothic Book"/>
                <w:bCs/>
                <w:sz w:val="17"/>
                <w:szCs w:val="17"/>
              </w:rPr>
            </w:pPr>
            <w:r w:rsidRPr="00962508">
              <w:rPr>
                <w:rFonts w:ascii="Franklin Gothic Book" w:hAnsi="Franklin Gothic Book"/>
                <w:bCs/>
                <w:sz w:val="17"/>
                <w:szCs w:val="17"/>
              </w:rPr>
              <w:t xml:space="preserve">11,500 girls and boys utilising safe water sanitation facilities </w:t>
            </w:r>
          </w:p>
        </w:tc>
        <w:tc>
          <w:tcPr>
            <w:tcW w:w="1127" w:type="dxa"/>
            <w:tcBorders>
              <w:top w:val="nil"/>
              <w:bottom w:val="nil"/>
            </w:tcBorders>
            <w:shd w:val="clear" w:color="auto" w:fill="9BBB59" w:themeFill="accent3"/>
          </w:tcPr>
          <w:p w:rsidR="00F35455" w:rsidRPr="00A96E4D" w:rsidRDefault="00F35455" w:rsidP="00BA6957">
            <w:pPr>
              <w:pStyle w:val="TableTextEntries"/>
              <w:rPr>
                <w:color w:val="FFFFFF" w:themeColor="background1"/>
              </w:rPr>
            </w:pPr>
            <w:r w:rsidRPr="00A96E4D">
              <w:rPr>
                <w:color w:val="FFFFFF" w:themeColor="background1"/>
              </w:rPr>
              <w:t>Achieved</w:t>
            </w:r>
          </w:p>
        </w:tc>
        <w:tc>
          <w:tcPr>
            <w:tcW w:w="6875" w:type="dxa"/>
          </w:tcPr>
          <w:p w:rsidR="00F35455" w:rsidRPr="00962508" w:rsidRDefault="00514A27" w:rsidP="00BA6957">
            <w:pPr>
              <w:pStyle w:val="TableTextEntries"/>
              <w:rPr>
                <w:i/>
              </w:rPr>
            </w:pPr>
            <w:r w:rsidRPr="00962508">
              <w:rPr>
                <w:iCs w:val="0"/>
              </w:rPr>
              <w:t>16,978 students (8,137 girls) in 101 schools in target districts have access to improved water sanitation facilities.</w:t>
            </w:r>
            <w:r w:rsidR="00F35455" w:rsidRPr="00962508">
              <w:rPr>
                <w:bCs/>
              </w:rPr>
              <w:t>26,511 people in school</w:t>
            </w:r>
            <w:r w:rsidR="005F1E83">
              <w:rPr>
                <w:bCs/>
              </w:rPr>
              <w:t>-</w:t>
            </w:r>
            <w:r w:rsidR="00F35455" w:rsidRPr="00962508">
              <w:rPr>
                <w:bCs/>
              </w:rPr>
              <w:t xml:space="preserve">hosting communities </w:t>
            </w:r>
            <w:r w:rsidRPr="00962508">
              <w:rPr>
                <w:bCs/>
              </w:rPr>
              <w:t xml:space="preserve">also </w:t>
            </w:r>
            <w:r w:rsidR="00F35455" w:rsidRPr="00962508">
              <w:rPr>
                <w:bCs/>
              </w:rPr>
              <w:t>received access to clean water.</w:t>
            </w:r>
          </w:p>
        </w:tc>
      </w:tr>
      <w:tr w:rsidR="00F4380C" w:rsidRPr="00962508" w:rsidTr="0006433F">
        <w:tc>
          <w:tcPr>
            <w:tcW w:w="2235" w:type="dxa"/>
            <w:vMerge/>
          </w:tcPr>
          <w:p w:rsidR="00F35455" w:rsidRPr="00962508" w:rsidRDefault="00F35455" w:rsidP="00BA6957">
            <w:pPr>
              <w:pStyle w:val="TableTextEntries"/>
            </w:pPr>
          </w:p>
        </w:tc>
        <w:tc>
          <w:tcPr>
            <w:tcW w:w="4677" w:type="dxa"/>
          </w:tcPr>
          <w:p w:rsidR="00F35455" w:rsidRDefault="00F35455" w:rsidP="00BA6957">
            <w:pPr>
              <w:rPr>
                <w:rFonts w:ascii="Franklin Gothic Book" w:hAnsi="Franklin Gothic Book"/>
                <w:iCs/>
                <w:sz w:val="17"/>
                <w:szCs w:val="17"/>
              </w:rPr>
            </w:pPr>
            <w:r w:rsidRPr="00962508">
              <w:rPr>
                <w:rFonts w:ascii="Franklin Gothic Book" w:hAnsi="Franklin Gothic Book"/>
                <w:iCs/>
                <w:sz w:val="17"/>
                <w:szCs w:val="17"/>
              </w:rPr>
              <w:t xml:space="preserve">55,000 students provided with financial or nutritional support (such as food) </w:t>
            </w:r>
          </w:p>
          <w:p w:rsidR="001B4B51" w:rsidRPr="00962508" w:rsidRDefault="001B4B51" w:rsidP="00BA6957">
            <w:pPr>
              <w:rPr>
                <w:rFonts w:ascii="Franklin Gothic Book" w:hAnsi="Franklin Gothic Book"/>
                <w:b/>
                <w:i/>
                <w:iCs/>
                <w:sz w:val="17"/>
                <w:szCs w:val="17"/>
              </w:rPr>
            </w:pPr>
          </w:p>
        </w:tc>
        <w:tc>
          <w:tcPr>
            <w:tcW w:w="1127" w:type="dxa"/>
            <w:shd w:val="clear" w:color="auto" w:fill="9BBB59"/>
          </w:tcPr>
          <w:p w:rsidR="00F35455" w:rsidRPr="00A96E4D" w:rsidRDefault="00F35455" w:rsidP="00BA6957">
            <w:pPr>
              <w:pStyle w:val="TableTextEntries"/>
              <w:rPr>
                <w:color w:val="FFFFFF" w:themeColor="background1"/>
              </w:rPr>
            </w:pPr>
            <w:r w:rsidRPr="00A96E4D">
              <w:rPr>
                <w:color w:val="FFFFFF" w:themeColor="background1"/>
              </w:rPr>
              <w:t>Achieved</w:t>
            </w:r>
          </w:p>
        </w:tc>
        <w:tc>
          <w:tcPr>
            <w:tcW w:w="6875" w:type="dxa"/>
          </w:tcPr>
          <w:p w:rsidR="00F35455" w:rsidRPr="00962508" w:rsidRDefault="00F35455" w:rsidP="00BA6957">
            <w:pPr>
              <w:pStyle w:val="TableTextEntries"/>
              <w:rPr>
                <w:i/>
              </w:rPr>
            </w:pPr>
            <w:r w:rsidRPr="00962508">
              <w:rPr>
                <w:iCs w:val="0"/>
              </w:rPr>
              <w:t>150,000 students (68,780 girls) receiv</w:t>
            </w:r>
            <w:r w:rsidR="005226BE" w:rsidRPr="00962508">
              <w:rPr>
                <w:iCs w:val="0"/>
              </w:rPr>
              <w:t>ed</w:t>
            </w:r>
            <w:r w:rsidRPr="00962508">
              <w:rPr>
                <w:iCs w:val="0"/>
              </w:rPr>
              <w:t xml:space="preserve"> daily mid-morning snacks.</w:t>
            </w:r>
          </w:p>
        </w:tc>
      </w:tr>
      <w:tr w:rsidR="00F35455" w:rsidRPr="00962508" w:rsidTr="00A96E4D">
        <w:trPr>
          <w:trHeight w:val="952"/>
        </w:trPr>
        <w:tc>
          <w:tcPr>
            <w:tcW w:w="2235" w:type="dxa"/>
            <w:tcBorders>
              <w:right w:val="nil"/>
            </w:tcBorders>
            <w:tcMar>
              <w:top w:w="57" w:type="dxa"/>
              <w:bottom w:w="57" w:type="dxa"/>
            </w:tcMar>
          </w:tcPr>
          <w:p w:rsidR="00F35455" w:rsidRPr="00962508" w:rsidRDefault="00F35455" w:rsidP="00BA6957">
            <w:pPr>
              <w:pStyle w:val="TableTextEntries"/>
            </w:pPr>
            <w:r w:rsidRPr="00962508">
              <w:t>Policy and institutional impediments to trade and investment addressed in sectors that have high potential to contribute to inclusive growth</w:t>
            </w:r>
          </w:p>
        </w:tc>
        <w:tc>
          <w:tcPr>
            <w:tcW w:w="4677" w:type="dxa"/>
            <w:tcBorders>
              <w:top w:val="nil"/>
              <w:left w:val="nil"/>
              <w:bottom w:val="nil"/>
              <w:right w:val="nil"/>
            </w:tcBorders>
          </w:tcPr>
          <w:p w:rsidR="00F35455" w:rsidRPr="00962508" w:rsidRDefault="00F35455" w:rsidP="00BA6957">
            <w:pPr>
              <w:pStyle w:val="TableTextEntries"/>
              <w:spacing w:before="0"/>
              <w:rPr>
                <w:color w:val="000000" w:themeColor="text1" w:themeShade="BF"/>
              </w:rPr>
            </w:pPr>
            <w:r w:rsidRPr="00962508">
              <w:t>50 (cumulative number) businesses approvals under the Business Assistance Facility to improve their trade growth strategies</w:t>
            </w:r>
          </w:p>
        </w:tc>
        <w:tc>
          <w:tcPr>
            <w:tcW w:w="1127" w:type="dxa"/>
            <w:tcBorders>
              <w:top w:val="nil"/>
              <w:left w:val="nil"/>
              <w:bottom w:val="nil"/>
              <w:right w:val="nil"/>
            </w:tcBorders>
            <w:shd w:val="clear" w:color="auto" w:fill="9BBB59" w:themeFill="accent3"/>
          </w:tcPr>
          <w:p w:rsidR="00F35455" w:rsidRPr="00A96E4D" w:rsidRDefault="00F35455" w:rsidP="00BA6957">
            <w:pPr>
              <w:pStyle w:val="TableTextEntries"/>
              <w:spacing w:before="0"/>
              <w:rPr>
                <w:color w:val="000000" w:themeColor="text1" w:themeShade="BF"/>
              </w:rPr>
            </w:pPr>
            <w:r w:rsidRPr="00A96E4D">
              <w:rPr>
                <w:color w:val="FFFFFF" w:themeColor="background1"/>
              </w:rPr>
              <w:t>Achieved</w:t>
            </w:r>
          </w:p>
        </w:tc>
        <w:tc>
          <w:tcPr>
            <w:tcW w:w="6875" w:type="dxa"/>
            <w:tcBorders>
              <w:top w:val="nil"/>
              <w:left w:val="nil"/>
              <w:bottom w:val="nil"/>
              <w:right w:val="nil"/>
            </w:tcBorders>
          </w:tcPr>
          <w:p w:rsidR="00F35455" w:rsidRPr="00962508" w:rsidRDefault="00F35455" w:rsidP="00BA6957">
            <w:pPr>
              <w:pStyle w:val="TableTextEntries"/>
              <w:spacing w:before="0"/>
              <w:rPr>
                <w:color w:val="000000" w:themeColor="text1" w:themeShade="BF"/>
              </w:rPr>
            </w:pPr>
            <w:r w:rsidRPr="00962508">
              <w:t xml:space="preserve">BAF </w:t>
            </w:r>
            <w:r w:rsidR="00875386" w:rsidRPr="00962508">
              <w:t>approved 69 business grants, 36 per cent</w:t>
            </w:r>
            <w:r w:rsidRPr="00962508">
              <w:t xml:space="preserve"> of which were for women owned businesses.</w:t>
            </w:r>
          </w:p>
        </w:tc>
      </w:tr>
      <w:tr w:rsidR="00F35455" w:rsidRPr="00962508" w:rsidTr="00367E32">
        <w:tc>
          <w:tcPr>
            <w:tcW w:w="2235" w:type="dxa"/>
            <w:tcMar>
              <w:top w:w="57" w:type="dxa"/>
              <w:bottom w:w="57" w:type="dxa"/>
            </w:tcMar>
          </w:tcPr>
          <w:p w:rsidR="00F35455" w:rsidRPr="00962508" w:rsidRDefault="00F35455" w:rsidP="00BA6957">
            <w:pPr>
              <w:pStyle w:val="TableTextEntries"/>
            </w:pPr>
            <w:r w:rsidRPr="00962508">
              <w:t>Improve inclusive access to finance, productive assets, and market opportunities</w:t>
            </w:r>
          </w:p>
        </w:tc>
        <w:tc>
          <w:tcPr>
            <w:tcW w:w="4677" w:type="dxa"/>
          </w:tcPr>
          <w:p w:rsidR="00F35455" w:rsidRPr="00962508" w:rsidRDefault="00F35455" w:rsidP="00BA6957">
            <w:pPr>
              <w:pStyle w:val="TableTextEntries"/>
            </w:pPr>
            <w:r w:rsidRPr="00962508">
              <w:t>600 poor women and men able to access social transfers (such as cash or in kind transfers)</w:t>
            </w:r>
          </w:p>
        </w:tc>
        <w:tc>
          <w:tcPr>
            <w:tcW w:w="1127" w:type="dxa"/>
            <w:tcBorders>
              <w:top w:val="nil"/>
              <w:bottom w:val="nil"/>
            </w:tcBorders>
            <w:shd w:val="clear" w:color="auto" w:fill="F79646"/>
          </w:tcPr>
          <w:p w:rsidR="00F35455" w:rsidRPr="00A96E4D" w:rsidRDefault="00F35455" w:rsidP="00BA6957">
            <w:pPr>
              <w:pStyle w:val="TableTextEntries"/>
              <w:rPr>
                <w:color w:val="FFFFFF" w:themeColor="background1"/>
              </w:rPr>
            </w:pPr>
            <w:r w:rsidRPr="00A96E4D">
              <w:rPr>
                <w:color w:val="FFFFFF" w:themeColor="background1"/>
              </w:rPr>
              <w:t>Partly achieved</w:t>
            </w:r>
          </w:p>
        </w:tc>
        <w:tc>
          <w:tcPr>
            <w:tcW w:w="6875" w:type="dxa"/>
          </w:tcPr>
          <w:p w:rsidR="00F35455" w:rsidRPr="00962508" w:rsidRDefault="00F35455" w:rsidP="00BA6957">
            <w:pPr>
              <w:pStyle w:val="TableTextEntries"/>
            </w:pPr>
            <w:r w:rsidRPr="00962508">
              <w:t xml:space="preserve">Implementation was delayed by the slow approval of project MOUs (signed in May 2015). However, 613 households have been registered and received training support. Cash and asset transfers </w:t>
            </w:r>
            <w:r w:rsidR="00556FB9">
              <w:t xml:space="preserve">were </w:t>
            </w:r>
            <w:r w:rsidRPr="00962508">
              <w:t>delivered in Aug 2015.</w:t>
            </w:r>
          </w:p>
        </w:tc>
      </w:tr>
      <w:tr w:rsidR="00F35455" w:rsidRPr="00962508" w:rsidTr="0006433F">
        <w:tc>
          <w:tcPr>
            <w:tcW w:w="2235" w:type="dxa"/>
            <w:tcMar>
              <w:top w:w="57" w:type="dxa"/>
              <w:bottom w:w="57" w:type="dxa"/>
            </w:tcMar>
          </w:tcPr>
          <w:p w:rsidR="00F35455" w:rsidRPr="00962508" w:rsidRDefault="00F35455" w:rsidP="00BA6957">
            <w:pPr>
              <w:pStyle w:val="TableTextEntries"/>
              <w:rPr>
                <w:rFonts w:ascii="Times New Roman" w:hAnsi="Times New Roman"/>
                <w:sz w:val="20"/>
                <w:szCs w:val="20"/>
              </w:rPr>
            </w:pPr>
          </w:p>
        </w:tc>
        <w:tc>
          <w:tcPr>
            <w:tcW w:w="4677" w:type="dxa"/>
          </w:tcPr>
          <w:p w:rsidR="00F35455" w:rsidRPr="00962508" w:rsidRDefault="00F35455" w:rsidP="00BA6957">
            <w:pPr>
              <w:pStyle w:val="TableTextEntries"/>
            </w:pPr>
            <w:r w:rsidRPr="00962508">
              <w:t xml:space="preserve">93,000 additional poor women and men who increase their access to financial services </w:t>
            </w:r>
          </w:p>
          <w:p w:rsidR="00F35455" w:rsidRPr="00962508" w:rsidRDefault="00F35455" w:rsidP="00BA6957">
            <w:pPr>
              <w:pStyle w:val="TableTextEntries"/>
            </w:pPr>
          </w:p>
          <w:p w:rsidR="00F35455" w:rsidRPr="00962508" w:rsidRDefault="00F35455" w:rsidP="00BA6957">
            <w:pPr>
              <w:pStyle w:val="TableTextEntries"/>
            </w:pPr>
          </w:p>
        </w:tc>
        <w:tc>
          <w:tcPr>
            <w:tcW w:w="1127" w:type="dxa"/>
            <w:tcBorders>
              <w:top w:val="nil"/>
              <w:bottom w:val="nil"/>
            </w:tcBorders>
            <w:shd w:val="clear" w:color="auto" w:fill="F79646" w:themeFill="accent6"/>
          </w:tcPr>
          <w:p w:rsidR="00F35455" w:rsidRPr="00A96E4D" w:rsidRDefault="00F35455" w:rsidP="00BA6957">
            <w:pPr>
              <w:pStyle w:val="TableTextEntries"/>
              <w:rPr>
                <w:color w:val="FFFFFF" w:themeColor="background1"/>
              </w:rPr>
            </w:pPr>
            <w:r w:rsidRPr="00A96E4D">
              <w:rPr>
                <w:color w:val="FFFFFF" w:themeColor="background1"/>
              </w:rPr>
              <w:t>Partly achieved</w:t>
            </w:r>
          </w:p>
        </w:tc>
        <w:tc>
          <w:tcPr>
            <w:tcW w:w="6875" w:type="dxa"/>
          </w:tcPr>
          <w:p w:rsidR="00F35455" w:rsidRPr="00962508" w:rsidRDefault="00F35455" w:rsidP="00BA6957">
            <w:pPr>
              <w:pStyle w:val="TableTextEntries"/>
            </w:pPr>
            <w:r w:rsidRPr="00962508">
              <w:t>Despite delays in the launch of the Digital Financial Services pilots (branchless banking and mobile money for the poor), 51,832 additional people (31,950 women) increased access to financial services as of Dec 2014.</w:t>
            </w:r>
          </w:p>
        </w:tc>
      </w:tr>
      <w:tr w:rsidR="00F35455" w:rsidRPr="00962508" w:rsidTr="0006433F">
        <w:tc>
          <w:tcPr>
            <w:tcW w:w="2235" w:type="dxa"/>
            <w:tcMar>
              <w:top w:w="57" w:type="dxa"/>
              <w:bottom w:w="57" w:type="dxa"/>
            </w:tcMar>
          </w:tcPr>
          <w:p w:rsidR="00F35455" w:rsidRPr="00962508" w:rsidRDefault="00F35455" w:rsidP="00BA6957">
            <w:pPr>
              <w:pStyle w:val="TableTextEntries"/>
              <w:rPr>
                <w:rFonts w:ascii="Times New Roman" w:hAnsi="Times New Roman"/>
                <w:sz w:val="20"/>
                <w:szCs w:val="20"/>
              </w:rPr>
            </w:pPr>
          </w:p>
        </w:tc>
        <w:tc>
          <w:tcPr>
            <w:tcW w:w="4677" w:type="dxa"/>
          </w:tcPr>
          <w:p w:rsidR="00F35455" w:rsidRPr="00962508" w:rsidRDefault="00F35455" w:rsidP="00BA6957">
            <w:pPr>
              <w:pStyle w:val="TableTextEntries"/>
            </w:pPr>
            <w:r w:rsidRPr="00962508">
              <w:t xml:space="preserve">630 hectares of productive land released from UXO contamination </w:t>
            </w:r>
          </w:p>
        </w:tc>
        <w:tc>
          <w:tcPr>
            <w:tcW w:w="1127" w:type="dxa"/>
            <w:tcBorders>
              <w:top w:val="nil"/>
              <w:bottom w:val="nil"/>
            </w:tcBorders>
            <w:shd w:val="clear" w:color="auto" w:fill="9BBB59" w:themeFill="accent3"/>
          </w:tcPr>
          <w:p w:rsidR="00F35455" w:rsidRPr="00A96E4D" w:rsidRDefault="00F35455" w:rsidP="00BA6957">
            <w:pPr>
              <w:pStyle w:val="TableTextEntries"/>
              <w:rPr>
                <w:color w:val="FFFFFF" w:themeColor="background1"/>
              </w:rPr>
            </w:pPr>
            <w:r w:rsidRPr="00A96E4D">
              <w:rPr>
                <w:color w:val="FFFFFF" w:themeColor="background1"/>
              </w:rPr>
              <w:t>Achieved</w:t>
            </w:r>
          </w:p>
        </w:tc>
        <w:tc>
          <w:tcPr>
            <w:tcW w:w="6875" w:type="dxa"/>
          </w:tcPr>
          <w:p w:rsidR="00F35455" w:rsidRPr="00962508" w:rsidRDefault="00F35455" w:rsidP="00BA6957">
            <w:pPr>
              <w:keepLines/>
              <w:spacing w:before="40" w:after="40" w:line="200" w:lineRule="atLeast"/>
              <w:rPr>
                <w:rFonts w:ascii="Franklin Gothic Book" w:hAnsi="Franklin Gothic Book"/>
                <w:iCs/>
                <w:sz w:val="17"/>
                <w:szCs w:val="17"/>
              </w:rPr>
            </w:pPr>
            <w:r w:rsidRPr="00962508">
              <w:rPr>
                <w:rFonts w:ascii="Franklin Gothic Book" w:hAnsi="Franklin Gothic Book"/>
                <w:iCs/>
                <w:sz w:val="17"/>
                <w:szCs w:val="17"/>
              </w:rPr>
              <w:t>More than 1,152 hectares cleared, benefitting over 66,000 people</w:t>
            </w:r>
            <w:r w:rsidR="00EB24AD">
              <w:rPr>
                <w:rFonts w:ascii="Franklin Gothic Book" w:hAnsi="Franklin Gothic Book"/>
                <w:iCs/>
                <w:sz w:val="17"/>
                <w:szCs w:val="17"/>
              </w:rPr>
              <w:t>.</w:t>
            </w:r>
          </w:p>
        </w:tc>
      </w:tr>
      <w:tr w:rsidR="00F35455" w:rsidRPr="00962508" w:rsidTr="002060B8">
        <w:trPr>
          <w:trHeight w:val="26"/>
        </w:trPr>
        <w:tc>
          <w:tcPr>
            <w:tcW w:w="2235" w:type="dxa"/>
            <w:tcMar>
              <w:top w:w="57" w:type="dxa"/>
              <w:bottom w:w="57" w:type="dxa"/>
            </w:tcMar>
          </w:tcPr>
          <w:p w:rsidR="00F35455" w:rsidRPr="00962508" w:rsidRDefault="00F35455" w:rsidP="00BA6957">
            <w:pPr>
              <w:pStyle w:val="TableTextEntries"/>
            </w:pPr>
            <w:r w:rsidRPr="00962508">
              <w:t>Improve physical access to markets and basic services</w:t>
            </w:r>
          </w:p>
        </w:tc>
        <w:tc>
          <w:tcPr>
            <w:tcW w:w="4677" w:type="dxa"/>
          </w:tcPr>
          <w:p w:rsidR="00F35455" w:rsidRPr="00962508" w:rsidRDefault="00F35455" w:rsidP="00BA6957">
            <w:pPr>
              <w:pStyle w:val="TableTextEntries"/>
            </w:pPr>
            <w:r w:rsidRPr="00962508">
              <w:t xml:space="preserve">At least 100 kms of rural roads constructed and rehabilitated </w:t>
            </w:r>
          </w:p>
        </w:tc>
        <w:tc>
          <w:tcPr>
            <w:tcW w:w="1127" w:type="dxa"/>
            <w:tcBorders>
              <w:top w:val="nil"/>
              <w:bottom w:val="nil"/>
            </w:tcBorders>
            <w:shd w:val="clear" w:color="auto" w:fill="F79646" w:themeFill="accent6"/>
          </w:tcPr>
          <w:p w:rsidR="00F35455" w:rsidRPr="00A96E4D" w:rsidRDefault="00F35455" w:rsidP="00BA6957">
            <w:pPr>
              <w:pStyle w:val="TableTextEntries"/>
              <w:rPr>
                <w:color w:val="FFFFFF" w:themeColor="background1"/>
              </w:rPr>
            </w:pPr>
            <w:r w:rsidRPr="00A96E4D">
              <w:rPr>
                <w:color w:val="FFFFFF" w:themeColor="background1"/>
              </w:rPr>
              <w:t>Partly achieved</w:t>
            </w:r>
          </w:p>
        </w:tc>
        <w:tc>
          <w:tcPr>
            <w:tcW w:w="6875" w:type="dxa"/>
          </w:tcPr>
          <w:p w:rsidR="00F35455" w:rsidRDefault="00804134" w:rsidP="00BA6957">
            <w:pPr>
              <w:pStyle w:val="TableTextEntries"/>
            </w:pPr>
            <w:r w:rsidRPr="00962508">
              <w:t xml:space="preserve">This milestone was </w:t>
            </w:r>
            <w:r w:rsidR="00B15145">
              <w:t>partly achieved</w:t>
            </w:r>
            <w:r w:rsidRPr="00962508">
              <w:t xml:space="preserve"> because the </w:t>
            </w:r>
            <w:r w:rsidR="00277FA9" w:rsidRPr="00962508">
              <w:t>anticipated</w:t>
            </w:r>
            <w:r w:rsidRPr="00962508">
              <w:t xml:space="preserve"> milestone did not take into account the completion of NTNIP</w:t>
            </w:r>
            <w:r w:rsidR="00277FA9" w:rsidRPr="00962508">
              <w:t xml:space="preserve"> in 2014</w:t>
            </w:r>
            <w:r w:rsidR="00B15145">
              <w:t xml:space="preserve"> and the slower construction completion rates in PRF</w:t>
            </w:r>
            <w:r w:rsidRPr="00962508">
              <w:t xml:space="preserve">.  </w:t>
            </w:r>
            <w:r w:rsidR="00277FA9" w:rsidRPr="00962508">
              <w:t xml:space="preserve">Through remaining NTNIP outputs and PRF achievements, </w:t>
            </w:r>
            <w:r w:rsidR="00F35455" w:rsidRPr="00962508">
              <w:t>73 kilometres of new rural roads were constructed</w:t>
            </w:r>
            <w:r w:rsidR="00277FA9" w:rsidRPr="00962508">
              <w:t>.</w:t>
            </w:r>
          </w:p>
          <w:p w:rsidR="001B4B51" w:rsidRPr="00962508" w:rsidRDefault="001B4B51" w:rsidP="00BA6957">
            <w:pPr>
              <w:pStyle w:val="TableTextEntries"/>
            </w:pPr>
          </w:p>
        </w:tc>
      </w:tr>
      <w:tr w:rsidR="00F35455" w:rsidRPr="00962508" w:rsidTr="0006433F">
        <w:tc>
          <w:tcPr>
            <w:tcW w:w="2235" w:type="dxa"/>
            <w:tcMar>
              <w:top w:w="57" w:type="dxa"/>
              <w:bottom w:w="57" w:type="dxa"/>
            </w:tcMar>
          </w:tcPr>
          <w:p w:rsidR="00F35455" w:rsidRPr="00962508" w:rsidRDefault="00F35455" w:rsidP="00BA6957">
            <w:pPr>
              <w:pStyle w:val="TableTextEntries"/>
            </w:pPr>
          </w:p>
        </w:tc>
        <w:tc>
          <w:tcPr>
            <w:tcW w:w="4677" w:type="dxa"/>
          </w:tcPr>
          <w:p w:rsidR="00F35455" w:rsidRPr="00962508" w:rsidRDefault="00F35455" w:rsidP="00406B4A">
            <w:pPr>
              <w:pStyle w:val="TableTextEntries"/>
            </w:pPr>
            <w:r w:rsidRPr="00962508">
              <w:t>20,000 men and women provided with increased access to safe water</w:t>
            </w:r>
            <w:r w:rsidR="00E161AC">
              <w:br/>
            </w:r>
          </w:p>
        </w:tc>
        <w:tc>
          <w:tcPr>
            <w:tcW w:w="1127" w:type="dxa"/>
            <w:tcBorders>
              <w:top w:val="nil"/>
              <w:bottom w:val="nil"/>
            </w:tcBorders>
            <w:shd w:val="clear" w:color="auto" w:fill="F79646" w:themeFill="accent6"/>
          </w:tcPr>
          <w:p w:rsidR="00F35455" w:rsidRPr="00A96E4D" w:rsidRDefault="00F35455" w:rsidP="00BA6957">
            <w:pPr>
              <w:pStyle w:val="TableTextEntries"/>
              <w:rPr>
                <w:color w:val="FFFFFF" w:themeColor="background1"/>
              </w:rPr>
            </w:pPr>
            <w:r w:rsidRPr="00A96E4D">
              <w:rPr>
                <w:color w:val="FFFFFF" w:themeColor="background1"/>
              </w:rPr>
              <w:t>Partly achieved</w:t>
            </w:r>
          </w:p>
        </w:tc>
        <w:tc>
          <w:tcPr>
            <w:tcW w:w="6875" w:type="dxa"/>
          </w:tcPr>
          <w:p w:rsidR="00F35455" w:rsidRPr="00962508" w:rsidRDefault="00804134" w:rsidP="00406B4A">
            <w:pPr>
              <w:pStyle w:val="TableTextEntries"/>
            </w:pPr>
            <w:r w:rsidRPr="00962508">
              <w:t xml:space="preserve">This milestone was </w:t>
            </w:r>
            <w:r w:rsidR="00B15145">
              <w:t xml:space="preserve">partly achieved </w:t>
            </w:r>
            <w:r w:rsidRPr="00962508">
              <w:t xml:space="preserve">because the milestone did not take into account the completion of </w:t>
            </w:r>
            <w:r w:rsidR="00B15145">
              <w:t>and the lower</w:t>
            </w:r>
            <w:r w:rsidR="00790B3C">
              <w:t xml:space="preserve"> than anticipated</w:t>
            </w:r>
            <w:r w:rsidR="00B15145">
              <w:t xml:space="preserve"> demand for WASH under PRF</w:t>
            </w:r>
            <w:r w:rsidR="00B15145" w:rsidRPr="00962508">
              <w:t xml:space="preserve">. </w:t>
            </w:r>
            <w:r w:rsidR="00B15145">
              <w:t xml:space="preserve">Thus, only  </w:t>
            </w:r>
            <w:r w:rsidR="00F35455" w:rsidRPr="00962508">
              <w:t xml:space="preserve">9,747 people provided with increased access to safe water under </w:t>
            </w:r>
            <w:r w:rsidR="00B15145">
              <w:t>PRF</w:t>
            </w:r>
            <w:r w:rsidR="00EB24AD">
              <w:t>.</w:t>
            </w:r>
          </w:p>
        </w:tc>
      </w:tr>
      <w:tr w:rsidR="00F35455" w:rsidRPr="00962508" w:rsidTr="0006433F">
        <w:tc>
          <w:tcPr>
            <w:tcW w:w="2235" w:type="dxa"/>
            <w:tcMar>
              <w:top w:w="57" w:type="dxa"/>
              <w:bottom w:w="57" w:type="dxa"/>
            </w:tcMar>
          </w:tcPr>
          <w:p w:rsidR="00F35455" w:rsidRPr="00962508" w:rsidRDefault="00F35455" w:rsidP="00BA6957">
            <w:pPr>
              <w:pStyle w:val="TableTextEntries"/>
            </w:pPr>
            <w:r w:rsidRPr="00962508">
              <w:lastRenderedPageBreak/>
              <w:t>Human resource development</w:t>
            </w:r>
          </w:p>
        </w:tc>
        <w:tc>
          <w:tcPr>
            <w:tcW w:w="4677" w:type="dxa"/>
          </w:tcPr>
          <w:p w:rsidR="00F35455" w:rsidRPr="00962508" w:rsidRDefault="00F35455" w:rsidP="00BA6957">
            <w:pPr>
              <w:pStyle w:val="TableTextEntries"/>
            </w:pPr>
            <w:r w:rsidRPr="00962508">
              <w:t xml:space="preserve">50 students (25 men and 25 women) awarded a tertiary scholarship to study in Australia </w:t>
            </w:r>
          </w:p>
        </w:tc>
        <w:tc>
          <w:tcPr>
            <w:tcW w:w="1127" w:type="dxa"/>
            <w:tcBorders>
              <w:top w:val="nil"/>
              <w:bottom w:val="nil"/>
            </w:tcBorders>
            <w:shd w:val="clear" w:color="auto" w:fill="9BBB59" w:themeFill="accent3"/>
          </w:tcPr>
          <w:p w:rsidR="00F35455" w:rsidRPr="00A96E4D" w:rsidRDefault="00F35455" w:rsidP="00BA6957">
            <w:pPr>
              <w:pStyle w:val="TableTextEntries"/>
              <w:rPr>
                <w:color w:val="FFFFFF" w:themeColor="background1"/>
              </w:rPr>
            </w:pPr>
            <w:r w:rsidRPr="00A96E4D">
              <w:rPr>
                <w:color w:val="FFFFFF" w:themeColor="background1"/>
              </w:rPr>
              <w:t>Achieved</w:t>
            </w:r>
          </w:p>
        </w:tc>
        <w:tc>
          <w:tcPr>
            <w:tcW w:w="6875" w:type="dxa"/>
          </w:tcPr>
          <w:p w:rsidR="00F35455" w:rsidRPr="00962508" w:rsidRDefault="00F35455" w:rsidP="00BA6957">
            <w:pPr>
              <w:pStyle w:val="TableTextEntries"/>
            </w:pPr>
            <w:r w:rsidRPr="00962508">
              <w:t>The 2014-15 benchmarks for the AAS were achieved.  Gender parity was also achieved, and the target of 25 scholarships awarded to scholars from the public sector was realised.  Of these 50 awardees, 11 students obtained direct entry, commencing their studies in Australia in first semester 2015 or mid-year.  1 of the 11 students opted to withdraw and 40 are currently doing their pre-departure English language training at Vientiane College.</w:t>
            </w:r>
          </w:p>
        </w:tc>
      </w:tr>
      <w:tr w:rsidR="00F35455" w:rsidRPr="00962508" w:rsidTr="0006433F">
        <w:tc>
          <w:tcPr>
            <w:tcW w:w="2235" w:type="dxa"/>
            <w:tcMar>
              <w:top w:w="57" w:type="dxa"/>
              <w:bottom w:w="57" w:type="dxa"/>
            </w:tcMar>
          </w:tcPr>
          <w:p w:rsidR="00F35455" w:rsidRPr="00962508" w:rsidRDefault="00F35455" w:rsidP="00BA6957">
            <w:pPr>
              <w:pStyle w:val="TableTextEntries"/>
              <w:rPr>
                <w:rFonts w:ascii="Times New Roman" w:hAnsi="Times New Roman"/>
                <w:sz w:val="20"/>
                <w:szCs w:val="20"/>
              </w:rPr>
            </w:pPr>
          </w:p>
        </w:tc>
        <w:tc>
          <w:tcPr>
            <w:tcW w:w="4677" w:type="dxa"/>
          </w:tcPr>
          <w:p w:rsidR="00F35455" w:rsidRPr="00962508" w:rsidRDefault="00F35455" w:rsidP="00BA6957">
            <w:pPr>
              <w:pStyle w:val="TableTextEntries"/>
            </w:pPr>
            <w:r w:rsidRPr="00962508">
              <w:t xml:space="preserve">70 disadvantage students (35 men and 35 women) awarded a scholarship to study a bachelor degree in Lao public universities </w:t>
            </w:r>
          </w:p>
          <w:p w:rsidR="00F35455" w:rsidRPr="00962508" w:rsidRDefault="00F35455" w:rsidP="00BA6957">
            <w:pPr>
              <w:pStyle w:val="TableTextEntries"/>
            </w:pPr>
          </w:p>
        </w:tc>
        <w:tc>
          <w:tcPr>
            <w:tcW w:w="1127" w:type="dxa"/>
            <w:tcBorders>
              <w:top w:val="nil"/>
              <w:bottom w:val="nil"/>
            </w:tcBorders>
            <w:shd w:val="clear" w:color="auto" w:fill="9BBB59" w:themeFill="accent3"/>
          </w:tcPr>
          <w:p w:rsidR="00F35455" w:rsidRPr="00A96E4D" w:rsidRDefault="00F35455" w:rsidP="00BA6957">
            <w:pPr>
              <w:pStyle w:val="TableTextEntries"/>
              <w:rPr>
                <w:color w:val="FFFFFF" w:themeColor="background1"/>
              </w:rPr>
            </w:pPr>
            <w:r w:rsidRPr="00A96E4D">
              <w:rPr>
                <w:color w:val="FFFFFF" w:themeColor="background1"/>
              </w:rPr>
              <w:t>Achieved</w:t>
            </w:r>
          </w:p>
        </w:tc>
        <w:tc>
          <w:tcPr>
            <w:tcW w:w="6875" w:type="dxa"/>
          </w:tcPr>
          <w:p w:rsidR="00F35455" w:rsidRPr="00962508" w:rsidRDefault="00F35455" w:rsidP="00406B4A">
            <w:pPr>
              <w:pStyle w:val="TableTextEntries"/>
            </w:pPr>
            <w:r w:rsidRPr="00962508">
              <w:t>Number of</w:t>
            </w:r>
            <w:r w:rsidR="00406B4A">
              <w:t xml:space="preserve"> </w:t>
            </w:r>
            <w:r w:rsidRPr="00962508">
              <w:t xml:space="preserve">LANS awarded in 2014 exceeded 2014-15 benchmarks.  74 new LANS students, 38 females and 36 males, commenced their studies at the National University of Laos in 2014.  Additional 4 scholarships were recommended by the Program Management Committee to replace 4 awardees from 2013 intakes who withdrew from the program.  </w:t>
            </w:r>
          </w:p>
        </w:tc>
      </w:tr>
    </w:tbl>
    <w:p w:rsidR="00F35455" w:rsidRPr="00962508" w:rsidRDefault="00F35455" w:rsidP="00BA6957">
      <w:pPr>
        <w:pStyle w:val="Note"/>
        <w:jc w:val="left"/>
      </w:pPr>
    </w:p>
    <w:p w:rsidR="00F35455" w:rsidRPr="00962508" w:rsidRDefault="00F35455" w:rsidP="00BA6957">
      <w:pPr>
        <w:pStyle w:val="Note"/>
        <w:jc w:val="left"/>
      </w:pPr>
    </w:p>
    <w:p w:rsidR="00416B02" w:rsidRPr="00962508" w:rsidRDefault="00416B02" w:rsidP="00BA6957">
      <w:pPr>
        <w:pStyle w:val="Note"/>
        <w:jc w:val="left"/>
      </w:pPr>
      <w:r w:rsidRPr="00962508">
        <w:t xml:space="preserve">Note: </w:t>
      </w:r>
    </w:p>
    <w:p w:rsidR="00416B02" w:rsidRPr="00962508" w:rsidRDefault="00416B02" w:rsidP="00BA6957">
      <w:pPr>
        <w:pStyle w:val="Note"/>
        <w:jc w:val="left"/>
      </w:pPr>
      <w:r w:rsidRPr="00962508">
        <w:rPr>
          <w:color w:val="72AF2F"/>
        </w:rPr>
        <w:sym w:font="Webdings" w:char="F067"/>
      </w:r>
      <w:r w:rsidRPr="00962508">
        <w:t> </w:t>
      </w:r>
      <w:r w:rsidRPr="00962508">
        <w:t xml:space="preserve"> Achieved.  Significant progress has been made and the performance benchmark was achieved </w:t>
      </w:r>
    </w:p>
    <w:p w:rsidR="00416B02" w:rsidRPr="00962508" w:rsidRDefault="00416B02" w:rsidP="00BA6957">
      <w:pPr>
        <w:pStyle w:val="Note"/>
        <w:jc w:val="left"/>
      </w:pPr>
      <w:r w:rsidRPr="00962508">
        <w:rPr>
          <w:color w:val="E36C0A"/>
        </w:rPr>
        <w:sym w:font="Webdings" w:char="F067"/>
      </w:r>
      <w:r w:rsidRPr="00962508">
        <w:t> </w:t>
      </w:r>
      <w:r w:rsidRPr="00962508">
        <w:t xml:space="preserve"> Partly achieved.  Some progress has been made towards achieving the performance benchmark, but progress was less than anticipated. </w:t>
      </w:r>
    </w:p>
    <w:p w:rsidR="00416B02" w:rsidRPr="00962508" w:rsidRDefault="00416B02" w:rsidP="00BA6957">
      <w:pPr>
        <w:pStyle w:val="Note"/>
        <w:jc w:val="left"/>
      </w:pPr>
      <w:r w:rsidRPr="00962508">
        <w:rPr>
          <w:color w:val="FF0000"/>
        </w:rPr>
        <w:sym w:font="Webdings" w:char="F067"/>
      </w:r>
      <w:r w:rsidRPr="00962508">
        <w:t> </w:t>
      </w:r>
      <w:r w:rsidRPr="00962508">
        <w:t xml:space="preserve"> Not achieved. Progress towards the performance benchmark has been significantly below expectations</w:t>
      </w:r>
    </w:p>
    <w:p w:rsidR="00A16443" w:rsidRDefault="00A16443" w:rsidP="00BA6957">
      <w:pPr>
        <w:spacing w:after="200" w:line="276" w:lineRule="auto"/>
      </w:pPr>
    </w:p>
    <w:p w:rsidR="00A16443" w:rsidRDefault="00A16443" w:rsidP="00BA6957">
      <w:pPr>
        <w:spacing w:after="200" w:line="276" w:lineRule="auto"/>
      </w:pPr>
    </w:p>
    <w:p w:rsidR="00A16443" w:rsidRDefault="00A16443" w:rsidP="00BA6957">
      <w:pPr>
        <w:spacing w:after="200" w:line="276" w:lineRule="auto"/>
      </w:pPr>
    </w:p>
    <w:p w:rsidR="00A16443" w:rsidRDefault="00A16443" w:rsidP="00BA6957">
      <w:pPr>
        <w:spacing w:after="200" w:line="276" w:lineRule="auto"/>
      </w:pPr>
    </w:p>
    <w:p w:rsidR="00A16443" w:rsidRDefault="00A16443" w:rsidP="00BA6957">
      <w:pPr>
        <w:spacing w:after="200" w:line="276" w:lineRule="auto"/>
      </w:pPr>
    </w:p>
    <w:p w:rsidR="00A16443" w:rsidRDefault="00A16443" w:rsidP="00BA6957">
      <w:pPr>
        <w:spacing w:after="200" w:line="276" w:lineRule="auto"/>
      </w:pPr>
    </w:p>
    <w:p w:rsidR="00A16443" w:rsidRDefault="00A16443" w:rsidP="00BA6957">
      <w:pPr>
        <w:spacing w:after="200" w:line="276" w:lineRule="auto"/>
      </w:pPr>
    </w:p>
    <w:p w:rsidR="00A16443" w:rsidRDefault="00A16443" w:rsidP="00BA6957">
      <w:pPr>
        <w:spacing w:after="200" w:line="276" w:lineRule="auto"/>
      </w:pPr>
    </w:p>
    <w:p w:rsidR="00A16443" w:rsidRDefault="00A16443" w:rsidP="00BA6957">
      <w:pPr>
        <w:spacing w:after="200" w:line="276" w:lineRule="auto"/>
      </w:pPr>
    </w:p>
    <w:p w:rsidR="00A16443" w:rsidRPr="00962508" w:rsidRDefault="00A16443" w:rsidP="00A16443">
      <w:pPr>
        <w:pStyle w:val="Heading2"/>
        <w:rPr>
          <w:sz w:val="28"/>
        </w:rPr>
      </w:pPr>
      <w:r w:rsidRPr="00962508">
        <w:rPr>
          <w:sz w:val="28"/>
        </w:rPr>
        <w:lastRenderedPageBreak/>
        <w:t>Annex</w:t>
      </w:r>
      <w:r>
        <w:rPr>
          <w:sz w:val="28"/>
        </w:rPr>
        <w:t xml:space="preserve"> C</w:t>
      </w:r>
      <w:r w:rsidRPr="00962508">
        <w:rPr>
          <w:sz w:val="28"/>
        </w:rPr>
        <w:t xml:space="preserve"> </w:t>
      </w:r>
      <w:r>
        <w:rPr>
          <w:sz w:val="28"/>
        </w:rPr>
        <w:t>–</w:t>
      </w:r>
      <w:r w:rsidRPr="00962508">
        <w:rPr>
          <w:sz w:val="28"/>
        </w:rPr>
        <w:t xml:space="preserve"> </w:t>
      </w:r>
      <w:r>
        <w:rPr>
          <w:sz w:val="28"/>
        </w:rPr>
        <w:t xml:space="preserve">Performance Assessment Framework, Milestone Achievements in </w:t>
      </w:r>
      <w:r w:rsidRPr="00962508">
        <w:rPr>
          <w:sz w:val="28"/>
        </w:rPr>
        <w:t>2014-15</w:t>
      </w:r>
    </w:p>
    <w:tbl>
      <w:tblPr>
        <w:tblStyle w:val="DFATTable"/>
        <w:tblW w:w="14914" w:type="dxa"/>
        <w:tblLook w:val="04A0" w:firstRow="1" w:lastRow="0" w:firstColumn="1" w:lastColumn="0" w:noHBand="0" w:noVBand="1"/>
        <w:tblCaption w:val="Annex C – Performance Assessment Framework, Milestone Achievements in 2014-15"/>
        <w:tblDescription w:val="Annex C shows an extract from the Laos country program’s performance assessment framework.  It lists our aid objectives, the financial year 2014-15 performance milestones we set ourselves relating to each objective, the financial year 2014-15 progress rating we gave ourselves and a narrative covering progress.  The progress rating uses a 3 point rating scale. Achieved - significant progress has been made and the performance benchmark was achieved.  Partly achieved - some progress has been made towards achieving the performance benchmark, but progress was less than anticipated. Not achieved - progress towards the performance benchmark has been significantly below expectations."/>
      </w:tblPr>
      <w:tblGrid>
        <w:gridCol w:w="2235"/>
        <w:gridCol w:w="4677"/>
        <w:gridCol w:w="1127"/>
        <w:gridCol w:w="6875"/>
      </w:tblGrid>
      <w:tr w:rsidR="00A16443" w:rsidRPr="00962508" w:rsidTr="009312B5">
        <w:trPr>
          <w:tblHeader/>
        </w:trPr>
        <w:tc>
          <w:tcPr>
            <w:tcW w:w="2235" w:type="dxa"/>
            <w:tcMar>
              <w:top w:w="57" w:type="dxa"/>
              <w:bottom w:w="57" w:type="dxa"/>
            </w:tcMar>
          </w:tcPr>
          <w:p w:rsidR="00A16443" w:rsidRPr="00962508" w:rsidRDefault="00A16443" w:rsidP="009312B5">
            <w:pPr>
              <w:pStyle w:val="TableHeading1"/>
            </w:pPr>
            <w:r w:rsidRPr="00962508">
              <w:t>Aid objective</w:t>
            </w:r>
          </w:p>
        </w:tc>
        <w:tc>
          <w:tcPr>
            <w:tcW w:w="4677" w:type="dxa"/>
          </w:tcPr>
          <w:p w:rsidR="00A16443" w:rsidRPr="00962508" w:rsidRDefault="00A16443" w:rsidP="009312B5">
            <w:pPr>
              <w:pStyle w:val="TableHeading1"/>
            </w:pPr>
            <w:r w:rsidRPr="00962508">
              <w:t>2014-15 Milestone Targets</w:t>
            </w:r>
          </w:p>
        </w:tc>
        <w:tc>
          <w:tcPr>
            <w:tcW w:w="1127" w:type="dxa"/>
          </w:tcPr>
          <w:p w:rsidR="00A16443" w:rsidRPr="00962508" w:rsidRDefault="00A16443" w:rsidP="009312B5">
            <w:pPr>
              <w:pStyle w:val="TableHeading1"/>
            </w:pPr>
            <w:r w:rsidRPr="00962508">
              <w:t>Rating</w:t>
            </w:r>
          </w:p>
        </w:tc>
        <w:tc>
          <w:tcPr>
            <w:tcW w:w="6875" w:type="dxa"/>
          </w:tcPr>
          <w:p w:rsidR="00A16443" w:rsidRPr="00962508" w:rsidRDefault="00A16443" w:rsidP="009312B5">
            <w:pPr>
              <w:pStyle w:val="TableHeading1"/>
            </w:pPr>
            <w:r w:rsidRPr="00962508">
              <w:t>Progress in 2014-15</w:t>
            </w:r>
          </w:p>
        </w:tc>
      </w:tr>
      <w:tr w:rsidR="00A16443" w:rsidRPr="00962508" w:rsidTr="00CB694F">
        <w:tc>
          <w:tcPr>
            <w:tcW w:w="2235" w:type="dxa"/>
            <w:vMerge w:val="restart"/>
            <w:tcMar>
              <w:top w:w="57" w:type="dxa"/>
              <w:bottom w:w="57" w:type="dxa"/>
            </w:tcMar>
          </w:tcPr>
          <w:p w:rsidR="00A16443" w:rsidRPr="00962508" w:rsidRDefault="00A16443" w:rsidP="009312B5">
            <w:pPr>
              <w:pStyle w:val="TableTextEntries"/>
            </w:pPr>
            <w:r w:rsidRPr="00962508">
              <w:t>More girls and boys, especially those experiencing disadvantage, complete good quality basic education, achieving literacy, numeracy and other relevant life skills</w:t>
            </w:r>
          </w:p>
        </w:tc>
        <w:tc>
          <w:tcPr>
            <w:tcW w:w="4677" w:type="dxa"/>
          </w:tcPr>
          <w:p w:rsidR="00A16443" w:rsidRPr="00962508" w:rsidRDefault="00A16443" w:rsidP="009312B5">
            <w:pPr>
              <w:rPr>
                <w:rFonts w:ascii="Franklin Gothic Book" w:hAnsi="Franklin Gothic Book"/>
                <w:b/>
                <w:i/>
                <w:iCs/>
                <w:sz w:val="17"/>
                <w:szCs w:val="17"/>
              </w:rPr>
            </w:pPr>
            <w:r w:rsidRPr="00962508">
              <w:rPr>
                <w:rFonts w:ascii="Franklin Gothic Book" w:hAnsi="Franklin Gothic Book"/>
                <w:iCs/>
                <w:sz w:val="17"/>
                <w:szCs w:val="17"/>
              </w:rPr>
              <w:t>115 schools have water and sanitation facilities meeting Government of Laos quality standards with district funded O&amp;M plan in place</w:t>
            </w:r>
          </w:p>
        </w:tc>
        <w:tc>
          <w:tcPr>
            <w:tcW w:w="1127" w:type="dxa"/>
            <w:tcBorders>
              <w:top w:val="nil"/>
              <w:bottom w:val="nil"/>
            </w:tcBorders>
            <w:shd w:val="clear" w:color="auto" w:fill="F79646" w:themeFill="accent6"/>
          </w:tcPr>
          <w:p w:rsidR="00A16443" w:rsidRPr="00DB43BB" w:rsidRDefault="00CB694F" w:rsidP="009312B5">
            <w:pPr>
              <w:pStyle w:val="TableTextEntries"/>
              <w:jc w:val="center"/>
              <w:rPr>
                <w:color w:val="FFFFFF" w:themeColor="background1"/>
              </w:rPr>
            </w:pPr>
            <w:r w:rsidRPr="00DB43BB">
              <w:rPr>
                <w:color w:val="FFFFFF" w:themeColor="background1"/>
              </w:rPr>
              <w:t>Partially achieved</w:t>
            </w:r>
          </w:p>
        </w:tc>
        <w:tc>
          <w:tcPr>
            <w:tcW w:w="6875" w:type="dxa"/>
          </w:tcPr>
          <w:p w:rsidR="00A16443" w:rsidRPr="00962508" w:rsidRDefault="00A16443" w:rsidP="009312B5">
            <w:pPr>
              <w:pStyle w:val="TableTextEntries"/>
              <w:rPr>
                <w:iCs w:val="0"/>
              </w:rPr>
            </w:pPr>
            <w:r w:rsidRPr="00962508">
              <w:rPr>
                <w:iCs w:val="0"/>
              </w:rPr>
              <w:t>101 schools have water and sanitation facilities meeting GOL quality standards with district funded O&amp;M plan in place.</w:t>
            </w:r>
          </w:p>
          <w:p w:rsidR="00A16443" w:rsidRPr="00962508" w:rsidRDefault="00A16443" w:rsidP="009312B5">
            <w:pPr>
              <w:pStyle w:val="TableTextEntries"/>
              <w:rPr>
                <w:i/>
              </w:rPr>
            </w:pPr>
          </w:p>
        </w:tc>
      </w:tr>
      <w:tr w:rsidR="00A16443" w:rsidRPr="00962508" w:rsidTr="009312B5">
        <w:tc>
          <w:tcPr>
            <w:tcW w:w="2235" w:type="dxa"/>
            <w:vMerge/>
            <w:tcMar>
              <w:top w:w="57" w:type="dxa"/>
              <w:bottom w:w="57" w:type="dxa"/>
            </w:tcMar>
          </w:tcPr>
          <w:p w:rsidR="00A16443" w:rsidRPr="00962508" w:rsidRDefault="00A16443" w:rsidP="009312B5">
            <w:pPr>
              <w:pStyle w:val="TableTextEntries"/>
            </w:pPr>
          </w:p>
        </w:tc>
        <w:tc>
          <w:tcPr>
            <w:tcW w:w="4677" w:type="dxa"/>
          </w:tcPr>
          <w:p w:rsidR="00A16443" w:rsidRPr="00962508" w:rsidRDefault="00A16443" w:rsidP="009312B5">
            <w:pPr>
              <w:rPr>
                <w:rFonts w:ascii="Franklin Gothic Book" w:hAnsi="Franklin Gothic Book"/>
                <w:bCs/>
                <w:sz w:val="17"/>
                <w:szCs w:val="17"/>
              </w:rPr>
            </w:pPr>
            <w:r w:rsidRPr="00962508">
              <w:rPr>
                <w:rFonts w:ascii="Franklin Gothic Book" w:hAnsi="Franklin Gothic Book"/>
                <w:bCs/>
                <w:sz w:val="17"/>
                <w:szCs w:val="17"/>
              </w:rPr>
              <w:t xml:space="preserve">11,500 girls and boys utilising safe water sanitation facilities </w:t>
            </w:r>
          </w:p>
        </w:tc>
        <w:tc>
          <w:tcPr>
            <w:tcW w:w="1127" w:type="dxa"/>
            <w:tcBorders>
              <w:top w:val="nil"/>
              <w:bottom w:val="nil"/>
            </w:tcBorders>
            <w:shd w:val="clear" w:color="auto" w:fill="9BBB59" w:themeFill="accent3"/>
          </w:tcPr>
          <w:p w:rsidR="00A16443" w:rsidRPr="00DB43BB" w:rsidRDefault="00A16443" w:rsidP="009312B5">
            <w:pPr>
              <w:pStyle w:val="TableTextEntries"/>
              <w:jc w:val="center"/>
              <w:rPr>
                <w:color w:val="FFFFFF" w:themeColor="background1"/>
              </w:rPr>
            </w:pPr>
            <w:r w:rsidRPr="00DB43BB">
              <w:rPr>
                <w:color w:val="FFFFFF" w:themeColor="background1"/>
              </w:rPr>
              <w:t>Achieved</w:t>
            </w:r>
          </w:p>
        </w:tc>
        <w:tc>
          <w:tcPr>
            <w:tcW w:w="6875" w:type="dxa"/>
          </w:tcPr>
          <w:p w:rsidR="00A16443" w:rsidRPr="00962508" w:rsidRDefault="00A16443" w:rsidP="009312B5">
            <w:pPr>
              <w:pStyle w:val="TableTextEntries"/>
              <w:rPr>
                <w:i/>
              </w:rPr>
            </w:pPr>
            <w:r w:rsidRPr="00962508">
              <w:rPr>
                <w:iCs w:val="0"/>
              </w:rPr>
              <w:t>16,978 students (8,137 girls) in 101 schools in target districts have access to improved water sanitation facilities.</w:t>
            </w:r>
            <w:r w:rsidRPr="00962508">
              <w:rPr>
                <w:bCs/>
              </w:rPr>
              <w:t>26,511 people in school</w:t>
            </w:r>
            <w:r>
              <w:rPr>
                <w:bCs/>
              </w:rPr>
              <w:t>-</w:t>
            </w:r>
            <w:r w:rsidRPr="00962508">
              <w:rPr>
                <w:bCs/>
              </w:rPr>
              <w:t>hosting communities also received access to clean water.</w:t>
            </w:r>
          </w:p>
        </w:tc>
      </w:tr>
      <w:tr w:rsidR="00A16443" w:rsidRPr="00962508" w:rsidTr="009312B5">
        <w:tc>
          <w:tcPr>
            <w:tcW w:w="2235" w:type="dxa"/>
            <w:vMerge/>
          </w:tcPr>
          <w:p w:rsidR="00A16443" w:rsidRPr="00962508" w:rsidRDefault="00A16443" w:rsidP="009312B5">
            <w:pPr>
              <w:pStyle w:val="TableTextEntries"/>
            </w:pPr>
          </w:p>
        </w:tc>
        <w:tc>
          <w:tcPr>
            <w:tcW w:w="4677" w:type="dxa"/>
          </w:tcPr>
          <w:p w:rsidR="00A16443" w:rsidRPr="00962508" w:rsidRDefault="00A16443" w:rsidP="009312B5">
            <w:pPr>
              <w:rPr>
                <w:rFonts w:ascii="Franklin Gothic Book" w:hAnsi="Franklin Gothic Book"/>
                <w:b/>
                <w:i/>
                <w:iCs/>
                <w:sz w:val="17"/>
                <w:szCs w:val="17"/>
              </w:rPr>
            </w:pPr>
            <w:r w:rsidRPr="00962508">
              <w:rPr>
                <w:rFonts w:ascii="Franklin Gothic Book" w:hAnsi="Franklin Gothic Book"/>
                <w:iCs/>
                <w:sz w:val="17"/>
                <w:szCs w:val="17"/>
              </w:rPr>
              <w:t>55,000 students provided with financial or nutritional support (such as food)</w:t>
            </w:r>
          </w:p>
        </w:tc>
        <w:tc>
          <w:tcPr>
            <w:tcW w:w="1127" w:type="dxa"/>
            <w:tcBorders>
              <w:top w:val="nil"/>
              <w:bottom w:val="nil"/>
            </w:tcBorders>
            <w:shd w:val="clear" w:color="auto" w:fill="9BBB59"/>
          </w:tcPr>
          <w:p w:rsidR="00A16443" w:rsidRPr="00DB43BB" w:rsidRDefault="00A16443" w:rsidP="009312B5">
            <w:pPr>
              <w:pStyle w:val="TableTextEntries"/>
              <w:jc w:val="center"/>
              <w:rPr>
                <w:color w:val="FFFFFF" w:themeColor="background1"/>
              </w:rPr>
            </w:pPr>
            <w:r w:rsidRPr="00DB43BB">
              <w:rPr>
                <w:color w:val="FFFFFF" w:themeColor="background1"/>
              </w:rPr>
              <w:t>Achieved</w:t>
            </w:r>
          </w:p>
        </w:tc>
        <w:tc>
          <w:tcPr>
            <w:tcW w:w="6875" w:type="dxa"/>
          </w:tcPr>
          <w:p w:rsidR="00A16443" w:rsidRPr="00962508" w:rsidRDefault="00A16443" w:rsidP="009312B5">
            <w:pPr>
              <w:pStyle w:val="TableTextEntries"/>
              <w:rPr>
                <w:i/>
              </w:rPr>
            </w:pPr>
            <w:r w:rsidRPr="00962508">
              <w:rPr>
                <w:iCs w:val="0"/>
              </w:rPr>
              <w:t>150,000 students (68,780 girls) received daily mid-morning snacks.</w:t>
            </w:r>
          </w:p>
        </w:tc>
      </w:tr>
      <w:tr w:rsidR="00A16443" w:rsidRPr="00962508" w:rsidTr="009312B5">
        <w:tc>
          <w:tcPr>
            <w:tcW w:w="2235" w:type="dxa"/>
            <w:tcMar>
              <w:top w:w="57" w:type="dxa"/>
              <w:bottom w:w="57" w:type="dxa"/>
            </w:tcMar>
          </w:tcPr>
          <w:p w:rsidR="00A16443" w:rsidRPr="00962508" w:rsidRDefault="00A16443" w:rsidP="009312B5">
            <w:pPr>
              <w:pStyle w:val="TableTextEntries"/>
            </w:pPr>
          </w:p>
        </w:tc>
        <w:tc>
          <w:tcPr>
            <w:tcW w:w="4677" w:type="dxa"/>
            <w:tcBorders>
              <w:bottom w:val="nil"/>
            </w:tcBorders>
          </w:tcPr>
          <w:p w:rsidR="00A16443" w:rsidRPr="00962508" w:rsidRDefault="00A16443" w:rsidP="009312B5">
            <w:pPr>
              <w:rPr>
                <w:rFonts w:ascii="Franklin Gothic Book" w:hAnsi="Franklin Gothic Book"/>
                <w:iCs/>
                <w:sz w:val="17"/>
                <w:szCs w:val="17"/>
              </w:rPr>
            </w:pPr>
            <w:r w:rsidRPr="00962508">
              <w:rPr>
                <w:rFonts w:ascii="Franklin Gothic Book" w:hAnsi="Franklin Gothic Book"/>
                <w:bCs/>
                <w:sz w:val="17"/>
                <w:szCs w:val="17"/>
              </w:rPr>
              <w:t>Ministry of Education and Sport has implemented all agreements from the 2014 Joint Sector Review Mission and BEQUAL Steering Committee meeting/s.</w:t>
            </w:r>
          </w:p>
        </w:tc>
        <w:tc>
          <w:tcPr>
            <w:tcW w:w="1127" w:type="dxa"/>
            <w:tcBorders>
              <w:top w:val="nil"/>
              <w:bottom w:val="nil"/>
            </w:tcBorders>
            <w:shd w:val="clear" w:color="auto" w:fill="F79646" w:themeFill="accent6"/>
          </w:tcPr>
          <w:p w:rsidR="00A16443" w:rsidRPr="00DB43BB" w:rsidRDefault="00A16443" w:rsidP="009312B5">
            <w:pPr>
              <w:pStyle w:val="TableTextEntries"/>
              <w:jc w:val="center"/>
              <w:rPr>
                <w:color w:val="FFFFFF" w:themeColor="background1"/>
              </w:rPr>
            </w:pPr>
            <w:r w:rsidRPr="00DB43BB">
              <w:rPr>
                <w:color w:val="FFFFFF" w:themeColor="background1"/>
              </w:rPr>
              <w:t>Partially achieved</w:t>
            </w:r>
          </w:p>
        </w:tc>
        <w:tc>
          <w:tcPr>
            <w:tcW w:w="6875" w:type="dxa"/>
            <w:tcBorders>
              <w:bottom w:val="nil"/>
            </w:tcBorders>
          </w:tcPr>
          <w:p w:rsidR="00A16443" w:rsidRPr="00962508" w:rsidRDefault="00A16443" w:rsidP="009312B5">
            <w:pPr>
              <w:tabs>
                <w:tab w:val="num" w:pos="2052"/>
              </w:tabs>
              <w:rPr>
                <w:rFonts w:ascii="Franklin Gothic Book" w:hAnsi="Franklin Gothic Book"/>
                <w:b/>
                <w:i/>
                <w:iCs/>
                <w:sz w:val="17"/>
                <w:szCs w:val="17"/>
              </w:rPr>
            </w:pPr>
            <w:r w:rsidRPr="00962508">
              <w:rPr>
                <w:rFonts w:ascii="Franklin Gothic Book" w:hAnsi="Franklin Gothic Book"/>
                <w:iCs/>
                <w:sz w:val="17"/>
                <w:szCs w:val="17"/>
              </w:rPr>
              <w:t>All agreements from BEQUAL Steering Committee have been implemented; however the education sector has not completed any of the recommendations made in the Joint Sector Review Mission of 2014.</w:t>
            </w:r>
          </w:p>
          <w:p w:rsidR="00A16443" w:rsidRPr="00962508" w:rsidRDefault="00A16443" w:rsidP="009312B5">
            <w:pPr>
              <w:rPr>
                <w:rFonts w:ascii="Franklin Gothic Book" w:hAnsi="Franklin Gothic Book"/>
                <w:b/>
                <w:iCs/>
                <w:sz w:val="17"/>
                <w:szCs w:val="17"/>
              </w:rPr>
            </w:pPr>
          </w:p>
        </w:tc>
      </w:tr>
      <w:tr w:rsidR="00A16443" w:rsidRPr="00962508" w:rsidTr="009312B5">
        <w:trPr>
          <w:trHeight w:val="493"/>
        </w:trPr>
        <w:tc>
          <w:tcPr>
            <w:tcW w:w="2235" w:type="dxa"/>
            <w:tcBorders>
              <w:right w:val="nil"/>
            </w:tcBorders>
          </w:tcPr>
          <w:p w:rsidR="00A16443" w:rsidRPr="00962508" w:rsidRDefault="00A16443" w:rsidP="009312B5">
            <w:pPr>
              <w:pStyle w:val="TableTextEntries"/>
            </w:pPr>
          </w:p>
        </w:tc>
        <w:tc>
          <w:tcPr>
            <w:tcW w:w="4677" w:type="dxa"/>
            <w:tcBorders>
              <w:top w:val="nil"/>
              <w:left w:val="nil"/>
              <w:bottom w:val="nil"/>
              <w:right w:val="nil"/>
            </w:tcBorders>
          </w:tcPr>
          <w:p w:rsidR="00A16443" w:rsidRPr="00962508" w:rsidRDefault="00A16443" w:rsidP="009312B5">
            <w:pPr>
              <w:rPr>
                <w:rFonts w:ascii="Franklin Gothic Book" w:hAnsi="Franklin Gothic Book"/>
                <w:iCs/>
                <w:sz w:val="17"/>
                <w:szCs w:val="17"/>
                <w:u w:val="single"/>
              </w:rPr>
            </w:pPr>
          </w:p>
          <w:p w:rsidR="00A16443" w:rsidRPr="00962508" w:rsidRDefault="00A16443" w:rsidP="009312B5">
            <w:pPr>
              <w:rPr>
                <w:rFonts w:ascii="Franklin Gothic Book" w:hAnsi="Franklin Gothic Book"/>
                <w:iCs/>
                <w:sz w:val="17"/>
                <w:szCs w:val="17"/>
                <w:u w:val="single"/>
              </w:rPr>
            </w:pPr>
            <w:r w:rsidRPr="00962508">
              <w:rPr>
                <w:rFonts w:ascii="Franklin Gothic Book" w:hAnsi="Franklin Gothic Book"/>
                <w:iCs/>
                <w:sz w:val="17"/>
                <w:szCs w:val="17"/>
                <w:u w:val="single"/>
              </w:rPr>
              <w:t>EFA-FTI Program</w:t>
            </w:r>
          </w:p>
          <w:p w:rsidR="00A16443" w:rsidRPr="00962508" w:rsidRDefault="00A16443" w:rsidP="009312B5">
            <w:pPr>
              <w:rPr>
                <w:rFonts w:ascii="Franklin Gothic Book" w:hAnsi="Franklin Gothic Book"/>
                <w:color w:val="000000" w:themeColor="text1" w:themeShade="BF"/>
                <w:sz w:val="17"/>
              </w:rPr>
            </w:pPr>
            <w:r w:rsidRPr="00962508">
              <w:rPr>
                <w:rFonts w:ascii="Franklin Gothic Book" w:hAnsi="Franklin Gothic Book"/>
                <w:iCs/>
                <w:sz w:val="17"/>
                <w:szCs w:val="17"/>
              </w:rPr>
              <w:t>Independent completion report of the EFA-FTI Program is done.</w:t>
            </w:r>
          </w:p>
          <w:p w:rsidR="00A16443" w:rsidRPr="00962508" w:rsidRDefault="00A16443" w:rsidP="009312B5">
            <w:pPr>
              <w:rPr>
                <w:rFonts w:ascii="Franklin Gothic Book" w:hAnsi="Franklin Gothic Book"/>
                <w:iCs/>
                <w:sz w:val="17"/>
                <w:szCs w:val="17"/>
                <w:u w:val="single"/>
              </w:rPr>
            </w:pPr>
          </w:p>
          <w:p w:rsidR="00A16443" w:rsidRPr="00962508" w:rsidRDefault="00A16443" w:rsidP="009312B5">
            <w:pPr>
              <w:rPr>
                <w:rFonts w:ascii="Franklin Gothic Book" w:hAnsi="Franklin Gothic Book"/>
                <w:iCs/>
                <w:sz w:val="17"/>
                <w:szCs w:val="17"/>
                <w:u w:val="single"/>
              </w:rPr>
            </w:pPr>
            <w:r w:rsidRPr="00962508">
              <w:rPr>
                <w:rFonts w:ascii="Franklin Gothic Book" w:hAnsi="Franklin Gothic Book"/>
                <w:iCs/>
                <w:sz w:val="17"/>
                <w:szCs w:val="17"/>
                <w:u w:val="single"/>
              </w:rPr>
              <w:t>BEQUAL Program:</w:t>
            </w:r>
          </w:p>
          <w:p w:rsidR="00A16443" w:rsidRPr="00962508" w:rsidRDefault="00A16443" w:rsidP="009312B5">
            <w:pPr>
              <w:rPr>
                <w:rFonts w:ascii="Franklin Gothic Book" w:hAnsi="Franklin Gothic Book"/>
                <w:color w:val="000000" w:themeColor="text1" w:themeShade="BF"/>
                <w:sz w:val="17"/>
              </w:rPr>
            </w:pPr>
            <w:r w:rsidRPr="00962508">
              <w:rPr>
                <w:rFonts w:ascii="Franklin Gothic Book" w:hAnsi="Franklin Gothic Book"/>
                <w:iCs/>
                <w:sz w:val="17"/>
                <w:szCs w:val="17"/>
              </w:rPr>
              <w:t>Consultation with MOES on the preparation for BEQUAL Program is conducted</w:t>
            </w:r>
          </w:p>
          <w:p w:rsidR="00A16443" w:rsidRPr="00962508" w:rsidRDefault="00A16443" w:rsidP="009312B5">
            <w:pPr>
              <w:rPr>
                <w:rFonts w:ascii="Franklin Gothic Book" w:hAnsi="Franklin Gothic Book"/>
                <w:iCs/>
                <w:sz w:val="17"/>
                <w:szCs w:val="17"/>
              </w:rPr>
            </w:pPr>
          </w:p>
          <w:p w:rsidR="00A16443" w:rsidRPr="00962508" w:rsidRDefault="00A16443" w:rsidP="009312B5">
            <w:pPr>
              <w:rPr>
                <w:rFonts w:ascii="Franklin Gothic Book" w:hAnsi="Franklin Gothic Book"/>
                <w:iCs/>
                <w:color w:val="000000" w:themeColor="text1" w:themeShade="BF"/>
                <w:sz w:val="17"/>
                <w:szCs w:val="17"/>
              </w:rPr>
            </w:pPr>
            <w:r w:rsidRPr="00962508">
              <w:rPr>
                <w:rFonts w:ascii="Franklin Gothic Book" w:hAnsi="Franklin Gothic Book"/>
                <w:iCs/>
                <w:sz w:val="17"/>
                <w:szCs w:val="17"/>
              </w:rPr>
              <w:t>Subsidiary Arrangement with the MOES is signed</w:t>
            </w:r>
          </w:p>
          <w:p w:rsidR="00A16443" w:rsidRPr="00962508" w:rsidRDefault="00A16443" w:rsidP="009312B5">
            <w:pPr>
              <w:rPr>
                <w:rFonts w:ascii="Franklin Gothic Book" w:hAnsi="Franklin Gothic Book"/>
                <w:iCs/>
                <w:sz w:val="17"/>
                <w:szCs w:val="17"/>
              </w:rPr>
            </w:pPr>
          </w:p>
          <w:p w:rsidR="00A16443" w:rsidRPr="00962508" w:rsidRDefault="00A16443" w:rsidP="009312B5">
            <w:pPr>
              <w:spacing w:before="60"/>
              <w:rPr>
                <w:rFonts w:ascii="Franklin Gothic Book" w:hAnsi="Franklin Gothic Book"/>
                <w:iCs/>
                <w:color w:val="000000" w:themeColor="text1" w:themeShade="BF"/>
                <w:sz w:val="17"/>
                <w:szCs w:val="17"/>
              </w:rPr>
            </w:pPr>
            <w:r w:rsidRPr="00962508">
              <w:rPr>
                <w:rFonts w:ascii="Franklin Gothic Book" w:hAnsi="Franklin Gothic Book"/>
                <w:iCs/>
                <w:sz w:val="17"/>
                <w:szCs w:val="17"/>
              </w:rPr>
              <w:t>M&amp;E framework workshop with learning facility is conducted</w:t>
            </w:r>
          </w:p>
          <w:p w:rsidR="00A16443" w:rsidRPr="00962508" w:rsidRDefault="00A16443" w:rsidP="009312B5">
            <w:pPr>
              <w:rPr>
                <w:rFonts w:ascii="Franklin Gothic Book" w:hAnsi="Franklin Gothic Book"/>
                <w:iCs/>
                <w:sz w:val="17"/>
                <w:szCs w:val="17"/>
              </w:rPr>
            </w:pPr>
          </w:p>
          <w:p w:rsidR="00A16443" w:rsidRPr="00962508" w:rsidRDefault="00A16443" w:rsidP="009312B5">
            <w:pPr>
              <w:rPr>
                <w:rFonts w:ascii="Franklin Gothic Book" w:hAnsi="Franklin Gothic Book"/>
                <w:iCs/>
                <w:color w:val="000000" w:themeColor="text1" w:themeShade="BF"/>
                <w:sz w:val="17"/>
                <w:szCs w:val="17"/>
              </w:rPr>
            </w:pPr>
            <w:r w:rsidRPr="00962508">
              <w:rPr>
                <w:rFonts w:ascii="Franklin Gothic Book" w:hAnsi="Franklin Gothic Book"/>
                <w:iCs/>
                <w:sz w:val="17"/>
                <w:szCs w:val="17"/>
              </w:rPr>
              <w:t>Scope of service for Learning Facility to include education is revised and the current contract is amended</w:t>
            </w:r>
          </w:p>
          <w:p w:rsidR="00A16443" w:rsidRPr="00962508" w:rsidRDefault="00A16443" w:rsidP="009312B5">
            <w:pPr>
              <w:rPr>
                <w:rFonts w:ascii="Franklin Gothic Book" w:hAnsi="Franklin Gothic Book"/>
                <w:iCs/>
                <w:color w:val="000000" w:themeColor="text1" w:themeShade="BF"/>
                <w:sz w:val="17"/>
                <w:szCs w:val="17"/>
              </w:rPr>
            </w:pPr>
          </w:p>
          <w:p w:rsidR="00A16443" w:rsidRPr="00962508" w:rsidRDefault="00A16443" w:rsidP="009312B5">
            <w:pPr>
              <w:pStyle w:val="ListParagraph"/>
              <w:numPr>
                <w:ilvl w:val="0"/>
                <w:numId w:val="20"/>
              </w:numPr>
              <w:tabs>
                <w:tab w:val="clear" w:pos="360"/>
                <w:tab w:val="num" w:pos="138"/>
              </w:tabs>
              <w:spacing w:before="120" w:after="0"/>
              <w:ind w:left="0" w:hanging="357"/>
              <w:rPr>
                <w:rFonts w:ascii="Franklin Gothic Book" w:eastAsia="SimSun" w:hAnsi="Franklin Gothic Book"/>
                <w:iCs/>
                <w:color w:val="000000" w:themeColor="text1" w:themeShade="BF"/>
                <w:sz w:val="17"/>
                <w:szCs w:val="17"/>
              </w:rPr>
            </w:pPr>
            <w:r w:rsidRPr="00962508">
              <w:rPr>
                <w:rFonts w:ascii="Franklin Gothic Book" w:eastAsia="SimSun" w:hAnsi="Franklin Gothic Book"/>
                <w:iCs/>
                <w:sz w:val="17"/>
                <w:szCs w:val="17"/>
              </w:rPr>
              <w:t>Tender process for a managing contractor is completed and a managing contractor has commenced.</w:t>
            </w:r>
          </w:p>
          <w:p w:rsidR="00A16443" w:rsidRPr="00962508" w:rsidRDefault="00A16443" w:rsidP="009312B5">
            <w:pPr>
              <w:spacing w:before="120"/>
              <w:rPr>
                <w:rFonts w:ascii="Franklin Gothic Book" w:hAnsi="Franklin Gothic Book"/>
                <w:iCs/>
                <w:color w:val="000000" w:themeColor="text1" w:themeShade="BF"/>
                <w:sz w:val="17"/>
                <w:szCs w:val="17"/>
              </w:rPr>
            </w:pPr>
            <w:r w:rsidRPr="00962508">
              <w:rPr>
                <w:rFonts w:ascii="Franklin Gothic Book" w:hAnsi="Franklin Gothic Book"/>
                <w:iCs/>
                <w:sz w:val="17"/>
                <w:szCs w:val="17"/>
              </w:rPr>
              <w:t>Agreement in place with NGO consortium</w:t>
            </w:r>
          </w:p>
          <w:p w:rsidR="00A16443" w:rsidRDefault="00A16443" w:rsidP="009312B5">
            <w:pPr>
              <w:rPr>
                <w:rFonts w:ascii="Franklin Gothic Book" w:hAnsi="Franklin Gothic Book"/>
                <w:iCs/>
                <w:sz w:val="17"/>
                <w:szCs w:val="17"/>
              </w:rPr>
            </w:pPr>
          </w:p>
          <w:p w:rsidR="00B2766C" w:rsidRPr="00962508" w:rsidRDefault="00B2766C" w:rsidP="009312B5">
            <w:pPr>
              <w:rPr>
                <w:rFonts w:ascii="Franklin Gothic Book" w:hAnsi="Franklin Gothic Book"/>
                <w:iCs/>
                <w:sz w:val="17"/>
                <w:szCs w:val="17"/>
              </w:rPr>
            </w:pPr>
          </w:p>
          <w:p w:rsidR="00A16443" w:rsidRPr="00962508" w:rsidRDefault="00A16443" w:rsidP="009312B5">
            <w:pPr>
              <w:pStyle w:val="ListParagraph"/>
              <w:numPr>
                <w:ilvl w:val="0"/>
                <w:numId w:val="20"/>
              </w:numPr>
              <w:tabs>
                <w:tab w:val="clear" w:pos="360"/>
                <w:tab w:val="num" w:pos="138"/>
              </w:tabs>
              <w:spacing w:after="0"/>
              <w:ind w:left="0"/>
              <w:contextualSpacing/>
              <w:rPr>
                <w:rFonts w:ascii="Franklin Gothic Book" w:eastAsia="SimSun" w:hAnsi="Franklin Gothic Book"/>
                <w:iCs/>
                <w:sz w:val="17"/>
                <w:szCs w:val="17"/>
              </w:rPr>
            </w:pPr>
            <w:r w:rsidRPr="00962508">
              <w:rPr>
                <w:rFonts w:ascii="Franklin Gothic Book" w:eastAsia="SimSun" w:hAnsi="Franklin Gothic Book"/>
                <w:iCs/>
                <w:sz w:val="17"/>
                <w:szCs w:val="17"/>
              </w:rPr>
              <w:t>Inception mission for activity design under BEQUAL is undertaken</w:t>
            </w:r>
          </w:p>
          <w:p w:rsidR="00A16443" w:rsidRDefault="00A16443" w:rsidP="00A16443">
            <w:pPr>
              <w:tabs>
                <w:tab w:val="num" w:pos="138"/>
              </w:tabs>
              <w:contextualSpacing/>
              <w:rPr>
                <w:rFonts w:ascii="Franklin Gothic Book" w:hAnsi="Franklin Gothic Book"/>
                <w:iCs/>
                <w:sz w:val="17"/>
                <w:szCs w:val="17"/>
              </w:rPr>
            </w:pPr>
          </w:p>
          <w:p w:rsidR="00A16443" w:rsidRDefault="00A16443" w:rsidP="00A16443">
            <w:pPr>
              <w:tabs>
                <w:tab w:val="num" w:pos="138"/>
              </w:tabs>
              <w:contextualSpacing/>
              <w:rPr>
                <w:rFonts w:ascii="Franklin Gothic Book" w:hAnsi="Franklin Gothic Book"/>
                <w:iCs/>
                <w:sz w:val="17"/>
                <w:szCs w:val="17"/>
              </w:rPr>
            </w:pPr>
          </w:p>
          <w:p w:rsidR="001119C0" w:rsidRPr="00A16443" w:rsidRDefault="001119C0" w:rsidP="00A16443">
            <w:pPr>
              <w:tabs>
                <w:tab w:val="num" w:pos="138"/>
              </w:tabs>
              <w:contextualSpacing/>
              <w:rPr>
                <w:rFonts w:ascii="Franklin Gothic Book" w:hAnsi="Franklin Gothic Book"/>
                <w:iCs/>
                <w:sz w:val="17"/>
                <w:szCs w:val="17"/>
              </w:rPr>
            </w:pPr>
          </w:p>
          <w:p w:rsidR="00A16443" w:rsidRDefault="00A16443" w:rsidP="009312B5">
            <w:pPr>
              <w:spacing w:before="60"/>
              <w:rPr>
                <w:rFonts w:ascii="Franklin Gothic Book" w:hAnsi="Franklin Gothic Book"/>
                <w:iCs/>
                <w:sz w:val="17"/>
                <w:szCs w:val="17"/>
              </w:rPr>
            </w:pPr>
            <w:r w:rsidRPr="00962508">
              <w:rPr>
                <w:rFonts w:ascii="Franklin Gothic Book" w:hAnsi="Franklin Gothic Book"/>
                <w:iCs/>
                <w:sz w:val="17"/>
                <w:szCs w:val="17"/>
              </w:rPr>
              <w:t>Selection criteria for target schools under BEQUAL is developed</w:t>
            </w:r>
          </w:p>
          <w:p w:rsidR="00B2766C" w:rsidRPr="00DB43BB" w:rsidRDefault="00B2766C" w:rsidP="009312B5">
            <w:pPr>
              <w:spacing w:before="60"/>
              <w:rPr>
                <w:rFonts w:ascii="Franklin Gothic Book" w:hAnsi="Franklin Gothic Book"/>
                <w:iCs/>
                <w:color w:val="000000" w:themeColor="text1" w:themeShade="BF"/>
                <w:sz w:val="17"/>
                <w:szCs w:val="17"/>
              </w:rPr>
            </w:pPr>
          </w:p>
        </w:tc>
        <w:tc>
          <w:tcPr>
            <w:tcW w:w="1127" w:type="dxa"/>
            <w:tcBorders>
              <w:top w:val="nil"/>
              <w:left w:val="nil"/>
              <w:bottom w:val="nil"/>
              <w:right w:val="nil"/>
            </w:tcBorders>
            <w:shd w:val="clear" w:color="auto" w:fill="9BBB59" w:themeFill="accent3"/>
          </w:tcPr>
          <w:p w:rsidR="00A16443" w:rsidRPr="00DB43BB" w:rsidRDefault="00A16443" w:rsidP="009312B5">
            <w:pPr>
              <w:pStyle w:val="TableTextEntries"/>
              <w:spacing w:before="0" w:after="0"/>
              <w:jc w:val="center"/>
              <w:rPr>
                <w:color w:val="FFFFFF" w:themeColor="background1"/>
              </w:rPr>
            </w:pPr>
          </w:p>
          <w:p w:rsidR="00A16443" w:rsidRPr="00DB43BB" w:rsidRDefault="00A16443" w:rsidP="009312B5">
            <w:pPr>
              <w:pStyle w:val="TableTextEntries"/>
              <w:spacing w:before="0" w:after="0"/>
              <w:jc w:val="center"/>
              <w:rPr>
                <w:color w:val="FFFFFF" w:themeColor="background1"/>
              </w:rPr>
            </w:pPr>
          </w:p>
          <w:p w:rsidR="00A16443" w:rsidRPr="00DB43BB" w:rsidRDefault="00A16443" w:rsidP="009312B5">
            <w:pPr>
              <w:pStyle w:val="TableTextEntries"/>
              <w:shd w:val="clear" w:color="auto" w:fill="9BBB59" w:themeFill="accent3"/>
              <w:spacing w:before="0" w:after="0"/>
              <w:jc w:val="center"/>
              <w:rPr>
                <w:color w:val="FFFFFF" w:themeColor="background1"/>
              </w:rPr>
            </w:pPr>
            <w:r w:rsidRPr="00DB43BB">
              <w:rPr>
                <w:color w:val="FFFFFF" w:themeColor="background1"/>
              </w:rPr>
              <w:t>Achieved</w:t>
            </w:r>
          </w:p>
          <w:p w:rsidR="00A16443" w:rsidRPr="00DB43BB" w:rsidRDefault="00A16443" w:rsidP="009312B5">
            <w:pPr>
              <w:pStyle w:val="TableTextEntries"/>
              <w:shd w:val="clear" w:color="auto" w:fill="9BBB59" w:themeFill="accent3"/>
              <w:spacing w:before="0" w:after="0"/>
              <w:jc w:val="center"/>
              <w:rPr>
                <w:color w:val="FFFFFF" w:themeColor="background1"/>
              </w:rPr>
            </w:pPr>
          </w:p>
          <w:p w:rsidR="00A16443" w:rsidRPr="00DB43BB" w:rsidRDefault="00A16443" w:rsidP="009312B5">
            <w:pPr>
              <w:pStyle w:val="TableTextEntries"/>
              <w:shd w:val="clear" w:color="auto" w:fill="9BBB59" w:themeFill="accent3"/>
              <w:spacing w:before="0" w:after="0"/>
              <w:jc w:val="center"/>
              <w:rPr>
                <w:color w:val="FFFFFF" w:themeColor="background1"/>
              </w:rPr>
            </w:pPr>
          </w:p>
          <w:p w:rsidR="00A16443" w:rsidRPr="00DB43BB" w:rsidRDefault="00A16443" w:rsidP="009312B5">
            <w:pPr>
              <w:pStyle w:val="TableTextEntries"/>
              <w:shd w:val="clear" w:color="auto" w:fill="9BBB59" w:themeFill="accent3"/>
              <w:spacing w:before="180" w:after="0"/>
              <w:jc w:val="center"/>
              <w:rPr>
                <w:color w:val="FFFFFF" w:themeColor="background1"/>
              </w:rPr>
            </w:pPr>
            <w:r w:rsidRPr="00DB43BB">
              <w:rPr>
                <w:color w:val="FFFFFF" w:themeColor="background1"/>
              </w:rPr>
              <w:t>Achieved</w:t>
            </w:r>
          </w:p>
          <w:p w:rsidR="00A16443" w:rsidRPr="00DB43BB" w:rsidRDefault="00A16443" w:rsidP="009312B5">
            <w:pPr>
              <w:pStyle w:val="TableTextEntries"/>
              <w:shd w:val="clear" w:color="auto" w:fill="9BBB59" w:themeFill="accent3"/>
              <w:spacing w:before="0" w:after="0"/>
              <w:jc w:val="center"/>
              <w:rPr>
                <w:color w:val="FFFFFF" w:themeColor="background1"/>
              </w:rPr>
            </w:pPr>
          </w:p>
          <w:p w:rsidR="00A16443" w:rsidRPr="00DB43BB" w:rsidRDefault="00A16443" w:rsidP="009312B5">
            <w:pPr>
              <w:pStyle w:val="TableTextEntries"/>
              <w:shd w:val="clear" w:color="auto" w:fill="9BBB59" w:themeFill="accent3"/>
              <w:spacing w:before="120" w:after="0"/>
              <w:jc w:val="center"/>
              <w:rPr>
                <w:color w:val="FFFFFF" w:themeColor="background1"/>
              </w:rPr>
            </w:pPr>
            <w:r w:rsidRPr="00DB43BB">
              <w:rPr>
                <w:color w:val="FFFFFF" w:themeColor="background1"/>
              </w:rPr>
              <w:t>Achieved</w:t>
            </w:r>
          </w:p>
          <w:p w:rsidR="00A16443" w:rsidRPr="00DB43BB" w:rsidRDefault="00A16443" w:rsidP="009312B5">
            <w:pPr>
              <w:pStyle w:val="TableTextEntries"/>
              <w:shd w:val="clear" w:color="auto" w:fill="9BBB59" w:themeFill="accent3"/>
              <w:spacing w:before="0" w:after="0"/>
              <w:jc w:val="center"/>
              <w:rPr>
                <w:color w:val="FFFFFF" w:themeColor="background1"/>
              </w:rPr>
            </w:pPr>
          </w:p>
          <w:p w:rsidR="00A16443" w:rsidRPr="00DB43BB" w:rsidRDefault="00A16443" w:rsidP="009312B5">
            <w:pPr>
              <w:pStyle w:val="TableTextEntries"/>
              <w:shd w:val="clear" w:color="auto" w:fill="9BBB59" w:themeFill="accent3"/>
              <w:spacing w:before="0" w:after="0"/>
              <w:jc w:val="center"/>
              <w:rPr>
                <w:color w:val="FFFFFF" w:themeColor="background1"/>
              </w:rPr>
            </w:pPr>
            <w:r w:rsidRPr="00DB43BB">
              <w:rPr>
                <w:color w:val="FFFFFF" w:themeColor="background1"/>
              </w:rPr>
              <w:t>Achieved</w:t>
            </w:r>
          </w:p>
          <w:p w:rsidR="00A16443" w:rsidRPr="00DB43BB" w:rsidRDefault="00A16443" w:rsidP="009312B5">
            <w:pPr>
              <w:pStyle w:val="TableTextEntries"/>
              <w:spacing w:before="0" w:after="0"/>
              <w:jc w:val="center"/>
              <w:rPr>
                <w:color w:val="FFFFFF" w:themeColor="background1"/>
              </w:rPr>
            </w:pPr>
          </w:p>
          <w:p w:rsidR="00A16443" w:rsidRPr="00DB43BB" w:rsidRDefault="00A16443" w:rsidP="009312B5">
            <w:pPr>
              <w:pStyle w:val="TableTextEntries"/>
              <w:shd w:val="clear" w:color="auto" w:fill="9BBB59"/>
              <w:spacing w:before="0" w:after="0"/>
              <w:jc w:val="center"/>
              <w:rPr>
                <w:color w:val="FFFFFF" w:themeColor="background1"/>
              </w:rPr>
            </w:pPr>
            <w:r w:rsidRPr="00DB43BB">
              <w:rPr>
                <w:color w:val="FFFFFF" w:themeColor="background1"/>
              </w:rPr>
              <w:t>Achieved</w:t>
            </w:r>
          </w:p>
          <w:p w:rsidR="00A16443" w:rsidRPr="00DB43BB" w:rsidRDefault="00A16443" w:rsidP="009312B5">
            <w:pPr>
              <w:pStyle w:val="TableTextEntries"/>
              <w:spacing w:before="0" w:after="0"/>
              <w:jc w:val="center"/>
              <w:rPr>
                <w:color w:val="FFFFFF" w:themeColor="background1"/>
              </w:rPr>
            </w:pPr>
          </w:p>
          <w:p w:rsidR="00A16443" w:rsidRPr="00DB43BB" w:rsidRDefault="00A16443" w:rsidP="009312B5">
            <w:pPr>
              <w:pStyle w:val="TableTextEntries"/>
              <w:spacing w:before="0" w:after="0"/>
              <w:jc w:val="center"/>
              <w:rPr>
                <w:color w:val="FFFFFF" w:themeColor="background1"/>
              </w:rPr>
            </w:pPr>
          </w:p>
          <w:p w:rsidR="00A16443" w:rsidRPr="00DB43BB" w:rsidRDefault="00A16443" w:rsidP="009312B5">
            <w:pPr>
              <w:pStyle w:val="TableTextEntries"/>
              <w:jc w:val="center"/>
              <w:rPr>
                <w:color w:val="FFFFFF" w:themeColor="background1"/>
              </w:rPr>
            </w:pPr>
          </w:p>
          <w:p w:rsidR="00A16443" w:rsidRPr="00DB43BB" w:rsidRDefault="00A16443" w:rsidP="009312B5">
            <w:pPr>
              <w:pStyle w:val="TableTextEntries"/>
              <w:shd w:val="clear" w:color="auto" w:fill="9BBB59"/>
              <w:spacing w:before="0" w:after="0"/>
              <w:jc w:val="center"/>
              <w:rPr>
                <w:color w:val="FFFFFF" w:themeColor="background1"/>
              </w:rPr>
            </w:pPr>
            <w:r w:rsidRPr="00DB43BB">
              <w:rPr>
                <w:color w:val="FFFFFF" w:themeColor="background1"/>
              </w:rPr>
              <w:t>Achieved</w:t>
            </w:r>
          </w:p>
          <w:p w:rsidR="00A16443" w:rsidRPr="00DB43BB" w:rsidRDefault="00A16443" w:rsidP="009312B5">
            <w:pPr>
              <w:pStyle w:val="TableTextEntries"/>
              <w:jc w:val="center"/>
              <w:rPr>
                <w:color w:val="FFFFFF" w:themeColor="background1"/>
              </w:rPr>
            </w:pPr>
          </w:p>
          <w:p w:rsidR="00A16443" w:rsidRPr="00DB43BB" w:rsidRDefault="00A16443" w:rsidP="009312B5">
            <w:pPr>
              <w:pStyle w:val="TableTextEntries"/>
              <w:shd w:val="clear" w:color="auto" w:fill="9BBB59"/>
              <w:spacing w:before="0" w:after="0"/>
              <w:jc w:val="center"/>
              <w:rPr>
                <w:color w:val="FFFFFF" w:themeColor="background1"/>
              </w:rPr>
            </w:pPr>
            <w:r w:rsidRPr="00DB43BB">
              <w:rPr>
                <w:color w:val="FFFFFF" w:themeColor="background1"/>
              </w:rPr>
              <w:t>Achieved</w:t>
            </w:r>
          </w:p>
          <w:p w:rsidR="00A16443" w:rsidRPr="00DB43BB" w:rsidRDefault="00A16443" w:rsidP="009312B5">
            <w:pPr>
              <w:pStyle w:val="TableTextEntries"/>
              <w:shd w:val="clear" w:color="auto" w:fill="9BBB59"/>
              <w:spacing w:before="120" w:after="0"/>
              <w:jc w:val="center"/>
              <w:rPr>
                <w:color w:val="FFFFFF" w:themeColor="background1"/>
              </w:rPr>
            </w:pPr>
          </w:p>
          <w:p w:rsidR="00A16443" w:rsidRPr="00DB43BB" w:rsidRDefault="00A16443" w:rsidP="009312B5">
            <w:pPr>
              <w:pStyle w:val="TableTextEntries"/>
              <w:shd w:val="clear" w:color="auto" w:fill="9BBB59"/>
              <w:spacing w:before="0" w:after="0"/>
              <w:jc w:val="center"/>
              <w:rPr>
                <w:color w:val="FFFFFF" w:themeColor="background1"/>
              </w:rPr>
            </w:pPr>
            <w:r w:rsidRPr="00DB43BB">
              <w:rPr>
                <w:color w:val="FFFFFF" w:themeColor="background1"/>
              </w:rPr>
              <w:t>Achieved</w:t>
            </w:r>
          </w:p>
          <w:p w:rsidR="00A16443" w:rsidRDefault="00A16443" w:rsidP="009312B5">
            <w:pPr>
              <w:pStyle w:val="TableTextEntries"/>
              <w:jc w:val="center"/>
              <w:rPr>
                <w:color w:val="FFFFFF" w:themeColor="background1"/>
              </w:rPr>
            </w:pPr>
          </w:p>
          <w:p w:rsidR="00A16443" w:rsidRDefault="00A16443" w:rsidP="009312B5">
            <w:pPr>
              <w:pStyle w:val="TableTextEntries"/>
              <w:jc w:val="center"/>
              <w:rPr>
                <w:color w:val="FFFFFF" w:themeColor="background1"/>
              </w:rPr>
            </w:pPr>
          </w:p>
          <w:p w:rsidR="001119C0" w:rsidRDefault="001119C0" w:rsidP="009312B5">
            <w:pPr>
              <w:pStyle w:val="TableTextEntries"/>
              <w:jc w:val="center"/>
              <w:rPr>
                <w:color w:val="FFFFFF" w:themeColor="background1"/>
              </w:rPr>
            </w:pPr>
          </w:p>
          <w:p w:rsidR="00A16443" w:rsidRPr="00DB43BB" w:rsidRDefault="00A16443" w:rsidP="009312B5">
            <w:pPr>
              <w:pStyle w:val="TableTextEntries"/>
              <w:shd w:val="clear" w:color="auto" w:fill="9BBB59"/>
              <w:spacing w:before="0" w:after="0"/>
              <w:jc w:val="center"/>
              <w:rPr>
                <w:color w:val="FFFFFF" w:themeColor="background1"/>
              </w:rPr>
            </w:pPr>
            <w:r w:rsidRPr="00DB43BB">
              <w:rPr>
                <w:color w:val="FFFFFF" w:themeColor="background1"/>
              </w:rPr>
              <w:t>Achieved</w:t>
            </w:r>
          </w:p>
          <w:p w:rsidR="00A16443" w:rsidRPr="00DB43BB" w:rsidRDefault="00A16443" w:rsidP="009312B5">
            <w:pPr>
              <w:pStyle w:val="TableTextEntries"/>
              <w:jc w:val="center"/>
            </w:pPr>
          </w:p>
        </w:tc>
        <w:tc>
          <w:tcPr>
            <w:tcW w:w="6875" w:type="dxa"/>
            <w:tcBorders>
              <w:top w:val="nil"/>
              <w:left w:val="nil"/>
              <w:bottom w:val="nil"/>
              <w:right w:val="nil"/>
            </w:tcBorders>
          </w:tcPr>
          <w:p w:rsidR="00A16443" w:rsidRPr="00962508" w:rsidRDefault="00A16443" w:rsidP="009312B5">
            <w:pPr>
              <w:tabs>
                <w:tab w:val="num" w:pos="2052"/>
              </w:tabs>
              <w:rPr>
                <w:rFonts w:ascii="Franklin Gothic Book" w:hAnsi="Franklin Gothic Book"/>
                <w:b/>
                <w:iCs/>
                <w:sz w:val="17"/>
                <w:szCs w:val="17"/>
              </w:rPr>
            </w:pPr>
            <w:r w:rsidRPr="00962508">
              <w:rPr>
                <w:rFonts w:ascii="Franklin Gothic Book" w:hAnsi="Franklin Gothic Book"/>
                <w:b/>
                <w:iCs/>
                <w:sz w:val="17"/>
                <w:szCs w:val="17"/>
              </w:rPr>
              <w:lastRenderedPageBreak/>
              <w:t>Other Milestones</w:t>
            </w:r>
          </w:p>
          <w:p w:rsidR="00A16443" w:rsidRPr="00962508" w:rsidRDefault="00A16443" w:rsidP="009312B5">
            <w:pPr>
              <w:tabs>
                <w:tab w:val="num" w:pos="2052"/>
              </w:tabs>
              <w:rPr>
                <w:rFonts w:ascii="Franklin Gothic Book" w:hAnsi="Franklin Gothic Book"/>
                <w:iCs/>
                <w:sz w:val="17"/>
                <w:szCs w:val="17"/>
              </w:rPr>
            </w:pPr>
          </w:p>
          <w:p w:rsidR="00A16443" w:rsidRPr="00962508" w:rsidRDefault="00A16443" w:rsidP="009312B5">
            <w:pPr>
              <w:rPr>
                <w:rFonts w:ascii="Franklin Gothic Book" w:hAnsi="Franklin Gothic Book"/>
                <w:iCs/>
                <w:sz w:val="17"/>
                <w:szCs w:val="17"/>
              </w:rPr>
            </w:pPr>
            <w:r w:rsidRPr="00962508">
              <w:rPr>
                <w:rFonts w:ascii="Franklin Gothic Book" w:hAnsi="Franklin Gothic Book"/>
                <w:iCs/>
                <w:sz w:val="17"/>
                <w:szCs w:val="17"/>
              </w:rPr>
              <w:t>An independent evaluation of the Education For All – Fast Track Initiative was commissioned on the quality components of the program</w:t>
            </w:r>
            <w:r w:rsidR="00A615A5">
              <w:rPr>
                <w:rFonts w:ascii="Franklin Gothic Book" w:hAnsi="Franklin Gothic Book"/>
                <w:iCs/>
                <w:sz w:val="17"/>
                <w:szCs w:val="17"/>
              </w:rPr>
              <w:t>,</w:t>
            </w:r>
            <w:r w:rsidRPr="00962508">
              <w:rPr>
                <w:rFonts w:ascii="Franklin Gothic Book" w:hAnsi="Franklin Gothic Book"/>
                <w:iCs/>
                <w:sz w:val="17"/>
                <w:szCs w:val="17"/>
              </w:rPr>
              <w:t xml:space="preserve"> which provided lessons learnt for BEQUAL.</w:t>
            </w:r>
          </w:p>
          <w:p w:rsidR="00A16443" w:rsidRPr="00962508" w:rsidRDefault="00A16443" w:rsidP="009312B5">
            <w:pPr>
              <w:rPr>
                <w:rFonts w:ascii="Franklin Gothic Book" w:hAnsi="Franklin Gothic Book"/>
                <w:iCs/>
                <w:sz w:val="17"/>
                <w:szCs w:val="17"/>
              </w:rPr>
            </w:pPr>
          </w:p>
          <w:p w:rsidR="00A16443" w:rsidRPr="00962508" w:rsidRDefault="00A16443" w:rsidP="009312B5">
            <w:pPr>
              <w:rPr>
                <w:rFonts w:ascii="Franklin Gothic Book" w:hAnsi="Franklin Gothic Book"/>
                <w:iCs/>
                <w:sz w:val="17"/>
                <w:szCs w:val="17"/>
              </w:rPr>
            </w:pPr>
          </w:p>
          <w:p w:rsidR="00A16443" w:rsidRPr="00962508" w:rsidRDefault="00A16443" w:rsidP="009312B5">
            <w:pPr>
              <w:rPr>
                <w:rFonts w:ascii="Franklin Gothic Book" w:hAnsi="Franklin Gothic Book"/>
                <w:iCs/>
                <w:sz w:val="17"/>
                <w:szCs w:val="17"/>
              </w:rPr>
            </w:pPr>
            <w:r w:rsidRPr="00962508">
              <w:rPr>
                <w:rFonts w:ascii="Franklin Gothic Book" w:hAnsi="Franklin Gothic Book"/>
                <w:iCs/>
                <w:sz w:val="17"/>
                <w:szCs w:val="17"/>
              </w:rPr>
              <w:t>Consultation with MOES on the preparation for BEQUAL Program was conducted.</w:t>
            </w:r>
          </w:p>
          <w:p w:rsidR="00A16443" w:rsidRPr="00962508" w:rsidRDefault="00A16443" w:rsidP="009312B5">
            <w:pPr>
              <w:rPr>
                <w:rFonts w:ascii="Franklin Gothic Book" w:hAnsi="Franklin Gothic Book"/>
                <w:iCs/>
                <w:sz w:val="17"/>
                <w:szCs w:val="17"/>
              </w:rPr>
            </w:pPr>
          </w:p>
          <w:p w:rsidR="00A16443" w:rsidRPr="00962508" w:rsidRDefault="00A16443" w:rsidP="009312B5">
            <w:pPr>
              <w:rPr>
                <w:rFonts w:ascii="Franklin Gothic Book" w:hAnsi="Franklin Gothic Book"/>
                <w:iCs/>
                <w:sz w:val="17"/>
                <w:szCs w:val="17"/>
              </w:rPr>
            </w:pPr>
          </w:p>
          <w:p w:rsidR="00A16443" w:rsidRPr="00962508" w:rsidRDefault="00A16443" w:rsidP="009312B5">
            <w:pPr>
              <w:rPr>
                <w:rFonts w:ascii="Franklin Gothic Book" w:hAnsi="Franklin Gothic Book"/>
                <w:iCs/>
                <w:sz w:val="17"/>
                <w:szCs w:val="17"/>
              </w:rPr>
            </w:pPr>
            <w:r w:rsidRPr="00962508">
              <w:rPr>
                <w:rFonts w:ascii="Franklin Gothic Book" w:hAnsi="Franklin Gothic Book"/>
                <w:iCs/>
                <w:sz w:val="17"/>
                <w:szCs w:val="17"/>
              </w:rPr>
              <w:t>The Subsidiary Arrangement for BEQUAL was signed on 26 January</w:t>
            </w:r>
            <w:r w:rsidR="00A615A5">
              <w:rPr>
                <w:rFonts w:ascii="Franklin Gothic Book" w:hAnsi="Franklin Gothic Book"/>
                <w:iCs/>
                <w:sz w:val="17"/>
                <w:szCs w:val="17"/>
              </w:rPr>
              <w:t xml:space="preserve"> 2015</w:t>
            </w:r>
            <w:r w:rsidRPr="00962508">
              <w:rPr>
                <w:rFonts w:ascii="Franklin Gothic Book" w:hAnsi="Franklin Gothic Book"/>
                <w:iCs/>
                <w:sz w:val="17"/>
                <w:szCs w:val="17"/>
              </w:rPr>
              <w:t>.</w:t>
            </w:r>
          </w:p>
          <w:p w:rsidR="00A16443" w:rsidRPr="00962508" w:rsidRDefault="00A16443" w:rsidP="009312B5">
            <w:pPr>
              <w:rPr>
                <w:rFonts w:ascii="Franklin Gothic Book" w:hAnsi="Franklin Gothic Book"/>
                <w:iCs/>
                <w:sz w:val="17"/>
                <w:szCs w:val="17"/>
              </w:rPr>
            </w:pPr>
          </w:p>
          <w:p w:rsidR="00A16443" w:rsidRPr="00962508" w:rsidRDefault="00A16443" w:rsidP="009312B5">
            <w:pPr>
              <w:rPr>
                <w:rFonts w:ascii="Franklin Gothic Book" w:hAnsi="Franklin Gothic Book"/>
                <w:iCs/>
                <w:sz w:val="17"/>
                <w:szCs w:val="17"/>
              </w:rPr>
            </w:pPr>
            <w:r w:rsidRPr="00962508">
              <w:rPr>
                <w:rFonts w:ascii="Franklin Gothic Book" w:hAnsi="Franklin Gothic Book"/>
                <w:iCs/>
                <w:sz w:val="17"/>
                <w:szCs w:val="17"/>
              </w:rPr>
              <w:t>An M&amp;E capacity assessment was conducted to inform BEQUAL implementation.</w:t>
            </w:r>
          </w:p>
          <w:p w:rsidR="00A16443" w:rsidRPr="00962508" w:rsidRDefault="00A16443" w:rsidP="009312B5">
            <w:pPr>
              <w:rPr>
                <w:rFonts w:ascii="Franklin Gothic Book" w:hAnsi="Franklin Gothic Book"/>
                <w:iCs/>
                <w:sz w:val="17"/>
                <w:szCs w:val="17"/>
              </w:rPr>
            </w:pPr>
          </w:p>
          <w:p w:rsidR="00A16443" w:rsidRPr="00962508" w:rsidRDefault="00A16443" w:rsidP="009312B5">
            <w:pPr>
              <w:rPr>
                <w:rFonts w:ascii="Franklin Gothic Book" w:hAnsi="Franklin Gothic Book"/>
                <w:iCs/>
                <w:sz w:val="17"/>
                <w:szCs w:val="17"/>
              </w:rPr>
            </w:pPr>
            <w:r w:rsidRPr="00962508">
              <w:rPr>
                <w:rFonts w:ascii="Franklin Gothic Book" w:hAnsi="Franklin Gothic Book"/>
                <w:iCs/>
                <w:sz w:val="17"/>
                <w:szCs w:val="17"/>
              </w:rPr>
              <w:t>The scope of service for the Learning Facility has been revised to include education</w:t>
            </w:r>
            <w:r w:rsidR="00A615A5">
              <w:rPr>
                <w:rFonts w:ascii="Franklin Gothic Book" w:hAnsi="Franklin Gothic Book"/>
                <w:iCs/>
                <w:sz w:val="17"/>
                <w:szCs w:val="17"/>
              </w:rPr>
              <w:t>,</w:t>
            </w:r>
            <w:r w:rsidRPr="00962508">
              <w:rPr>
                <w:rFonts w:ascii="Franklin Gothic Book" w:hAnsi="Franklin Gothic Book"/>
                <w:iCs/>
                <w:sz w:val="17"/>
                <w:szCs w:val="17"/>
              </w:rPr>
              <w:t xml:space="preserve"> and the contract has been amended.</w:t>
            </w:r>
          </w:p>
          <w:p w:rsidR="00B2766C" w:rsidRDefault="00B2766C" w:rsidP="009312B5">
            <w:pPr>
              <w:spacing w:before="120"/>
              <w:rPr>
                <w:rFonts w:ascii="Franklin Gothic Book" w:hAnsi="Franklin Gothic Book"/>
                <w:iCs/>
                <w:sz w:val="17"/>
                <w:szCs w:val="17"/>
              </w:rPr>
            </w:pPr>
          </w:p>
          <w:p w:rsidR="00A16443" w:rsidRPr="00962508" w:rsidRDefault="00A16443" w:rsidP="009312B5">
            <w:pPr>
              <w:spacing w:before="120"/>
              <w:rPr>
                <w:rFonts w:ascii="Franklin Gothic Book" w:hAnsi="Franklin Gothic Book"/>
                <w:iCs/>
                <w:sz w:val="17"/>
                <w:szCs w:val="17"/>
              </w:rPr>
            </w:pPr>
            <w:r w:rsidRPr="00962508">
              <w:rPr>
                <w:rFonts w:ascii="Franklin Gothic Book" w:hAnsi="Franklin Gothic Book"/>
                <w:iCs/>
                <w:sz w:val="17"/>
                <w:szCs w:val="17"/>
              </w:rPr>
              <w:t>After an initial delay in activating the BEQUAL contract, the managing contractor has now commenced.</w:t>
            </w:r>
          </w:p>
          <w:p w:rsidR="00A16443" w:rsidRPr="00962508" w:rsidRDefault="00A615A5" w:rsidP="009312B5">
            <w:pPr>
              <w:spacing w:before="120"/>
              <w:rPr>
                <w:rFonts w:ascii="Franklin Gothic Book" w:hAnsi="Franklin Gothic Book"/>
                <w:iCs/>
                <w:sz w:val="17"/>
                <w:szCs w:val="17"/>
              </w:rPr>
            </w:pPr>
            <w:r>
              <w:rPr>
                <w:rFonts w:ascii="Franklin Gothic Book" w:hAnsi="Franklin Gothic Book"/>
                <w:iCs/>
                <w:sz w:val="17"/>
                <w:szCs w:val="17"/>
              </w:rPr>
              <w:t>The NGO consortium has been selected and a</w:t>
            </w:r>
            <w:r w:rsidR="00A16443" w:rsidRPr="00962508">
              <w:rPr>
                <w:rFonts w:ascii="Franklin Gothic Book" w:hAnsi="Franklin Gothic Book"/>
                <w:iCs/>
                <w:sz w:val="17"/>
                <w:szCs w:val="17"/>
              </w:rPr>
              <w:t xml:space="preserve">n agreement with Plan International </w:t>
            </w:r>
            <w:r>
              <w:rPr>
                <w:rFonts w:ascii="Franklin Gothic Book" w:hAnsi="Franklin Gothic Book"/>
                <w:iCs/>
                <w:sz w:val="17"/>
                <w:szCs w:val="17"/>
              </w:rPr>
              <w:t xml:space="preserve">for the inception phase is </w:t>
            </w:r>
            <w:r w:rsidR="00A16443" w:rsidRPr="00962508">
              <w:rPr>
                <w:rFonts w:ascii="Franklin Gothic Book" w:hAnsi="Franklin Gothic Book"/>
                <w:iCs/>
                <w:sz w:val="17"/>
                <w:szCs w:val="17"/>
              </w:rPr>
              <w:t xml:space="preserve">in place. </w:t>
            </w:r>
          </w:p>
          <w:p w:rsidR="00A16443" w:rsidRDefault="00A16443" w:rsidP="009312B5">
            <w:pPr>
              <w:spacing w:before="120"/>
              <w:rPr>
                <w:rFonts w:ascii="Franklin Gothic Book" w:hAnsi="Franklin Gothic Book"/>
                <w:iCs/>
                <w:sz w:val="17"/>
                <w:szCs w:val="17"/>
              </w:rPr>
            </w:pPr>
            <w:r w:rsidRPr="00962508">
              <w:rPr>
                <w:rFonts w:ascii="Franklin Gothic Book" w:hAnsi="Franklin Gothic Book"/>
                <w:iCs/>
                <w:sz w:val="17"/>
                <w:szCs w:val="17"/>
              </w:rPr>
              <w:t>Inception workshops conducted.</w:t>
            </w:r>
          </w:p>
          <w:p w:rsidR="00A16443" w:rsidRDefault="00A16443" w:rsidP="009312B5">
            <w:pPr>
              <w:spacing w:before="120"/>
              <w:rPr>
                <w:rFonts w:ascii="Franklin Gothic Book" w:hAnsi="Franklin Gothic Book"/>
                <w:iCs/>
                <w:sz w:val="17"/>
                <w:szCs w:val="17"/>
              </w:rPr>
            </w:pPr>
          </w:p>
          <w:p w:rsidR="001119C0" w:rsidRDefault="001119C0" w:rsidP="009312B5">
            <w:pPr>
              <w:spacing w:before="120"/>
              <w:rPr>
                <w:rFonts w:ascii="Franklin Gothic Book" w:hAnsi="Franklin Gothic Book"/>
                <w:iCs/>
                <w:sz w:val="17"/>
                <w:szCs w:val="17"/>
              </w:rPr>
            </w:pPr>
          </w:p>
          <w:p w:rsidR="0067799A" w:rsidRDefault="0067799A" w:rsidP="0067799A">
            <w:pPr>
              <w:spacing w:before="60"/>
              <w:rPr>
                <w:rFonts w:ascii="Franklin Gothic Book" w:hAnsi="Franklin Gothic Book"/>
                <w:iCs/>
                <w:sz w:val="17"/>
                <w:szCs w:val="17"/>
              </w:rPr>
            </w:pPr>
          </w:p>
          <w:p w:rsidR="00A16443" w:rsidRPr="00962508" w:rsidRDefault="00A16443" w:rsidP="0067799A">
            <w:pPr>
              <w:spacing w:before="60"/>
              <w:rPr>
                <w:rFonts w:ascii="Franklin Gothic Book" w:hAnsi="Franklin Gothic Book"/>
                <w:iCs/>
                <w:sz w:val="17"/>
                <w:szCs w:val="17"/>
              </w:rPr>
            </w:pPr>
            <w:r w:rsidRPr="00962508">
              <w:rPr>
                <w:rFonts w:ascii="Franklin Gothic Book" w:hAnsi="Franklin Gothic Book"/>
                <w:iCs/>
                <w:sz w:val="17"/>
                <w:szCs w:val="17"/>
              </w:rPr>
              <w:t xml:space="preserve">Selection criteria for target schools under BEQUAL </w:t>
            </w:r>
            <w:r>
              <w:rPr>
                <w:rFonts w:ascii="Franklin Gothic Book" w:hAnsi="Franklin Gothic Book"/>
                <w:iCs/>
                <w:sz w:val="17"/>
                <w:szCs w:val="17"/>
              </w:rPr>
              <w:t>have</w:t>
            </w:r>
            <w:r w:rsidRPr="00962508">
              <w:rPr>
                <w:rFonts w:ascii="Franklin Gothic Book" w:hAnsi="Franklin Gothic Book"/>
                <w:iCs/>
                <w:sz w:val="17"/>
                <w:szCs w:val="17"/>
              </w:rPr>
              <w:t xml:space="preserve"> been developed.</w:t>
            </w:r>
          </w:p>
        </w:tc>
      </w:tr>
      <w:tr w:rsidR="00A16443" w:rsidRPr="00962508" w:rsidTr="009312B5">
        <w:trPr>
          <w:trHeight w:val="762"/>
        </w:trPr>
        <w:tc>
          <w:tcPr>
            <w:tcW w:w="2235" w:type="dxa"/>
            <w:tcBorders>
              <w:right w:val="nil"/>
            </w:tcBorders>
          </w:tcPr>
          <w:p w:rsidR="00A16443" w:rsidRPr="00962508" w:rsidRDefault="00A16443" w:rsidP="009312B5">
            <w:pPr>
              <w:pStyle w:val="TableTextEntries"/>
            </w:pPr>
          </w:p>
        </w:tc>
        <w:tc>
          <w:tcPr>
            <w:tcW w:w="4677" w:type="dxa"/>
            <w:tcBorders>
              <w:top w:val="nil"/>
              <w:left w:val="nil"/>
              <w:bottom w:val="nil"/>
              <w:right w:val="nil"/>
            </w:tcBorders>
          </w:tcPr>
          <w:p w:rsidR="00A16443" w:rsidRPr="00962508" w:rsidRDefault="00A16443" w:rsidP="009312B5">
            <w:pPr>
              <w:rPr>
                <w:rFonts w:ascii="Franklin Gothic Book" w:hAnsi="Franklin Gothic Book"/>
                <w:iCs/>
                <w:color w:val="000000" w:themeColor="text1" w:themeShade="BF"/>
                <w:sz w:val="17"/>
                <w:szCs w:val="17"/>
              </w:rPr>
            </w:pPr>
            <w:r w:rsidRPr="00962508">
              <w:rPr>
                <w:rFonts w:ascii="Franklin Gothic Book" w:hAnsi="Franklin Gothic Book"/>
                <w:iCs/>
                <w:sz w:val="17"/>
                <w:szCs w:val="17"/>
              </w:rPr>
              <w:t>Baseline methodology for collecting data on attendance, dropout rates, existing resources and for learning assessment results is developed by Learning Facility and baseline surveys have commenced.</w:t>
            </w:r>
          </w:p>
          <w:p w:rsidR="00A16443" w:rsidRPr="00962508" w:rsidRDefault="00A16443" w:rsidP="009312B5">
            <w:pPr>
              <w:rPr>
                <w:rFonts w:ascii="Franklin Gothic Book" w:hAnsi="Franklin Gothic Book"/>
                <w:iCs/>
                <w:sz w:val="17"/>
                <w:szCs w:val="17"/>
                <w:u w:val="single"/>
              </w:rPr>
            </w:pPr>
          </w:p>
        </w:tc>
        <w:tc>
          <w:tcPr>
            <w:tcW w:w="1127" w:type="dxa"/>
            <w:tcBorders>
              <w:top w:val="nil"/>
              <w:left w:val="nil"/>
              <w:bottom w:val="nil"/>
              <w:right w:val="nil"/>
            </w:tcBorders>
            <w:shd w:val="clear" w:color="auto" w:fill="FF0000"/>
          </w:tcPr>
          <w:p w:rsidR="00A16443" w:rsidRPr="00DB43BB" w:rsidRDefault="00A16443" w:rsidP="009312B5">
            <w:pPr>
              <w:pStyle w:val="TableTextEntries"/>
              <w:shd w:val="clear" w:color="auto" w:fill="FF0000"/>
              <w:spacing w:before="0" w:after="0"/>
              <w:jc w:val="center"/>
              <w:rPr>
                <w:color w:val="FFFFFF" w:themeColor="background1"/>
              </w:rPr>
            </w:pPr>
            <w:r w:rsidRPr="00DB43BB">
              <w:rPr>
                <w:color w:val="FFFFFF" w:themeColor="background1"/>
              </w:rPr>
              <w:t>Not achieved</w:t>
            </w:r>
          </w:p>
          <w:p w:rsidR="00A16443" w:rsidRPr="00DB43BB" w:rsidRDefault="00A16443" w:rsidP="009312B5">
            <w:pPr>
              <w:pStyle w:val="TableTextEntries"/>
              <w:spacing w:before="0" w:after="0"/>
              <w:jc w:val="center"/>
              <w:rPr>
                <w:color w:val="FFFFFF" w:themeColor="background1"/>
              </w:rPr>
            </w:pPr>
          </w:p>
        </w:tc>
        <w:tc>
          <w:tcPr>
            <w:tcW w:w="6875" w:type="dxa"/>
            <w:tcBorders>
              <w:top w:val="nil"/>
              <w:left w:val="nil"/>
              <w:bottom w:val="nil"/>
              <w:right w:val="nil"/>
            </w:tcBorders>
          </w:tcPr>
          <w:p w:rsidR="00A16443" w:rsidRPr="00962508" w:rsidRDefault="00A16443" w:rsidP="009312B5">
            <w:pPr>
              <w:tabs>
                <w:tab w:val="num" w:pos="2052"/>
              </w:tabs>
              <w:rPr>
                <w:rFonts w:ascii="Franklin Gothic Book" w:hAnsi="Franklin Gothic Book"/>
                <w:iCs/>
                <w:sz w:val="17"/>
                <w:szCs w:val="17"/>
              </w:rPr>
            </w:pPr>
            <w:r w:rsidRPr="00962508">
              <w:rPr>
                <w:rFonts w:ascii="Franklin Gothic Book" w:hAnsi="Franklin Gothic Book"/>
                <w:iCs/>
                <w:sz w:val="17"/>
                <w:szCs w:val="17"/>
              </w:rPr>
              <w:t xml:space="preserve">Not yet started. The scope of the Learning Facility has been reduced as a result of budget </w:t>
            </w:r>
            <w:r>
              <w:rPr>
                <w:rFonts w:ascii="Franklin Gothic Book" w:hAnsi="Franklin Gothic Book"/>
                <w:iCs/>
                <w:sz w:val="17"/>
                <w:szCs w:val="17"/>
              </w:rPr>
              <w:t>reductions</w:t>
            </w:r>
            <w:r w:rsidRPr="00962508">
              <w:rPr>
                <w:rFonts w:ascii="Franklin Gothic Book" w:hAnsi="Franklin Gothic Book"/>
                <w:iCs/>
                <w:sz w:val="17"/>
                <w:szCs w:val="17"/>
              </w:rPr>
              <w:t>. This work will now be undertaken through the BEQUAL Program</w:t>
            </w:r>
          </w:p>
        </w:tc>
      </w:tr>
      <w:tr w:rsidR="00A16443" w:rsidRPr="00962508" w:rsidTr="009312B5">
        <w:trPr>
          <w:trHeight w:val="605"/>
        </w:trPr>
        <w:tc>
          <w:tcPr>
            <w:tcW w:w="2235" w:type="dxa"/>
            <w:tcBorders>
              <w:right w:val="nil"/>
            </w:tcBorders>
          </w:tcPr>
          <w:p w:rsidR="00A16443" w:rsidRPr="00962508" w:rsidRDefault="00A16443" w:rsidP="009312B5">
            <w:pPr>
              <w:pStyle w:val="TableTextEntries"/>
            </w:pPr>
          </w:p>
        </w:tc>
        <w:tc>
          <w:tcPr>
            <w:tcW w:w="4677" w:type="dxa"/>
            <w:tcBorders>
              <w:top w:val="nil"/>
              <w:left w:val="nil"/>
              <w:bottom w:val="nil"/>
              <w:right w:val="nil"/>
            </w:tcBorders>
          </w:tcPr>
          <w:p w:rsidR="00A16443" w:rsidRPr="00962508" w:rsidRDefault="00A16443" w:rsidP="009312B5">
            <w:pPr>
              <w:rPr>
                <w:rFonts w:ascii="Franklin Gothic Book" w:hAnsi="Franklin Gothic Book"/>
                <w:iCs/>
                <w:sz w:val="17"/>
                <w:szCs w:val="17"/>
                <w:u w:val="single"/>
              </w:rPr>
            </w:pPr>
            <w:r w:rsidRPr="00962508">
              <w:rPr>
                <w:rFonts w:ascii="Franklin Gothic Book" w:hAnsi="Franklin Gothic Book"/>
                <w:iCs/>
                <w:sz w:val="17"/>
                <w:szCs w:val="17"/>
                <w:u w:val="single"/>
              </w:rPr>
              <w:t xml:space="preserve">GPE II: </w:t>
            </w:r>
          </w:p>
          <w:p w:rsidR="00A16443" w:rsidRPr="00962508" w:rsidRDefault="00A16443" w:rsidP="009312B5">
            <w:pPr>
              <w:rPr>
                <w:rFonts w:ascii="Franklin Gothic Book" w:hAnsi="Franklin Gothic Book"/>
                <w:iCs/>
                <w:sz w:val="17"/>
                <w:szCs w:val="17"/>
              </w:rPr>
            </w:pPr>
            <w:r w:rsidRPr="00962508">
              <w:rPr>
                <w:rFonts w:ascii="Franklin Gothic Book" w:hAnsi="Franklin Gothic Book"/>
                <w:iCs/>
                <w:sz w:val="17"/>
                <w:szCs w:val="17"/>
              </w:rPr>
              <w:t>Proposal for GPE II funding is approved</w:t>
            </w:r>
          </w:p>
          <w:p w:rsidR="00A16443" w:rsidRPr="00962508" w:rsidRDefault="00A16443" w:rsidP="009312B5">
            <w:pPr>
              <w:rPr>
                <w:rFonts w:ascii="Franklin Gothic Book" w:hAnsi="Franklin Gothic Book"/>
                <w:iCs/>
                <w:sz w:val="17"/>
                <w:szCs w:val="17"/>
                <w:u w:val="single"/>
              </w:rPr>
            </w:pPr>
          </w:p>
        </w:tc>
        <w:tc>
          <w:tcPr>
            <w:tcW w:w="1127" w:type="dxa"/>
            <w:tcBorders>
              <w:top w:val="nil"/>
              <w:left w:val="nil"/>
              <w:bottom w:val="nil"/>
              <w:right w:val="nil"/>
            </w:tcBorders>
            <w:shd w:val="clear" w:color="auto" w:fill="9BBB59" w:themeFill="accent3"/>
          </w:tcPr>
          <w:p w:rsidR="00A16443" w:rsidRPr="00DB43BB" w:rsidRDefault="00A16443" w:rsidP="009312B5">
            <w:pPr>
              <w:pStyle w:val="TableTextEntries"/>
              <w:spacing w:before="0" w:after="0"/>
              <w:jc w:val="center"/>
              <w:rPr>
                <w:color w:val="FFFFFF" w:themeColor="background1"/>
              </w:rPr>
            </w:pPr>
            <w:r w:rsidRPr="00DB43BB">
              <w:rPr>
                <w:color w:val="FFFFFF" w:themeColor="background1"/>
              </w:rPr>
              <w:t>Achieved</w:t>
            </w:r>
          </w:p>
        </w:tc>
        <w:tc>
          <w:tcPr>
            <w:tcW w:w="6875" w:type="dxa"/>
            <w:tcBorders>
              <w:top w:val="nil"/>
              <w:left w:val="nil"/>
              <w:bottom w:val="nil"/>
              <w:right w:val="nil"/>
            </w:tcBorders>
          </w:tcPr>
          <w:p w:rsidR="00A16443" w:rsidRPr="00962508" w:rsidRDefault="00A16443" w:rsidP="009312B5">
            <w:pPr>
              <w:tabs>
                <w:tab w:val="num" w:pos="2052"/>
              </w:tabs>
              <w:rPr>
                <w:rFonts w:ascii="Franklin Gothic Book" w:hAnsi="Franklin Gothic Book"/>
                <w:b/>
                <w:iCs/>
                <w:sz w:val="17"/>
                <w:szCs w:val="17"/>
              </w:rPr>
            </w:pPr>
            <w:r w:rsidRPr="00962508">
              <w:rPr>
                <w:rFonts w:ascii="Franklin Gothic Book" w:hAnsi="Franklin Gothic Book"/>
                <w:iCs/>
                <w:sz w:val="17"/>
                <w:szCs w:val="17"/>
              </w:rPr>
              <w:t>The Global Partnerships for Education Phase II program was approved and has commenced, with the support of Australia as a coordinating agency.</w:t>
            </w:r>
          </w:p>
        </w:tc>
      </w:tr>
      <w:tr w:rsidR="00A16443" w:rsidRPr="00962508" w:rsidTr="009312B5">
        <w:tc>
          <w:tcPr>
            <w:tcW w:w="2235" w:type="dxa"/>
            <w:vMerge w:val="restart"/>
            <w:tcBorders>
              <w:right w:val="nil"/>
            </w:tcBorders>
            <w:tcMar>
              <w:top w:w="57" w:type="dxa"/>
              <w:bottom w:w="57" w:type="dxa"/>
            </w:tcMar>
          </w:tcPr>
          <w:p w:rsidR="00A16443" w:rsidRPr="00962508" w:rsidRDefault="00A16443" w:rsidP="009312B5">
            <w:pPr>
              <w:pStyle w:val="TableTextEntries"/>
            </w:pPr>
            <w:r w:rsidRPr="00962508">
              <w:t>Policy and institutional impediments to trade and investment addressed in sectors that have high potential to contribute to inclusive growth</w:t>
            </w:r>
          </w:p>
        </w:tc>
        <w:tc>
          <w:tcPr>
            <w:tcW w:w="4677" w:type="dxa"/>
            <w:tcBorders>
              <w:top w:val="nil"/>
              <w:left w:val="nil"/>
              <w:bottom w:val="nil"/>
              <w:right w:val="nil"/>
            </w:tcBorders>
          </w:tcPr>
          <w:p w:rsidR="00A16443" w:rsidRPr="00962508" w:rsidRDefault="00A16443" w:rsidP="009312B5">
            <w:pPr>
              <w:pStyle w:val="TableTextEntries"/>
              <w:spacing w:before="0"/>
              <w:rPr>
                <w:color w:val="000000" w:themeColor="text1" w:themeShade="BF"/>
              </w:rPr>
            </w:pPr>
            <w:r w:rsidRPr="00962508">
              <w:t>50 (cumulative number) businesses approvals under the Business Assistance Facility to improve their trade growth strategies</w:t>
            </w:r>
          </w:p>
        </w:tc>
        <w:tc>
          <w:tcPr>
            <w:tcW w:w="1127" w:type="dxa"/>
            <w:tcBorders>
              <w:top w:val="nil"/>
              <w:left w:val="nil"/>
              <w:bottom w:val="nil"/>
              <w:right w:val="nil"/>
            </w:tcBorders>
            <w:shd w:val="clear" w:color="auto" w:fill="9BBB59" w:themeFill="accent3"/>
          </w:tcPr>
          <w:p w:rsidR="00A16443" w:rsidRPr="00DB43BB" w:rsidRDefault="00A16443" w:rsidP="009312B5">
            <w:pPr>
              <w:pStyle w:val="TableTextEntries"/>
              <w:spacing w:before="0"/>
              <w:jc w:val="center"/>
              <w:rPr>
                <w:color w:val="000000" w:themeColor="text1" w:themeShade="BF"/>
              </w:rPr>
            </w:pPr>
            <w:r w:rsidRPr="00DB43BB">
              <w:rPr>
                <w:color w:val="FFFFFF" w:themeColor="background1"/>
              </w:rPr>
              <w:t>Achieved</w:t>
            </w:r>
          </w:p>
        </w:tc>
        <w:tc>
          <w:tcPr>
            <w:tcW w:w="6875" w:type="dxa"/>
            <w:tcBorders>
              <w:top w:val="nil"/>
              <w:left w:val="nil"/>
              <w:bottom w:val="nil"/>
              <w:right w:val="nil"/>
            </w:tcBorders>
          </w:tcPr>
          <w:p w:rsidR="00A16443" w:rsidRPr="00962508" w:rsidRDefault="00A16443" w:rsidP="009312B5">
            <w:pPr>
              <w:pStyle w:val="TableTextEntries"/>
              <w:spacing w:before="0"/>
              <w:rPr>
                <w:color w:val="000000" w:themeColor="text1" w:themeShade="BF"/>
              </w:rPr>
            </w:pPr>
            <w:r w:rsidRPr="00962508">
              <w:t>BAF approved 69 business grants, 36 per cent of which were for women owned businesses.</w:t>
            </w:r>
          </w:p>
        </w:tc>
      </w:tr>
      <w:tr w:rsidR="00A16443" w:rsidRPr="00962508" w:rsidTr="009312B5">
        <w:tc>
          <w:tcPr>
            <w:tcW w:w="2235" w:type="dxa"/>
            <w:vMerge/>
            <w:tcBorders>
              <w:right w:val="nil"/>
            </w:tcBorders>
            <w:tcMar>
              <w:top w:w="57" w:type="dxa"/>
              <w:bottom w:w="57" w:type="dxa"/>
            </w:tcMar>
          </w:tcPr>
          <w:p w:rsidR="00A16443" w:rsidRPr="00962508" w:rsidRDefault="00A16443" w:rsidP="009312B5">
            <w:pPr>
              <w:pStyle w:val="TableTextEntries"/>
            </w:pPr>
          </w:p>
        </w:tc>
        <w:tc>
          <w:tcPr>
            <w:tcW w:w="4677" w:type="dxa"/>
            <w:tcBorders>
              <w:top w:val="nil"/>
              <w:left w:val="nil"/>
              <w:bottom w:val="nil"/>
              <w:right w:val="nil"/>
            </w:tcBorders>
          </w:tcPr>
          <w:p w:rsidR="00A16443" w:rsidRPr="00962508" w:rsidRDefault="00A16443" w:rsidP="009312B5">
            <w:pPr>
              <w:pStyle w:val="TableTextEntries"/>
            </w:pPr>
            <w:r w:rsidRPr="00962508">
              <w:t>Trade portal updated  to ensure posting of all non-tariff measures on a national trade repository</w:t>
            </w:r>
          </w:p>
        </w:tc>
        <w:tc>
          <w:tcPr>
            <w:tcW w:w="1127" w:type="dxa"/>
            <w:tcBorders>
              <w:top w:val="nil"/>
              <w:left w:val="nil"/>
              <w:bottom w:val="nil"/>
              <w:right w:val="nil"/>
            </w:tcBorders>
            <w:shd w:val="clear" w:color="auto" w:fill="F79646" w:themeFill="accent6"/>
          </w:tcPr>
          <w:p w:rsidR="00A16443" w:rsidRPr="00DB43BB" w:rsidRDefault="00A16443" w:rsidP="009312B5">
            <w:pPr>
              <w:pStyle w:val="TableTextEntries"/>
              <w:jc w:val="center"/>
              <w:rPr>
                <w:color w:val="FFFFFF" w:themeColor="background1"/>
              </w:rPr>
            </w:pPr>
            <w:r w:rsidRPr="00DB43BB">
              <w:rPr>
                <w:color w:val="FFFFFF" w:themeColor="background1"/>
              </w:rPr>
              <w:t>Partly achieved</w:t>
            </w:r>
          </w:p>
        </w:tc>
        <w:tc>
          <w:tcPr>
            <w:tcW w:w="6875" w:type="dxa"/>
            <w:tcBorders>
              <w:top w:val="nil"/>
              <w:left w:val="nil"/>
              <w:bottom w:val="nil"/>
              <w:right w:val="nil"/>
            </w:tcBorders>
          </w:tcPr>
          <w:p w:rsidR="00A16443" w:rsidRPr="00962508" w:rsidRDefault="00A16443" w:rsidP="009312B5">
            <w:pPr>
              <w:pStyle w:val="TableTextEntries"/>
            </w:pPr>
            <w:r w:rsidRPr="00962508">
              <w:t>All non-tariff measures</w:t>
            </w:r>
            <w:r w:rsidR="00A615A5">
              <w:t>,</w:t>
            </w:r>
            <w:r w:rsidRPr="00962508">
              <w:t xml:space="preserve"> except those related to</w:t>
            </w:r>
            <w:r>
              <w:t xml:space="preserve"> customs procedures</w:t>
            </w:r>
            <w:r w:rsidR="00A615A5">
              <w:t>, have</w:t>
            </w:r>
            <w:r w:rsidRPr="00962508">
              <w:t xml:space="preserve"> been published on the Lao Trade Portal.</w:t>
            </w:r>
          </w:p>
        </w:tc>
      </w:tr>
      <w:tr w:rsidR="00A16443" w:rsidRPr="00962508" w:rsidTr="009312B5">
        <w:tc>
          <w:tcPr>
            <w:tcW w:w="2235" w:type="dxa"/>
            <w:tcBorders>
              <w:right w:val="nil"/>
            </w:tcBorders>
            <w:tcMar>
              <w:top w:w="57" w:type="dxa"/>
              <w:bottom w:w="57" w:type="dxa"/>
            </w:tcMar>
          </w:tcPr>
          <w:p w:rsidR="00A16443" w:rsidRPr="00962508" w:rsidRDefault="00A16443" w:rsidP="009312B5">
            <w:pPr>
              <w:pStyle w:val="TableTextEntries"/>
            </w:pPr>
          </w:p>
        </w:tc>
        <w:tc>
          <w:tcPr>
            <w:tcW w:w="4677" w:type="dxa"/>
            <w:tcBorders>
              <w:top w:val="nil"/>
              <w:left w:val="nil"/>
              <w:bottom w:val="nil"/>
              <w:right w:val="nil"/>
            </w:tcBorders>
          </w:tcPr>
          <w:p w:rsidR="00A16443" w:rsidRPr="00962508" w:rsidRDefault="00A16443" w:rsidP="00A615A5">
            <w:pPr>
              <w:pStyle w:val="TableTextEntries"/>
            </w:pPr>
            <w:r w:rsidRPr="00962508">
              <w:t>Review and classification of Lao</w:t>
            </w:r>
            <w:r w:rsidR="00A615A5">
              <w:t>s</w:t>
            </w:r>
            <w:r w:rsidRPr="00962508">
              <w:t>’ non-tariff measures completed.</w:t>
            </w:r>
          </w:p>
        </w:tc>
        <w:tc>
          <w:tcPr>
            <w:tcW w:w="1127" w:type="dxa"/>
            <w:tcBorders>
              <w:top w:val="nil"/>
              <w:left w:val="nil"/>
              <w:bottom w:val="nil"/>
              <w:right w:val="nil"/>
            </w:tcBorders>
            <w:shd w:val="clear" w:color="auto" w:fill="9BBB59"/>
          </w:tcPr>
          <w:p w:rsidR="00A16443" w:rsidRPr="00DB43BB" w:rsidRDefault="00A16443" w:rsidP="009312B5">
            <w:pPr>
              <w:pStyle w:val="TableTextEntries"/>
              <w:jc w:val="center"/>
              <w:rPr>
                <w:color w:val="FFFFFF" w:themeColor="background1"/>
              </w:rPr>
            </w:pPr>
            <w:r w:rsidRPr="00DB43BB">
              <w:rPr>
                <w:color w:val="FFFFFF" w:themeColor="background1"/>
              </w:rPr>
              <w:t>Achieved</w:t>
            </w:r>
          </w:p>
        </w:tc>
        <w:tc>
          <w:tcPr>
            <w:tcW w:w="6875" w:type="dxa"/>
            <w:tcBorders>
              <w:top w:val="nil"/>
              <w:left w:val="nil"/>
              <w:bottom w:val="nil"/>
              <w:right w:val="nil"/>
            </w:tcBorders>
          </w:tcPr>
          <w:p w:rsidR="00A16443" w:rsidRPr="00962508" w:rsidRDefault="00A16443" w:rsidP="009312B5">
            <w:pPr>
              <w:pStyle w:val="TableTextEntries"/>
            </w:pPr>
            <w:r w:rsidRPr="00962508">
              <w:t>Non-tariff measures data collection and classification process completed.</w:t>
            </w:r>
          </w:p>
        </w:tc>
      </w:tr>
      <w:tr w:rsidR="00A16443" w:rsidRPr="00962508" w:rsidTr="009312B5">
        <w:tc>
          <w:tcPr>
            <w:tcW w:w="2235" w:type="dxa"/>
            <w:tcBorders>
              <w:right w:val="nil"/>
            </w:tcBorders>
            <w:tcMar>
              <w:top w:w="57" w:type="dxa"/>
              <w:bottom w:w="57" w:type="dxa"/>
            </w:tcMar>
          </w:tcPr>
          <w:p w:rsidR="00A16443" w:rsidRPr="00962508" w:rsidRDefault="00A16443" w:rsidP="009312B5">
            <w:pPr>
              <w:pStyle w:val="TableTextEntries"/>
            </w:pPr>
          </w:p>
        </w:tc>
        <w:tc>
          <w:tcPr>
            <w:tcW w:w="4677" w:type="dxa"/>
            <w:tcBorders>
              <w:top w:val="nil"/>
              <w:left w:val="nil"/>
              <w:bottom w:val="nil"/>
              <w:right w:val="nil"/>
            </w:tcBorders>
          </w:tcPr>
          <w:p w:rsidR="00A16443" w:rsidRPr="00962508" w:rsidRDefault="00A16443" w:rsidP="009312B5">
            <w:pPr>
              <w:pStyle w:val="TableTextEntries"/>
            </w:pPr>
            <w:r w:rsidRPr="00962508">
              <w:t>Services trade regulatory assessment completed</w:t>
            </w:r>
          </w:p>
        </w:tc>
        <w:tc>
          <w:tcPr>
            <w:tcW w:w="1127" w:type="dxa"/>
            <w:tcBorders>
              <w:top w:val="nil"/>
              <w:left w:val="nil"/>
              <w:bottom w:val="nil"/>
              <w:right w:val="nil"/>
            </w:tcBorders>
            <w:shd w:val="clear" w:color="auto" w:fill="9BBB59"/>
          </w:tcPr>
          <w:p w:rsidR="00A16443" w:rsidRPr="00DB43BB" w:rsidRDefault="00A16443" w:rsidP="009312B5">
            <w:pPr>
              <w:pStyle w:val="TableTextEntries"/>
              <w:jc w:val="center"/>
              <w:rPr>
                <w:color w:val="FFFFFF" w:themeColor="background1"/>
              </w:rPr>
            </w:pPr>
            <w:r w:rsidRPr="00DB43BB">
              <w:rPr>
                <w:color w:val="FFFFFF" w:themeColor="background1"/>
              </w:rPr>
              <w:t xml:space="preserve">Achieved </w:t>
            </w:r>
          </w:p>
        </w:tc>
        <w:tc>
          <w:tcPr>
            <w:tcW w:w="6875" w:type="dxa"/>
            <w:tcBorders>
              <w:top w:val="nil"/>
              <w:left w:val="nil"/>
              <w:bottom w:val="nil"/>
              <w:right w:val="nil"/>
            </w:tcBorders>
          </w:tcPr>
          <w:p w:rsidR="00A16443" w:rsidRPr="00962508" w:rsidRDefault="00A16443" w:rsidP="009312B5">
            <w:pPr>
              <w:pStyle w:val="TableTextEntries"/>
            </w:pPr>
            <w:r w:rsidRPr="00962508">
              <w:t>Assessments of telecommunication, insurance and professional services completed.</w:t>
            </w:r>
          </w:p>
        </w:tc>
      </w:tr>
      <w:tr w:rsidR="00A16443" w:rsidRPr="00962508" w:rsidTr="009312B5">
        <w:tc>
          <w:tcPr>
            <w:tcW w:w="2235" w:type="dxa"/>
            <w:tcMar>
              <w:top w:w="57" w:type="dxa"/>
              <w:bottom w:w="57" w:type="dxa"/>
            </w:tcMar>
          </w:tcPr>
          <w:p w:rsidR="00A16443" w:rsidRPr="00962508" w:rsidRDefault="00A16443" w:rsidP="009312B5">
            <w:pPr>
              <w:pStyle w:val="TableTextEntries"/>
            </w:pPr>
          </w:p>
        </w:tc>
        <w:tc>
          <w:tcPr>
            <w:tcW w:w="4677" w:type="dxa"/>
            <w:tcBorders>
              <w:top w:val="nil"/>
              <w:bottom w:val="nil"/>
            </w:tcBorders>
          </w:tcPr>
          <w:p w:rsidR="00A16443" w:rsidRPr="00962508" w:rsidRDefault="00A16443" w:rsidP="009312B5">
            <w:pPr>
              <w:pStyle w:val="TableTextEntries"/>
            </w:pPr>
            <w:r w:rsidRPr="00962508">
              <w:t>A preliminary assessment of the Lao PDR labour inspectorate commenced, including an assessment of current weaknesses in capacity for the execution of labour inspections in the garments industry</w:t>
            </w:r>
          </w:p>
        </w:tc>
        <w:tc>
          <w:tcPr>
            <w:tcW w:w="1127" w:type="dxa"/>
            <w:tcBorders>
              <w:top w:val="nil"/>
              <w:bottom w:val="nil"/>
            </w:tcBorders>
            <w:shd w:val="clear" w:color="auto" w:fill="9BBB59"/>
          </w:tcPr>
          <w:p w:rsidR="00A16443" w:rsidRPr="00DB43BB" w:rsidRDefault="00A16443" w:rsidP="009312B5">
            <w:pPr>
              <w:pStyle w:val="TableTextEntries"/>
              <w:jc w:val="center"/>
              <w:rPr>
                <w:color w:val="FFFFFF" w:themeColor="background1"/>
              </w:rPr>
            </w:pPr>
            <w:r w:rsidRPr="00DB43BB">
              <w:rPr>
                <w:color w:val="FFFFFF" w:themeColor="background1"/>
              </w:rPr>
              <w:t xml:space="preserve">Achieved </w:t>
            </w:r>
          </w:p>
        </w:tc>
        <w:tc>
          <w:tcPr>
            <w:tcW w:w="6875" w:type="dxa"/>
            <w:tcBorders>
              <w:top w:val="nil"/>
              <w:bottom w:val="nil"/>
            </w:tcBorders>
          </w:tcPr>
          <w:p w:rsidR="00A16443" w:rsidRPr="00962508" w:rsidRDefault="00A16443" w:rsidP="009312B5">
            <w:pPr>
              <w:pStyle w:val="TableTextEntries"/>
            </w:pPr>
            <w:r w:rsidRPr="00962508">
              <w:t>Needs assessment on labour inspection system and legal gap analysis completed.</w:t>
            </w:r>
          </w:p>
        </w:tc>
      </w:tr>
      <w:tr w:rsidR="00A16443" w:rsidRPr="00962508" w:rsidTr="009312B5">
        <w:tc>
          <w:tcPr>
            <w:tcW w:w="2235" w:type="dxa"/>
            <w:tcMar>
              <w:top w:w="57" w:type="dxa"/>
              <w:bottom w:w="57" w:type="dxa"/>
            </w:tcMar>
          </w:tcPr>
          <w:p w:rsidR="00A16443" w:rsidRPr="00962508" w:rsidRDefault="00A16443" w:rsidP="009312B5">
            <w:pPr>
              <w:pStyle w:val="TableTextEntries"/>
            </w:pPr>
          </w:p>
        </w:tc>
        <w:tc>
          <w:tcPr>
            <w:tcW w:w="4677" w:type="dxa"/>
            <w:tcBorders>
              <w:top w:val="nil"/>
            </w:tcBorders>
          </w:tcPr>
          <w:p w:rsidR="00A16443" w:rsidRPr="00962508" w:rsidRDefault="00A16443" w:rsidP="009312B5">
            <w:pPr>
              <w:pStyle w:val="TableTextEntries"/>
            </w:pPr>
            <w:r w:rsidRPr="00962508">
              <w:t>Stronger Ministry of Industry and Commerce national implementation unit (NIU) support for the trade and private sector working group (TPSWG)</w:t>
            </w:r>
          </w:p>
        </w:tc>
        <w:tc>
          <w:tcPr>
            <w:tcW w:w="1127" w:type="dxa"/>
            <w:tcBorders>
              <w:top w:val="nil"/>
              <w:bottom w:val="nil"/>
            </w:tcBorders>
            <w:shd w:val="clear" w:color="auto" w:fill="9BBB59"/>
          </w:tcPr>
          <w:p w:rsidR="00A16443" w:rsidRPr="00DB43BB" w:rsidRDefault="00A16443" w:rsidP="009312B5">
            <w:pPr>
              <w:pStyle w:val="TableTextEntries"/>
              <w:jc w:val="center"/>
              <w:rPr>
                <w:color w:val="FFFFFF" w:themeColor="background1"/>
              </w:rPr>
            </w:pPr>
            <w:r w:rsidRPr="00DB43BB">
              <w:rPr>
                <w:color w:val="FFFFFF" w:themeColor="background1"/>
              </w:rPr>
              <w:t>Achieved</w:t>
            </w:r>
          </w:p>
        </w:tc>
        <w:tc>
          <w:tcPr>
            <w:tcW w:w="6875" w:type="dxa"/>
            <w:tcBorders>
              <w:top w:val="nil"/>
            </w:tcBorders>
          </w:tcPr>
          <w:p w:rsidR="00A16443" w:rsidRDefault="00A16443" w:rsidP="009312B5">
            <w:pPr>
              <w:pStyle w:val="TableTextEntries"/>
            </w:pPr>
            <w:r w:rsidRPr="00962508">
              <w:t>The effectiveness of the TPSWG has been strengthened through the work of the NIU.  However the relevance and usefulness of the Lao Trade Portal to the private sector remains to be assessed.</w:t>
            </w:r>
          </w:p>
          <w:p w:rsidR="001B4B51" w:rsidRPr="00962508" w:rsidRDefault="001B4B51" w:rsidP="009312B5">
            <w:pPr>
              <w:pStyle w:val="TableTextEntries"/>
            </w:pPr>
          </w:p>
        </w:tc>
      </w:tr>
      <w:tr w:rsidR="00A16443" w:rsidRPr="00962508" w:rsidTr="009312B5">
        <w:tc>
          <w:tcPr>
            <w:tcW w:w="2235" w:type="dxa"/>
            <w:tcMar>
              <w:top w:w="57" w:type="dxa"/>
              <w:bottom w:w="57" w:type="dxa"/>
            </w:tcMar>
          </w:tcPr>
          <w:p w:rsidR="00A16443" w:rsidRPr="00962508" w:rsidRDefault="00A16443" w:rsidP="009312B5">
            <w:pPr>
              <w:pStyle w:val="TableTextEntries"/>
            </w:pPr>
          </w:p>
        </w:tc>
        <w:tc>
          <w:tcPr>
            <w:tcW w:w="4677" w:type="dxa"/>
          </w:tcPr>
          <w:p w:rsidR="00A16443" w:rsidRPr="00962508" w:rsidRDefault="00A16443" w:rsidP="009312B5">
            <w:pPr>
              <w:pStyle w:val="TableTextEntries"/>
            </w:pPr>
            <w:r w:rsidRPr="00962508">
              <w:t xml:space="preserve">Evidence of improved Lao </w:t>
            </w:r>
            <w:r w:rsidR="00160EA8">
              <w:t>G</w:t>
            </w:r>
            <w:r w:rsidRPr="00962508">
              <w:t>overnment inter-agency cooperation on priority trade reforms</w:t>
            </w:r>
          </w:p>
        </w:tc>
        <w:tc>
          <w:tcPr>
            <w:tcW w:w="1127" w:type="dxa"/>
            <w:tcBorders>
              <w:top w:val="nil"/>
              <w:bottom w:val="nil"/>
            </w:tcBorders>
            <w:shd w:val="clear" w:color="auto" w:fill="F79646" w:themeFill="accent6"/>
          </w:tcPr>
          <w:p w:rsidR="00A16443" w:rsidRPr="00DB43BB" w:rsidRDefault="00A16443" w:rsidP="009312B5">
            <w:pPr>
              <w:pStyle w:val="TableTextEntries"/>
              <w:jc w:val="center"/>
              <w:rPr>
                <w:color w:val="FFFFFF" w:themeColor="background1"/>
              </w:rPr>
            </w:pPr>
            <w:r w:rsidRPr="00DB43BB">
              <w:rPr>
                <w:color w:val="FFFFFF" w:themeColor="background1"/>
              </w:rPr>
              <w:t>Partially achieved</w:t>
            </w:r>
          </w:p>
        </w:tc>
        <w:tc>
          <w:tcPr>
            <w:tcW w:w="6875" w:type="dxa"/>
          </w:tcPr>
          <w:p w:rsidR="00A16443" w:rsidRPr="00962508" w:rsidRDefault="00A16443" w:rsidP="009312B5">
            <w:pPr>
              <w:pStyle w:val="TableTextEntries"/>
            </w:pPr>
            <w:r w:rsidRPr="00962508">
              <w:t>Good progress has been made with improving the national trade policy coordination body by establishment of the National Committee on Economic Integration. However</w:t>
            </w:r>
            <w:r w:rsidR="00A615A5">
              <w:t>,</w:t>
            </w:r>
            <w:r w:rsidRPr="00962508">
              <w:t xml:space="preserve"> important institutional arrangements have yet to be established to strengthen coordination across government agencies.  </w:t>
            </w:r>
          </w:p>
        </w:tc>
      </w:tr>
      <w:tr w:rsidR="00A16443" w:rsidRPr="00962508" w:rsidTr="009312B5">
        <w:tc>
          <w:tcPr>
            <w:tcW w:w="2235" w:type="dxa"/>
            <w:tcMar>
              <w:top w:w="57" w:type="dxa"/>
              <w:bottom w:w="57" w:type="dxa"/>
            </w:tcMar>
          </w:tcPr>
          <w:p w:rsidR="00A16443" w:rsidRPr="00962508" w:rsidRDefault="00A16443" w:rsidP="009312B5">
            <w:pPr>
              <w:pStyle w:val="TableTextEntries"/>
            </w:pPr>
          </w:p>
        </w:tc>
        <w:tc>
          <w:tcPr>
            <w:tcW w:w="4677" w:type="dxa"/>
          </w:tcPr>
          <w:p w:rsidR="00A16443" w:rsidRPr="00962508" w:rsidRDefault="00A16443" w:rsidP="009312B5">
            <w:pPr>
              <w:pStyle w:val="TableTextEntries"/>
            </w:pPr>
            <w:r w:rsidRPr="00962508">
              <w:t>Trade Challenge Fund supporting activities that link to Diagnostic Trade Integration Study specific outcome areas</w:t>
            </w:r>
          </w:p>
        </w:tc>
        <w:tc>
          <w:tcPr>
            <w:tcW w:w="1127" w:type="dxa"/>
            <w:tcBorders>
              <w:top w:val="nil"/>
              <w:bottom w:val="nil"/>
            </w:tcBorders>
            <w:shd w:val="clear" w:color="auto" w:fill="9BBB59"/>
          </w:tcPr>
          <w:p w:rsidR="00A16443" w:rsidRPr="00DB43BB" w:rsidRDefault="00A16443" w:rsidP="009312B5">
            <w:pPr>
              <w:pStyle w:val="TableTextEntries"/>
              <w:jc w:val="center"/>
              <w:rPr>
                <w:color w:val="FFFFFF" w:themeColor="background1"/>
              </w:rPr>
            </w:pPr>
            <w:r w:rsidRPr="00DB43BB">
              <w:rPr>
                <w:color w:val="FFFFFF" w:themeColor="background1"/>
              </w:rPr>
              <w:t>Achieved</w:t>
            </w:r>
          </w:p>
        </w:tc>
        <w:tc>
          <w:tcPr>
            <w:tcW w:w="6875" w:type="dxa"/>
          </w:tcPr>
          <w:p w:rsidR="00A16443" w:rsidRPr="00962508" w:rsidRDefault="00A16443" w:rsidP="009312B5">
            <w:pPr>
              <w:pStyle w:val="TableTextEntries"/>
            </w:pPr>
            <w:r w:rsidRPr="00962508">
              <w:rPr>
                <w:sz w:val="16"/>
                <w:szCs w:val="16"/>
              </w:rPr>
              <w:t>There has been strong demand for the facility with six proposals approved to date.</w:t>
            </w:r>
          </w:p>
        </w:tc>
      </w:tr>
      <w:tr w:rsidR="00A16443" w:rsidRPr="00962508" w:rsidTr="009312B5">
        <w:tc>
          <w:tcPr>
            <w:tcW w:w="2235" w:type="dxa"/>
            <w:tcMar>
              <w:top w:w="57" w:type="dxa"/>
              <w:bottom w:w="57" w:type="dxa"/>
            </w:tcMar>
          </w:tcPr>
          <w:p w:rsidR="00A16443" w:rsidRPr="00962508" w:rsidRDefault="00A16443" w:rsidP="009312B5">
            <w:pPr>
              <w:pStyle w:val="TableTextEntries"/>
            </w:pPr>
          </w:p>
        </w:tc>
        <w:tc>
          <w:tcPr>
            <w:tcW w:w="4677" w:type="dxa"/>
          </w:tcPr>
          <w:p w:rsidR="00A16443" w:rsidRPr="00962508" w:rsidRDefault="00A16443" w:rsidP="009312B5">
            <w:pPr>
              <w:pStyle w:val="TableTextEntries"/>
            </w:pPr>
            <w:r w:rsidRPr="00962508">
              <w:t>Trade research program supporting high quality research relevant to Diagnostic Trade Integration Study outcome areas</w:t>
            </w:r>
          </w:p>
        </w:tc>
        <w:tc>
          <w:tcPr>
            <w:tcW w:w="1127" w:type="dxa"/>
            <w:tcBorders>
              <w:top w:val="nil"/>
              <w:bottom w:val="nil"/>
            </w:tcBorders>
            <w:shd w:val="clear" w:color="auto" w:fill="9BBB59"/>
          </w:tcPr>
          <w:p w:rsidR="00A16443" w:rsidRPr="00DB43BB" w:rsidRDefault="00A16443" w:rsidP="009312B5">
            <w:pPr>
              <w:pStyle w:val="TableTextEntries"/>
              <w:jc w:val="center"/>
              <w:rPr>
                <w:color w:val="FFFFFF" w:themeColor="background1"/>
              </w:rPr>
            </w:pPr>
            <w:r w:rsidRPr="00DB43BB">
              <w:rPr>
                <w:color w:val="FFFFFF" w:themeColor="background1"/>
              </w:rPr>
              <w:t>Achieved</w:t>
            </w:r>
          </w:p>
        </w:tc>
        <w:tc>
          <w:tcPr>
            <w:tcW w:w="6875" w:type="dxa"/>
          </w:tcPr>
          <w:p w:rsidR="00A16443" w:rsidRPr="00962508" w:rsidRDefault="00A16443" w:rsidP="009312B5">
            <w:pPr>
              <w:pStyle w:val="TableTextEntries"/>
            </w:pPr>
            <w:r w:rsidRPr="00962508">
              <w:t>Seven proposals for funding through the research facility have been approved and are due for completion by the end of 2016.</w:t>
            </w:r>
          </w:p>
        </w:tc>
      </w:tr>
      <w:tr w:rsidR="00A16443" w:rsidRPr="00962508" w:rsidTr="009312B5">
        <w:tc>
          <w:tcPr>
            <w:tcW w:w="2235" w:type="dxa"/>
            <w:tcMar>
              <w:top w:w="57" w:type="dxa"/>
              <w:bottom w:w="57" w:type="dxa"/>
            </w:tcMar>
          </w:tcPr>
          <w:p w:rsidR="00A16443" w:rsidRPr="00962508" w:rsidRDefault="00A16443" w:rsidP="009312B5">
            <w:pPr>
              <w:pStyle w:val="TableTextEntries"/>
            </w:pPr>
            <w:r w:rsidRPr="00962508">
              <w:t>Improve inclusive access to finance, productive assets, and market opportunities</w:t>
            </w:r>
          </w:p>
        </w:tc>
        <w:tc>
          <w:tcPr>
            <w:tcW w:w="4677" w:type="dxa"/>
          </w:tcPr>
          <w:p w:rsidR="00A16443" w:rsidRPr="00962508" w:rsidRDefault="00A16443" w:rsidP="009312B5">
            <w:pPr>
              <w:pStyle w:val="TableTextEntries"/>
            </w:pPr>
            <w:r w:rsidRPr="00962508">
              <w:t xml:space="preserve">600 poor women and men able to access social transfers (such as cash or in kind transfers) </w:t>
            </w:r>
          </w:p>
        </w:tc>
        <w:tc>
          <w:tcPr>
            <w:tcW w:w="1127" w:type="dxa"/>
            <w:tcBorders>
              <w:top w:val="nil"/>
              <w:bottom w:val="nil"/>
            </w:tcBorders>
            <w:shd w:val="clear" w:color="auto" w:fill="F79646" w:themeFill="accent6"/>
          </w:tcPr>
          <w:p w:rsidR="00A16443" w:rsidRPr="00DB43BB" w:rsidRDefault="00A16443" w:rsidP="009312B5">
            <w:pPr>
              <w:pStyle w:val="TableTextEntries"/>
              <w:jc w:val="center"/>
              <w:rPr>
                <w:color w:val="FFFFFF" w:themeColor="background1"/>
              </w:rPr>
            </w:pPr>
            <w:r w:rsidRPr="00DB43BB">
              <w:rPr>
                <w:color w:val="FFFFFF" w:themeColor="background1"/>
              </w:rPr>
              <w:t>Partly achieved</w:t>
            </w:r>
          </w:p>
        </w:tc>
        <w:tc>
          <w:tcPr>
            <w:tcW w:w="6875" w:type="dxa"/>
          </w:tcPr>
          <w:p w:rsidR="00A16443" w:rsidRPr="00962508" w:rsidRDefault="00A16443" w:rsidP="009312B5">
            <w:pPr>
              <w:pStyle w:val="TableTextEntries"/>
            </w:pPr>
            <w:r w:rsidRPr="00962508">
              <w:t xml:space="preserve">Implementation was delayed by the slow approval of project MOUs (signed in May 2015). However, 613 households have been registered and received training support. Cash and asset transfers </w:t>
            </w:r>
            <w:r>
              <w:t xml:space="preserve">were </w:t>
            </w:r>
            <w:r w:rsidRPr="00962508">
              <w:t>delivered in Aug 2015.</w:t>
            </w:r>
          </w:p>
        </w:tc>
      </w:tr>
      <w:tr w:rsidR="00A16443" w:rsidRPr="00962508" w:rsidTr="009312B5">
        <w:tc>
          <w:tcPr>
            <w:tcW w:w="2235" w:type="dxa"/>
            <w:tcMar>
              <w:top w:w="57" w:type="dxa"/>
              <w:bottom w:w="57" w:type="dxa"/>
            </w:tcMar>
          </w:tcPr>
          <w:p w:rsidR="00A16443" w:rsidRPr="00962508" w:rsidRDefault="00A16443" w:rsidP="009312B5">
            <w:pPr>
              <w:pStyle w:val="TableTextEntries"/>
              <w:rPr>
                <w:rFonts w:ascii="Times New Roman" w:hAnsi="Times New Roman"/>
                <w:sz w:val="20"/>
                <w:szCs w:val="20"/>
              </w:rPr>
            </w:pPr>
          </w:p>
        </w:tc>
        <w:tc>
          <w:tcPr>
            <w:tcW w:w="4677" w:type="dxa"/>
          </w:tcPr>
          <w:p w:rsidR="00A16443" w:rsidRPr="00962508" w:rsidRDefault="00A16443" w:rsidP="009312B5">
            <w:pPr>
              <w:pStyle w:val="TableTextEntries"/>
            </w:pPr>
            <w:r w:rsidRPr="00962508">
              <w:t>93,000 additional poor women and men who increase thei</w:t>
            </w:r>
            <w:r>
              <w:t xml:space="preserve">r access to financial services </w:t>
            </w:r>
          </w:p>
          <w:p w:rsidR="00A16443" w:rsidRPr="00962508" w:rsidRDefault="00A16443" w:rsidP="009312B5">
            <w:pPr>
              <w:pStyle w:val="TableTextEntries"/>
            </w:pPr>
          </w:p>
          <w:p w:rsidR="00A16443" w:rsidRPr="00962508" w:rsidRDefault="00A16443" w:rsidP="009312B5">
            <w:pPr>
              <w:pStyle w:val="TableTextEntries"/>
            </w:pPr>
          </w:p>
        </w:tc>
        <w:tc>
          <w:tcPr>
            <w:tcW w:w="1127" w:type="dxa"/>
            <w:tcBorders>
              <w:top w:val="nil"/>
              <w:bottom w:val="nil"/>
            </w:tcBorders>
            <w:shd w:val="clear" w:color="auto" w:fill="F79646" w:themeFill="accent6"/>
          </w:tcPr>
          <w:p w:rsidR="00A16443" w:rsidRPr="00DB43BB" w:rsidRDefault="00A16443" w:rsidP="009312B5">
            <w:pPr>
              <w:pStyle w:val="TableTextEntries"/>
              <w:jc w:val="center"/>
              <w:rPr>
                <w:color w:val="FFFFFF" w:themeColor="background1"/>
              </w:rPr>
            </w:pPr>
            <w:r w:rsidRPr="00DB43BB">
              <w:rPr>
                <w:color w:val="FFFFFF" w:themeColor="background1"/>
              </w:rPr>
              <w:t>Partly achieved</w:t>
            </w:r>
          </w:p>
        </w:tc>
        <w:tc>
          <w:tcPr>
            <w:tcW w:w="6875" w:type="dxa"/>
          </w:tcPr>
          <w:p w:rsidR="00A16443" w:rsidRPr="00962508" w:rsidRDefault="00A16443" w:rsidP="009312B5">
            <w:pPr>
              <w:pStyle w:val="TableTextEntries"/>
            </w:pPr>
            <w:r w:rsidRPr="00962508">
              <w:t>Despite delays in the launch of the Digital Financial Services pilots (branchless banking and mobile money for the poor), 51,832 additional people (31,950 women) increased access to financial services as of Dec 2014.</w:t>
            </w:r>
          </w:p>
        </w:tc>
      </w:tr>
      <w:tr w:rsidR="00A16443" w:rsidRPr="00962508" w:rsidTr="009312B5">
        <w:tc>
          <w:tcPr>
            <w:tcW w:w="2235" w:type="dxa"/>
            <w:tcMar>
              <w:top w:w="57" w:type="dxa"/>
              <w:bottom w:w="57" w:type="dxa"/>
            </w:tcMar>
          </w:tcPr>
          <w:p w:rsidR="00A16443" w:rsidRPr="00962508" w:rsidRDefault="00A16443" w:rsidP="009312B5">
            <w:pPr>
              <w:pStyle w:val="TableTextEntries"/>
              <w:rPr>
                <w:rFonts w:ascii="Times New Roman" w:hAnsi="Times New Roman"/>
                <w:sz w:val="20"/>
                <w:szCs w:val="20"/>
              </w:rPr>
            </w:pPr>
          </w:p>
        </w:tc>
        <w:tc>
          <w:tcPr>
            <w:tcW w:w="4677" w:type="dxa"/>
          </w:tcPr>
          <w:p w:rsidR="00A16443" w:rsidRPr="00962508" w:rsidRDefault="00A16443" w:rsidP="009312B5">
            <w:pPr>
              <w:pStyle w:val="TableTextEntries"/>
            </w:pPr>
            <w:r w:rsidRPr="00962508">
              <w:t>630 hectares of productive land released from UXO contamination</w:t>
            </w:r>
          </w:p>
        </w:tc>
        <w:tc>
          <w:tcPr>
            <w:tcW w:w="1127" w:type="dxa"/>
            <w:tcBorders>
              <w:top w:val="nil"/>
              <w:bottom w:val="nil"/>
            </w:tcBorders>
            <w:shd w:val="clear" w:color="auto" w:fill="9BBB59" w:themeFill="accent3"/>
          </w:tcPr>
          <w:p w:rsidR="00A16443" w:rsidRPr="00DB43BB" w:rsidRDefault="00A16443" w:rsidP="009312B5">
            <w:pPr>
              <w:pStyle w:val="TableTextEntries"/>
              <w:jc w:val="center"/>
              <w:rPr>
                <w:color w:val="FFFFFF" w:themeColor="background1"/>
              </w:rPr>
            </w:pPr>
            <w:r w:rsidRPr="00DB43BB">
              <w:rPr>
                <w:color w:val="FFFFFF" w:themeColor="background1"/>
              </w:rPr>
              <w:t>Achieved</w:t>
            </w:r>
          </w:p>
        </w:tc>
        <w:tc>
          <w:tcPr>
            <w:tcW w:w="6875" w:type="dxa"/>
          </w:tcPr>
          <w:p w:rsidR="00A16443" w:rsidRPr="00962508" w:rsidRDefault="00A16443" w:rsidP="009312B5">
            <w:pPr>
              <w:keepLines/>
              <w:spacing w:before="40" w:after="40" w:line="200" w:lineRule="atLeast"/>
              <w:rPr>
                <w:rFonts w:ascii="Franklin Gothic Book" w:hAnsi="Franklin Gothic Book"/>
                <w:iCs/>
                <w:sz w:val="17"/>
                <w:szCs w:val="17"/>
              </w:rPr>
            </w:pPr>
            <w:r w:rsidRPr="00962508">
              <w:rPr>
                <w:rFonts w:ascii="Franklin Gothic Book" w:hAnsi="Franklin Gothic Book"/>
                <w:iCs/>
                <w:sz w:val="17"/>
                <w:szCs w:val="17"/>
              </w:rPr>
              <w:t>More than 1,152 hectares cleared, benefitting over 66,000 people</w:t>
            </w:r>
            <w:r>
              <w:rPr>
                <w:rFonts w:ascii="Franklin Gothic Book" w:hAnsi="Franklin Gothic Book"/>
                <w:iCs/>
                <w:sz w:val="17"/>
                <w:szCs w:val="17"/>
              </w:rPr>
              <w:t>.</w:t>
            </w:r>
          </w:p>
        </w:tc>
      </w:tr>
      <w:tr w:rsidR="00A16443" w:rsidRPr="00962508" w:rsidTr="009312B5">
        <w:tc>
          <w:tcPr>
            <w:tcW w:w="2235" w:type="dxa"/>
            <w:tcMar>
              <w:top w:w="57" w:type="dxa"/>
              <w:bottom w:w="57" w:type="dxa"/>
            </w:tcMar>
          </w:tcPr>
          <w:p w:rsidR="00A16443" w:rsidRPr="00962508" w:rsidRDefault="00A16443" w:rsidP="009312B5">
            <w:pPr>
              <w:pStyle w:val="TableTextEntries"/>
            </w:pPr>
          </w:p>
        </w:tc>
        <w:tc>
          <w:tcPr>
            <w:tcW w:w="4677" w:type="dxa"/>
          </w:tcPr>
          <w:p w:rsidR="00A16443" w:rsidRPr="00962508" w:rsidRDefault="00A16443" w:rsidP="009312B5">
            <w:pPr>
              <w:pStyle w:val="TableTextEntries"/>
            </w:pPr>
            <w:r>
              <w:t>Ministerial support for assessment-based national dialogue (</w:t>
            </w:r>
            <w:r w:rsidRPr="00962508">
              <w:t>ABND</w:t>
            </w:r>
            <w:r>
              <w:t>)</w:t>
            </w:r>
            <w:r w:rsidRPr="00962508">
              <w:t xml:space="preserve"> outcomes and agreement to pilot a social protection </w:t>
            </w:r>
            <w:r>
              <w:t>investment</w:t>
            </w:r>
            <w:r w:rsidRPr="00962508">
              <w:t xml:space="preserve"> in Laos</w:t>
            </w:r>
          </w:p>
        </w:tc>
        <w:tc>
          <w:tcPr>
            <w:tcW w:w="1127" w:type="dxa"/>
            <w:tcBorders>
              <w:top w:val="nil"/>
              <w:bottom w:val="nil"/>
            </w:tcBorders>
            <w:shd w:val="clear" w:color="auto" w:fill="9BBB59"/>
          </w:tcPr>
          <w:p w:rsidR="00A16443" w:rsidRPr="00DB43BB" w:rsidRDefault="00A16443" w:rsidP="009312B5">
            <w:pPr>
              <w:pStyle w:val="TableTextEntries"/>
              <w:jc w:val="center"/>
              <w:rPr>
                <w:color w:val="FFFFFF" w:themeColor="background1"/>
              </w:rPr>
            </w:pPr>
            <w:r w:rsidRPr="00DB43BB">
              <w:rPr>
                <w:color w:val="FFFFFF" w:themeColor="background1"/>
              </w:rPr>
              <w:t>Achieved</w:t>
            </w:r>
          </w:p>
        </w:tc>
        <w:tc>
          <w:tcPr>
            <w:tcW w:w="6875" w:type="dxa"/>
          </w:tcPr>
          <w:p w:rsidR="00A16443" w:rsidRPr="00962508" w:rsidRDefault="00A16443" w:rsidP="009312B5">
            <w:pPr>
              <w:pStyle w:val="TableTextEntries"/>
            </w:pPr>
            <w:r w:rsidRPr="00962508">
              <w:t>Project commenced first of three feasibility studies requested by Government. The studies (investigating old age grants, disability pension, and early childhood support) will be presented to the drafting committee of the National Social Protection Policy.</w:t>
            </w:r>
          </w:p>
        </w:tc>
      </w:tr>
      <w:tr w:rsidR="00A16443" w:rsidRPr="00962508" w:rsidTr="009312B5">
        <w:tc>
          <w:tcPr>
            <w:tcW w:w="2235" w:type="dxa"/>
            <w:tcMar>
              <w:top w:w="57" w:type="dxa"/>
              <w:bottom w:w="57" w:type="dxa"/>
            </w:tcMar>
          </w:tcPr>
          <w:p w:rsidR="00A16443" w:rsidRPr="00962508" w:rsidRDefault="00A16443" w:rsidP="009312B5">
            <w:pPr>
              <w:pStyle w:val="TableTextEntries"/>
            </w:pPr>
          </w:p>
        </w:tc>
        <w:tc>
          <w:tcPr>
            <w:tcW w:w="4677" w:type="dxa"/>
          </w:tcPr>
          <w:p w:rsidR="00A16443" w:rsidRPr="00962508" w:rsidRDefault="00A16443" w:rsidP="009312B5">
            <w:pPr>
              <w:pStyle w:val="TableTextEntries"/>
            </w:pPr>
            <w:r w:rsidRPr="00962508">
              <w:t xml:space="preserve">Financial literacy modules developed and approved by </w:t>
            </w:r>
            <w:r>
              <w:t>Bank of Laos</w:t>
            </w:r>
            <w:r w:rsidRPr="00962508">
              <w:t xml:space="preserve"> and around 1,000 poor women and men attending the financial literary program</w:t>
            </w:r>
          </w:p>
        </w:tc>
        <w:tc>
          <w:tcPr>
            <w:tcW w:w="1127" w:type="dxa"/>
            <w:tcBorders>
              <w:top w:val="nil"/>
              <w:bottom w:val="nil"/>
            </w:tcBorders>
            <w:shd w:val="clear" w:color="auto" w:fill="9BBB59"/>
          </w:tcPr>
          <w:p w:rsidR="00A16443" w:rsidRPr="00DB43BB" w:rsidRDefault="00A16443" w:rsidP="009312B5">
            <w:pPr>
              <w:pStyle w:val="TableTextEntries"/>
              <w:jc w:val="center"/>
              <w:rPr>
                <w:color w:val="FFFFFF" w:themeColor="background1"/>
              </w:rPr>
            </w:pPr>
            <w:r w:rsidRPr="00DB43BB">
              <w:rPr>
                <w:color w:val="FFFFFF" w:themeColor="background1"/>
              </w:rPr>
              <w:t>Achieved</w:t>
            </w:r>
          </w:p>
        </w:tc>
        <w:tc>
          <w:tcPr>
            <w:tcW w:w="6875" w:type="dxa"/>
          </w:tcPr>
          <w:p w:rsidR="00A16443" w:rsidRPr="00962508" w:rsidRDefault="00A16443" w:rsidP="009312B5">
            <w:pPr>
              <w:pStyle w:val="TableTextEntries"/>
            </w:pPr>
            <w:r w:rsidRPr="00962508">
              <w:t>The working version of a financial literacy handbook has been developed. 1,447 poor women and men (48%  women) attended the financial literary training program</w:t>
            </w:r>
            <w:r>
              <w:t>.</w:t>
            </w:r>
          </w:p>
        </w:tc>
      </w:tr>
      <w:tr w:rsidR="00A16443" w:rsidRPr="00962508" w:rsidTr="009312B5">
        <w:tc>
          <w:tcPr>
            <w:tcW w:w="2235" w:type="dxa"/>
            <w:tcMar>
              <w:top w:w="57" w:type="dxa"/>
              <w:bottom w:w="57" w:type="dxa"/>
            </w:tcMar>
          </w:tcPr>
          <w:p w:rsidR="00A16443" w:rsidRPr="00962508" w:rsidRDefault="00A16443" w:rsidP="009312B5">
            <w:pPr>
              <w:pStyle w:val="TableTextEntries"/>
            </w:pPr>
          </w:p>
        </w:tc>
        <w:tc>
          <w:tcPr>
            <w:tcW w:w="4677" w:type="dxa"/>
          </w:tcPr>
          <w:p w:rsidR="00A16443" w:rsidRPr="00962508" w:rsidRDefault="00A16443" w:rsidP="009312B5">
            <w:pPr>
              <w:pStyle w:val="TableTextEntries"/>
            </w:pPr>
            <w:r w:rsidRPr="00962508">
              <w:t>Bank of Laos support for the Making Financial Access Possible (MAP) diagnostic outcomes and its possible recommendations</w:t>
            </w:r>
          </w:p>
        </w:tc>
        <w:tc>
          <w:tcPr>
            <w:tcW w:w="1127" w:type="dxa"/>
            <w:tcBorders>
              <w:top w:val="nil"/>
              <w:bottom w:val="nil"/>
            </w:tcBorders>
            <w:shd w:val="clear" w:color="auto" w:fill="9BBB59"/>
          </w:tcPr>
          <w:p w:rsidR="00A16443" w:rsidRPr="00DB43BB" w:rsidRDefault="00A16443" w:rsidP="009312B5">
            <w:pPr>
              <w:pStyle w:val="TableTextEntries"/>
              <w:jc w:val="center"/>
              <w:rPr>
                <w:color w:val="FFFFFF" w:themeColor="background1"/>
              </w:rPr>
            </w:pPr>
            <w:r w:rsidRPr="00DB43BB">
              <w:rPr>
                <w:color w:val="FFFFFF" w:themeColor="background1"/>
              </w:rPr>
              <w:t>Achieved</w:t>
            </w:r>
          </w:p>
        </w:tc>
        <w:tc>
          <w:tcPr>
            <w:tcW w:w="6875" w:type="dxa"/>
          </w:tcPr>
          <w:p w:rsidR="00A16443" w:rsidRPr="00962508" w:rsidRDefault="00A16443" w:rsidP="009312B5">
            <w:pPr>
              <w:pStyle w:val="TableTextEntries"/>
            </w:pPr>
            <w:r>
              <w:t>The o</w:t>
            </w:r>
            <w:r w:rsidRPr="00962508">
              <w:t xml:space="preserve">utcomes of the FinScope Survey </w:t>
            </w:r>
            <w:r>
              <w:t xml:space="preserve">were formally announced </w:t>
            </w:r>
            <w:r w:rsidRPr="00962508">
              <w:t xml:space="preserve">by Bank of Laos signifying progress </w:t>
            </w:r>
            <w:r>
              <w:t xml:space="preserve">towards </w:t>
            </w:r>
            <w:r w:rsidRPr="00962508">
              <w:t xml:space="preserve">MAP completion in 2015-16. Bank of Laos also released a draft decree on </w:t>
            </w:r>
            <w:r>
              <w:t>digital financial services</w:t>
            </w:r>
            <w:r w:rsidRPr="00962508">
              <w:t xml:space="preserve"> enabling the issuance of licenses for BCEL’s agent-based branchless banking and telcos’ planned mobile money for the poor.</w:t>
            </w:r>
          </w:p>
        </w:tc>
      </w:tr>
      <w:tr w:rsidR="00A16443" w:rsidRPr="00962508" w:rsidTr="009312B5">
        <w:tc>
          <w:tcPr>
            <w:tcW w:w="2235" w:type="dxa"/>
            <w:tcMar>
              <w:top w:w="57" w:type="dxa"/>
              <w:bottom w:w="57" w:type="dxa"/>
            </w:tcMar>
          </w:tcPr>
          <w:p w:rsidR="00A16443" w:rsidRPr="00962508" w:rsidRDefault="00A16443" w:rsidP="009312B5">
            <w:pPr>
              <w:pStyle w:val="TableTextEntries"/>
            </w:pPr>
          </w:p>
        </w:tc>
        <w:tc>
          <w:tcPr>
            <w:tcW w:w="4677" w:type="dxa"/>
          </w:tcPr>
          <w:p w:rsidR="00A16443" w:rsidRPr="00962508" w:rsidRDefault="00A16443" w:rsidP="009312B5">
            <w:pPr>
              <w:pStyle w:val="TableTextEntries"/>
            </w:pPr>
            <w:r w:rsidRPr="00962508">
              <w:t>Micro-enterprises and livelihood activities benefiting at least 600 poor women and men with increased incomes</w:t>
            </w:r>
          </w:p>
        </w:tc>
        <w:tc>
          <w:tcPr>
            <w:tcW w:w="1127" w:type="dxa"/>
            <w:tcBorders>
              <w:top w:val="nil"/>
              <w:bottom w:val="nil"/>
            </w:tcBorders>
            <w:shd w:val="clear" w:color="auto" w:fill="FF0000"/>
          </w:tcPr>
          <w:p w:rsidR="00A16443" w:rsidRPr="00DB43BB" w:rsidRDefault="00A16443" w:rsidP="009312B5">
            <w:pPr>
              <w:pStyle w:val="TableTextEntries"/>
              <w:jc w:val="center"/>
              <w:rPr>
                <w:color w:val="FFFFFF" w:themeColor="background1"/>
              </w:rPr>
            </w:pPr>
            <w:r w:rsidRPr="00DB43BB">
              <w:rPr>
                <w:color w:val="FFFFFF" w:themeColor="background1"/>
              </w:rPr>
              <w:t xml:space="preserve">Not achieved </w:t>
            </w:r>
          </w:p>
        </w:tc>
        <w:tc>
          <w:tcPr>
            <w:tcW w:w="6875" w:type="dxa"/>
          </w:tcPr>
          <w:p w:rsidR="00A16443" w:rsidRDefault="00A16443" w:rsidP="009312B5">
            <w:pPr>
              <w:pStyle w:val="TableTextEntries"/>
            </w:pPr>
            <w:r w:rsidRPr="00962508">
              <w:t xml:space="preserve">Due to </w:t>
            </w:r>
            <w:r>
              <w:t>reductions</w:t>
            </w:r>
            <w:r w:rsidRPr="00962508">
              <w:t xml:space="preserve"> to the Australian aid program, the Micro Enterprise Challenge Fund was cancelled before any implementation could take place.</w:t>
            </w:r>
          </w:p>
          <w:p w:rsidR="001B4B51" w:rsidRPr="00962508" w:rsidRDefault="001B4B51" w:rsidP="009312B5">
            <w:pPr>
              <w:pStyle w:val="TableTextEntries"/>
            </w:pPr>
          </w:p>
        </w:tc>
      </w:tr>
      <w:tr w:rsidR="00A16443" w:rsidRPr="00962508" w:rsidTr="009312B5">
        <w:tc>
          <w:tcPr>
            <w:tcW w:w="2235" w:type="dxa"/>
            <w:tcMar>
              <w:top w:w="57" w:type="dxa"/>
              <w:bottom w:w="57" w:type="dxa"/>
            </w:tcMar>
          </w:tcPr>
          <w:p w:rsidR="00A16443" w:rsidRPr="00962508" w:rsidRDefault="00A16443" w:rsidP="009312B5">
            <w:pPr>
              <w:pStyle w:val="TableTextEntries"/>
            </w:pPr>
          </w:p>
        </w:tc>
        <w:tc>
          <w:tcPr>
            <w:tcW w:w="4677" w:type="dxa"/>
          </w:tcPr>
          <w:p w:rsidR="00A16443" w:rsidRDefault="00A16443" w:rsidP="009312B5">
            <w:pPr>
              <w:pStyle w:val="TableTextEntries"/>
            </w:pPr>
            <w:r w:rsidRPr="00962508">
              <w:t>Government of Laos national budget allocation for National Regulatory Authority recurrent expenses and UXO Lao operations.</w:t>
            </w:r>
          </w:p>
          <w:p w:rsidR="00B2766C" w:rsidRPr="00962508" w:rsidRDefault="00B2766C" w:rsidP="009312B5">
            <w:pPr>
              <w:pStyle w:val="TableTextEntries"/>
            </w:pPr>
          </w:p>
        </w:tc>
        <w:tc>
          <w:tcPr>
            <w:tcW w:w="1127" w:type="dxa"/>
            <w:tcBorders>
              <w:top w:val="nil"/>
              <w:bottom w:val="nil"/>
            </w:tcBorders>
            <w:shd w:val="clear" w:color="auto" w:fill="FF0000"/>
          </w:tcPr>
          <w:p w:rsidR="00A16443" w:rsidRPr="00DB43BB" w:rsidRDefault="00A16443" w:rsidP="009312B5">
            <w:pPr>
              <w:pStyle w:val="TableTextEntries"/>
              <w:jc w:val="center"/>
              <w:rPr>
                <w:color w:val="FFFFFF" w:themeColor="background1"/>
              </w:rPr>
            </w:pPr>
            <w:r w:rsidRPr="00DB43BB">
              <w:rPr>
                <w:color w:val="FFFFFF" w:themeColor="background1"/>
              </w:rPr>
              <w:t>Not achieved</w:t>
            </w:r>
          </w:p>
        </w:tc>
        <w:tc>
          <w:tcPr>
            <w:tcW w:w="6875" w:type="dxa"/>
          </w:tcPr>
          <w:p w:rsidR="00A16443" w:rsidRPr="00962508" w:rsidRDefault="00A16443" w:rsidP="009312B5">
            <w:pPr>
              <w:pStyle w:val="TableTextEntries"/>
            </w:pPr>
            <w:r w:rsidRPr="00962508">
              <w:t xml:space="preserve">Due to </w:t>
            </w:r>
            <w:r>
              <w:t>reduction</w:t>
            </w:r>
            <w:r w:rsidRPr="00962508">
              <w:t xml:space="preserve"> to the Australian aid program, we were unable to make further contributions to the UXO Sector Trust Fund. We did</w:t>
            </w:r>
            <w:r w:rsidR="00A615A5">
              <w:t>,</w:t>
            </w:r>
            <w:r w:rsidRPr="00962508">
              <w:t xml:space="preserve"> however</w:t>
            </w:r>
            <w:r w:rsidR="00A615A5">
              <w:t>,</w:t>
            </w:r>
            <w:r w:rsidRPr="00962508">
              <w:t xml:space="preserve"> provide an additional Australian $1m in 2014-15 to support UXO Laos operations.</w:t>
            </w:r>
          </w:p>
        </w:tc>
      </w:tr>
      <w:tr w:rsidR="00A16443" w:rsidRPr="00962508" w:rsidTr="009312B5">
        <w:trPr>
          <w:trHeight w:val="26"/>
        </w:trPr>
        <w:tc>
          <w:tcPr>
            <w:tcW w:w="2235" w:type="dxa"/>
            <w:tcMar>
              <w:top w:w="57" w:type="dxa"/>
              <w:bottom w:w="57" w:type="dxa"/>
            </w:tcMar>
          </w:tcPr>
          <w:p w:rsidR="00A16443" w:rsidRPr="00962508" w:rsidRDefault="00A16443" w:rsidP="009312B5">
            <w:pPr>
              <w:pStyle w:val="TableTextEntries"/>
            </w:pPr>
            <w:r w:rsidRPr="00962508">
              <w:t>Improve physical access to markets and basic services</w:t>
            </w:r>
          </w:p>
        </w:tc>
        <w:tc>
          <w:tcPr>
            <w:tcW w:w="4677" w:type="dxa"/>
          </w:tcPr>
          <w:p w:rsidR="00A16443" w:rsidRPr="00962508" w:rsidRDefault="00A16443" w:rsidP="009312B5">
            <w:pPr>
              <w:pStyle w:val="TableTextEntries"/>
            </w:pPr>
            <w:r w:rsidRPr="00962508">
              <w:t>At least 100 kms of rural roads constructed and rehabilitated</w:t>
            </w:r>
          </w:p>
        </w:tc>
        <w:tc>
          <w:tcPr>
            <w:tcW w:w="1127" w:type="dxa"/>
            <w:tcBorders>
              <w:top w:val="nil"/>
              <w:bottom w:val="nil"/>
            </w:tcBorders>
            <w:shd w:val="clear" w:color="auto" w:fill="F79646" w:themeFill="accent6"/>
          </w:tcPr>
          <w:p w:rsidR="00A16443" w:rsidRPr="00DB43BB" w:rsidRDefault="00A16443" w:rsidP="009312B5">
            <w:pPr>
              <w:pStyle w:val="TableTextEntries"/>
              <w:jc w:val="center"/>
              <w:rPr>
                <w:color w:val="FFFFFF" w:themeColor="background1"/>
              </w:rPr>
            </w:pPr>
            <w:r w:rsidRPr="00DB43BB">
              <w:rPr>
                <w:color w:val="FFFFFF" w:themeColor="background1"/>
              </w:rPr>
              <w:t>Partly achieved</w:t>
            </w:r>
          </w:p>
        </w:tc>
        <w:tc>
          <w:tcPr>
            <w:tcW w:w="6875" w:type="dxa"/>
          </w:tcPr>
          <w:p w:rsidR="00A16443" w:rsidRPr="00962508" w:rsidRDefault="00A16443" w:rsidP="009312B5">
            <w:pPr>
              <w:pStyle w:val="TableTextEntries"/>
            </w:pPr>
            <w:r w:rsidRPr="00962508">
              <w:t xml:space="preserve">This milestone was </w:t>
            </w:r>
            <w:r>
              <w:t>partly achieved</w:t>
            </w:r>
            <w:r w:rsidRPr="00962508">
              <w:t xml:space="preserve"> because the anticipated milestone did not take into account the completion of NTNIP in 2014</w:t>
            </w:r>
            <w:r>
              <w:t xml:space="preserve"> and the slower construction completion rates in PRF</w:t>
            </w:r>
            <w:r w:rsidRPr="00962508">
              <w:t>.  Through remaining NTNIP outputs and PRF achievements, 73 kilometres of new rural roads were constructed.</w:t>
            </w:r>
          </w:p>
        </w:tc>
      </w:tr>
      <w:tr w:rsidR="00A16443" w:rsidRPr="00962508" w:rsidTr="009312B5">
        <w:tc>
          <w:tcPr>
            <w:tcW w:w="2235" w:type="dxa"/>
            <w:tcMar>
              <w:top w:w="57" w:type="dxa"/>
              <w:bottom w:w="57" w:type="dxa"/>
            </w:tcMar>
          </w:tcPr>
          <w:p w:rsidR="00A16443" w:rsidRPr="00962508" w:rsidRDefault="00A16443" w:rsidP="009312B5">
            <w:pPr>
              <w:pStyle w:val="TableTextEntries"/>
            </w:pPr>
          </w:p>
        </w:tc>
        <w:tc>
          <w:tcPr>
            <w:tcW w:w="4677" w:type="dxa"/>
          </w:tcPr>
          <w:p w:rsidR="00A16443" w:rsidRPr="00962508" w:rsidRDefault="00A16443" w:rsidP="009312B5">
            <w:pPr>
              <w:pStyle w:val="TableTextEntries"/>
            </w:pPr>
            <w:r w:rsidRPr="00962508">
              <w:t>20,000 men and women provided with increased access to safe water</w:t>
            </w:r>
          </w:p>
        </w:tc>
        <w:tc>
          <w:tcPr>
            <w:tcW w:w="1127" w:type="dxa"/>
            <w:tcBorders>
              <w:top w:val="nil"/>
              <w:bottom w:val="nil"/>
            </w:tcBorders>
            <w:shd w:val="clear" w:color="auto" w:fill="F79646" w:themeFill="accent6"/>
          </w:tcPr>
          <w:p w:rsidR="00A16443" w:rsidRPr="00DB43BB" w:rsidRDefault="00A16443" w:rsidP="009312B5">
            <w:pPr>
              <w:pStyle w:val="TableTextEntries"/>
              <w:jc w:val="center"/>
              <w:rPr>
                <w:color w:val="FFFFFF" w:themeColor="background1"/>
              </w:rPr>
            </w:pPr>
            <w:r w:rsidRPr="00DB43BB">
              <w:rPr>
                <w:color w:val="FFFFFF" w:themeColor="background1"/>
              </w:rPr>
              <w:t>Partly achieved</w:t>
            </w:r>
          </w:p>
        </w:tc>
        <w:tc>
          <w:tcPr>
            <w:tcW w:w="6875" w:type="dxa"/>
          </w:tcPr>
          <w:p w:rsidR="00A16443" w:rsidRPr="00962508" w:rsidRDefault="00A16443" w:rsidP="009312B5">
            <w:pPr>
              <w:pStyle w:val="TableTextEntries"/>
            </w:pPr>
            <w:r w:rsidRPr="00962508">
              <w:t xml:space="preserve">This milestone was </w:t>
            </w:r>
            <w:r>
              <w:t xml:space="preserve">partly achieved </w:t>
            </w:r>
            <w:r w:rsidRPr="00962508">
              <w:t>because the anticipated milestone did not take into account the completion of</w:t>
            </w:r>
            <w:r w:rsidR="00A615A5">
              <w:t>,</w:t>
            </w:r>
            <w:r w:rsidRPr="00962508">
              <w:t xml:space="preserve"> </w:t>
            </w:r>
            <w:r>
              <w:t>and the lower demand for WASH</w:t>
            </w:r>
            <w:r w:rsidR="00A615A5">
              <w:t>,</w:t>
            </w:r>
            <w:r>
              <w:t xml:space="preserve"> under PRF</w:t>
            </w:r>
            <w:r w:rsidRPr="00962508">
              <w:t xml:space="preserve">. </w:t>
            </w:r>
            <w:r>
              <w:t xml:space="preserve">Thus, only  </w:t>
            </w:r>
            <w:r w:rsidRPr="00962508">
              <w:t xml:space="preserve">9,747 people provided with increased access to safe water under </w:t>
            </w:r>
            <w:r>
              <w:t>PRF.</w:t>
            </w:r>
          </w:p>
        </w:tc>
      </w:tr>
      <w:tr w:rsidR="00A16443" w:rsidRPr="00962508" w:rsidTr="009312B5">
        <w:tc>
          <w:tcPr>
            <w:tcW w:w="2235" w:type="dxa"/>
            <w:tcMar>
              <w:top w:w="57" w:type="dxa"/>
              <w:bottom w:w="57" w:type="dxa"/>
            </w:tcMar>
          </w:tcPr>
          <w:p w:rsidR="00A16443" w:rsidRPr="00962508" w:rsidRDefault="00A16443" w:rsidP="009312B5">
            <w:pPr>
              <w:pStyle w:val="TableTextEntries"/>
            </w:pPr>
          </w:p>
        </w:tc>
        <w:tc>
          <w:tcPr>
            <w:tcW w:w="4677" w:type="dxa"/>
          </w:tcPr>
          <w:p w:rsidR="00A16443" w:rsidRPr="00962508" w:rsidRDefault="00A16443" w:rsidP="009312B5">
            <w:pPr>
              <w:pStyle w:val="TableTextEntries"/>
            </w:pPr>
            <w:r w:rsidRPr="00962508">
              <w:t>Number of additional women and men with improved access to rural roads</w:t>
            </w:r>
          </w:p>
        </w:tc>
        <w:tc>
          <w:tcPr>
            <w:tcW w:w="1127" w:type="dxa"/>
            <w:tcBorders>
              <w:top w:val="nil"/>
              <w:bottom w:val="nil"/>
            </w:tcBorders>
            <w:shd w:val="clear" w:color="auto" w:fill="9BBB59" w:themeFill="accent3"/>
          </w:tcPr>
          <w:p w:rsidR="00A16443" w:rsidRPr="00DB43BB" w:rsidRDefault="00A16443" w:rsidP="009312B5">
            <w:pPr>
              <w:pStyle w:val="TableTextEntries"/>
              <w:jc w:val="center"/>
              <w:rPr>
                <w:color w:val="000000" w:themeColor="text1"/>
              </w:rPr>
            </w:pPr>
            <w:r w:rsidRPr="00A16443">
              <w:rPr>
                <w:color w:val="FFFFFF" w:themeColor="background1"/>
              </w:rPr>
              <w:t>Achieved</w:t>
            </w:r>
          </w:p>
        </w:tc>
        <w:tc>
          <w:tcPr>
            <w:tcW w:w="6875" w:type="dxa"/>
          </w:tcPr>
          <w:p w:rsidR="00A16443" w:rsidRPr="00962508" w:rsidRDefault="00A16443" w:rsidP="009312B5">
            <w:pPr>
              <w:pStyle w:val="TableTextEntries"/>
            </w:pPr>
            <w:r w:rsidRPr="00962508">
              <w:t>Result reporting only (no target set) - 6,953 additional women and men with improved access to rural roads</w:t>
            </w:r>
            <w:r>
              <w:t>.</w:t>
            </w:r>
          </w:p>
          <w:p w:rsidR="00A16443" w:rsidRPr="00962508" w:rsidRDefault="00A16443" w:rsidP="009312B5">
            <w:pPr>
              <w:pStyle w:val="TableTextEntries"/>
            </w:pPr>
          </w:p>
        </w:tc>
      </w:tr>
      <w:tr w:rsidR="00A16443" w:rsidRPr="00962508" w:rsidTr="009312B5">
        <w:tc>
          <w:tcPr>
            <w:tcW w:w="2235" w:type="dxa"/>
            <w:tcMar>
              <w:top w:w="57" w:type="dxa"/>
              <w:bottom w:w="57" w:type="dxa"/>
            </w:tcMar>
          </w:tcPr>
          <w:p w:rsidR="00A16443" w:rsidRPr="00962508" w:rsidRDefault="00A16443" w:rsidP="009312B5">
            <w:pPr>
              <w:pStyle w:val="TableTextEntries"/>
            </w:pPr>
          </w:p>
        </w:tc>
        <w:tc>
          <w:tcPr>
            <w:tcW w:w="4677" w:type="dxa"/>
          </w:tcPr>
          <w:p w:rsidR="00A16443" w:rsidRPr="00962508" w:rsidRDefault="00A16443" w:rsidP="009312B5">
            <w:pPr>
              <w:pStyle w:val="TableTextEntries"/>
            </w:pPr>
            <w:r w:rsidRPr="00962508">
              <w:t>Government support for  integration of social safeguards, environmental impact, disabled access and local engagement measures into rural infrastructure policies and investment  - evidence that integration of these approaches into GoL policy is taking place</w:t>
            </w:r>
          </w:p>
          <w:p w:rsidR="00A16443" w:rsidRPr="00962508" w:rsidRDefault="00A16443" w:rsidP="009312B5">
            <w:pPr>
              <w:pStyle w:val="TableTextEntries"/>
            </w:pPr>
          </w:p>
        </w:tc>
        <w:tc>
          <w:tcPr>
            <w:tcW w:w="1127" w:type="dxa"/>
            <w:tcBorders>
              <w:top w:val="nil"/>
              <w:bottom w:val="nil"/>
            </w:tcBorders>
            <w:shd w:val="clear" w:color="auto" w:fill="9BBB59" w:themeFill="accent3"/>
          </w:tcPr>
          <w:p w:rsidR="00A16443" w:rsidRPr="00DB43BB" w:rsidRDefault="00A16443" w:rsidP="009312B5">
            <w:pPr>
              <w:pStyle w:val="TableTextEntries"/>
              <w:jc w:val="center"/>
              <w:rPr>
                <w:color w:val="FFFFFF" w:themeColor="background1"/>
              </w:rPr>
            </w:pPr>
            <w:r w:rsidRPr="00DB43BB">
              <w:rPr>
                <w:color w:val="FFFFFF" w:themeColor="background1"/>
              </w:rPr>
              <w:t>Achieved</w:t>
            </w:r>
          </w:p>
        </w:tc>
        <w:tc>
          <w:tcPr>
            <w:tcW w:w="6875" w:type="dxa"/>
          </w:tcPr>
          <w:p w:rsidR="00A16443" w:rsidRPr="00962508" w:rsidRDefault="00A16443" w:rsidP="00A615A5">
            <w:pPr>
              <w:pStyle w:val="TableTextEntries"/>
            </w:pPr>
            <w:r w:rsidRPr="00962508">
              <w:t xml:space="preserve">The PRF adopted social safeguards and environmental guidelines as an organisation. It is also implementing disabled access strategies </w:t>
            </w:r>
            <w:r w:rsidR="00A615A5">
              <w:t>under</w:t>
            </w:r>
            <w:r w:rsidRPr="00962508">
              <w:t xml:space="preserve"> its community</w:t>
            </w:r>
            <w:r w:rsidR="00A615A5">
              <w:t>-</w:t>
            </w:r>
            <w:r w:rsidRPr="00962508">
              <w:t>driven approach.</w:t>
            </w:r>
          </w:p>
        </w:tc>
      </w:tr>
      <w:tr w:rsidR="00A16443" w:rsidRPr="00962508" w:rsidTr="009312B5">
        <w:tc>
          <w:tcPr>
            <w:tcW w:w="2235" w:type="dxa"/>
            <w:tcMar>
              <w:top w:w="57" w:type="dxa"/>
              <w:bottom w:w="57" w:type="dxa"/>
            </w:tcMar>
          </w:tcPr>
          <w:p w:rsidR="00A16443" w:rsidRPr="00962508" w:rsidRDefault="00A16443" w:rsidP="009312B5">
            <w:pPr>
              <w:pStyle w:val="TableTextEntries"/>
            </w:pPr>
            <w:r w:rsidRPr="00962508">
              <w:t>Human resource development</w:t>
            </w:r>
          </w:p>
        </w:tc>
        <w:tc>
          <w:tcPr>
            <w:tcW w:w="4677" w:type="dxa"/>
          </w:tcPr>
          <w:p w:rsidR="00A16443" w:rsidRPr="00962508" w:rsidRDefault="00A16443" w:rsidP="009312B5">
            <w:pPr>
              <w:pStyle w:val="TableTextEntries"/>
            </w:pPr>
            <w:r w:rsidRPr="00962508">
              <w:t>50 students (25 men and 25 women) awarded a tertiary scholarship to study in Australia</w:t>
            </w:r>
          </w:p>
        </w:tc>
        <w:tc>
          <w:tcPr>
            <w:tcW w:w="1127" w:type="dxa"/>
            <w:tcBorders>
              <w:top w:val="nil"/>
              <w:bottom w:val="nil"/>
            </w:tcBorders>
            <w:shd w:val="clear" w:color="auto" w:fill="9BBB59" w:themeFill="accent3"/>
          </w:tcPr>
          <w:p w:rsidR="00A16443" w:rsidRPr="00DB43BB" w:rsidRDefault="00A16443" w:rsidP="009312B5">
            <w:pPr>
              <w:pStyle w:val="TableTextEntries"/>
              <w:jc w:val="center"/>
              <w:rPr>
                <w:color w:val="FFFFFF" w:themeColor="background1"/>
              </w:rPr>
            </w:pPr>
            <w:r w:rsidRPr="00DB43BB">
              <w:rPr>
                <w:color w:val="FFFFFF" w:themeColor="background1"/>
              </w:rPr>
              <w:t>Achieved</w:t>
            </w:r>
          </w:p>
        </w:tc>
        <w:tc>
          <w:tcPr>
            <w:tcW w:w="6875" w:type="dxa"/>
          </w:tcPr>
          <w:p w:rsidR="00A16443" w:rsidRPr="00962508" w:rsidRDefault="00A16443" w:rsidP="009312B5">
            <w:pPr>
              <w:pStyle w:val="TableTextEntries"/>
            </w:pPr>
            <w:r w:rsidRPr="00962508">
              <w:t>The 2014-15 benchmarks for the AAS were achieved.  Gender parity was also achieved, and the target of 25 scholarships awarded to scholars from the public sector was realised.  Of these 50 awardees, 11 students obtained direct entry, commencing their studies in Australia in first semester 2015 or mid-year.  1 of the 11 students opted to withdraw and 40 are currently doing their pre-departure English language training at Vientiane College.</w:t>
            </w:r>
          </w:p>
        </w:tc>
      </w:tr>
      <w:tr w:rsidR="00A16443" w:rsidRPr="00962508" w:rsidTr="009312B5">
        <w:tc>
          <w:tcPr>
            <w:tcW w:w="2235" w:type="dxa"/>
            <w:tcMar>
              <w:top w:w="57" w:type="dxa"/>
              <w:bottom w:w="57" w:type="dxa"/>
            </w:tcMar>
          </w:tcPr>
          <w:p w:rsidR="00A16443" w:rsidRPr="00962508" w:rsidRDefault="00A16443" w:rsidP="009312B5">
            <w:pPr>
              <w:pStyle w:val="TableTextEntries"/>
              <w:rPr>
                <w:rFonts w:ascii="Times New Roman" w:hAnsi="Times New Roman"/>
                <w:sz w:val="20"/>
                <w:szCs w:val="20"/>
              </w:rPr>
            </w:pPr>
          </w:p>
        </w:tc>
        <w:tc>
          <w:tcPr>
            <w:tcW w:w="4677" w:type="dxa"/>
          </w:tcPr>
          <w:p w:rsidR="00A16443" w:rsidRPr="00962508" w:rsidRDefault="00A16443" w:rsidP="009312B5">
            <w:pPr>
              <w:pStyle w:val="TableTextEntries"/>
            </w:pPr>
            <w:r w:rsidRPr="00962508">
              <w:t>70 disadvantage students (35 men and 35 women) awarded a scholarship to study a bachelor deg</w:t>
            </w:r>
            <w:r>
              <w:t>ree in Lao public universities</w:t>
            </w:r>
          </w:p>
          <w:p w:rsidR="00A16443" w:rsidRPr="00962508" w:rsidRDefault="00A16443" w:rsidP="009312B5">
            <w:pPr>
              <w:pStyle w:val="TableTextEntries"/>
            </w:pPr>
          </w:p>
        </w:tc>
        <w:tc>
          <w:tcPr>
            <w:tcW w:w="1127" w:type="dxa"/>
            <w:tcBorders>
              <w:top w:val="nil"/>
              <w:bottom w:val="nil"/>
            </w:tcBorders>
            <w:shd w:val="clear" w:color="auto" w:fill="9BBB59" w:themeFill="accent3"/>
          </w:tcPr>
          <w:p w:rsidR="00A16443" w:rsidRPr="00DB43BB" w:rsidRDefault="00A16443" w:rsidP="009312B5">
            <w:pPr>
              <w:pStyle w:val="TableTextEntries"/>
              <w:jc w:val="center"/>
              <w:rPr>
                <w:color w:val="FFFFFF" w:themeColor="background1"/>
              </w:rPr>
            </w:pPr>
            <w:r w:rsidRPr="00DB43BB">
              <w:rPr>
                <w:color w:val="FFFFFF" w:themeColor="background1"/>
              </w:rPr>
              <w:t>Achieved</w:t>
            </w:r>
          </w:p>
        </w:tc>
        <w:tc>
          <w:tcPr>
            <w:tcW w:w="6875" w:type="dxa"/>
          </w:tcPr>
          <w:p w:rsidR="00A16443" w:rsidRPr="00962508" w:rsidRDefault="00A16443" w:rsidP="009312B5">
            <w:pPr>
              <w:pStyle w:val="TableTextEntries"/>
            </w:pPr>
            <w:r w:rsidRPr="00962508">
              <w:t xml:space="preserve">Number of Laos Australia National Scholarships (LANS) awarded in 2014 exceeded 2014-15 benchmarks.  74 new LANS students, 38 females and 36 males, commenced their studies at the National University of Laos in 2014.  Additional 4 scholarships were recommended by the Program Management Committee to replace 4 awardees from 2013 intakes who withdrew from the program.  </w:t>
            </w:r>
          </w:p>
        </w:tc>
      </w:tr>
    </w:tbl>
    <w:p w:rsidR="00416B02" w:rsidRPr="00962508" w:rsidRDefault="00416B02" w:rsidP="001B4B51">
      <w:pPr>
        <w:spacing w:after="200" w:line="276" w:lineRule="auto"/>
        <w:sectPr w:rsidR="00416B02" w:rsidRPr="00962508" w:rsidSect="001119C0">
          <w:headerReference w:type="even" r:id="rId29"/>
          <w:footerReference w:type="first" r:id="rId30"/>
          <w:footnotePr>
            <w:numRestart w:val="eachPage"/>
          </w:footnotePr>
          <w:pgSz w:w="16838" w:h="11906" w:orient="landscape" w:code="9"/>
          <w:pgMar w:top="1276" w:right="1440" w:bottom="1440" w:left="1440" w:header="709" w:footer="425" w:gutter="0"/>
          <w:cols w:space="708"/>
          <w:titlePg/>
          <w:docGrid w:linePitch="360"/>
        </w:sectPr>
      </w:pPr>
    </w:p>
    <w:bookmarkEnd w:id="1"/>
    <w:p w:rsidR="00416B02" w:rsidRPr="00962508" w:rsidRDefault="004F202A" w:rsidP="00BA6957">
      <w:pPr>
        <w:pStyle w:val="Heading2"/>
        <w:rPr>
          <w:i/>
          <w:sz w:val="28"/>
        </w:rPr>
      </w:pPr>
      <w:r w:rsidRPr="00962508">
        <w:rPr>
          <w:sz w:val="28"/>
        </w:rPr>
        <w:lastRenderedPageBreak/>
        <w:t xml:space="preserve">Annex </w:t>
      </w:r>
      <w:r w:rsidR="00B15145">
        <w:rPr>
          <w:sz w:val="28"/>
        </w:rPr>
        <w:t>D</w:t>
      </w:r>
      <w:r w:rsidR="0057490F" w:rsidRPr="00962508">
        <w:rPr>
          <w:sz w:val="28"/>
        </w:rPr>
        <w:t xml:space="preserve"> - </w:t>
      </w:r>
      <w:r w:rsidR="00416B02" w:rsidRPr="00962508">
        <w:rPr>
          <w:sz w:val="28"/>
        </w:rPr>
        <w:t>Evaluation and Review Pipeline Planning</w:t>
      </w:r>
    </w:p>
    <w:p w:rsidR="00416B02" w:rsidRPr="00962508" w:rsidRDefault="00416B02" w:rsidP="00BA6957">
      <w:pPr>
        <w:pStyle w:val="Heading3"/>
      </w:pPr>
      <w:r w:rsidRPr="00962508">
        <w:t xml:space="preserve">List of evaluations completed in the reporting period </w:t>
      </w:r>
    </w:p>
    <w:tbl>
      <w:tblPr>
        <w:tblStyle w:val="APPR"/>
        <w:tblW w:w="0" w:type="auto"/>
        <w:tblLook w:val="04A0" w:firstRow="1" w:lastRow="0" w:firstColumn="1" w:lastColumn="0" w:noHBand="0" w:noVBand="1"/>
        <w:tblCaption w:val="List of evaluations completed in the reporting period"/>
        <w:tblDescription w:val="This table lists evaluations completed during financial year 2014-15.  It shows the name of investment,  the AidWorks number, the name of evaluation, the date finalised, the date the evaluation report was uploaded into AidWorks, the date a management response was uploaded into AidWorks, and the date it was published on DFAT’s website."/>
      </w:tblPr>
      <w:tblGrid>
        <w:gridCol w:w="1941"/>
        <w:gridCol w:w="1225"/>
        <w:gridCol w:w="3808"/>
        <w:gridCol w:w="1118"/>
        <w:gridCol w:w="2244"/>
        <w:gridCol w:w="2537"/>
        <w:gridCol w:w="1357"/>
      </w:tblGrid>
      <w:tr w:rsidR="00416B02" w:rsidRPr="00962508" w:rsidTr="00753EC8">
        <w:trPr>
          <w:cnfStyle w:val="100000000000" w:firstRow="1" w:lastRow="0" w:firstColumn="0" w:lastColumn="0" w:oddVBand="0" w:evenVBand="0" w:oddHBand="0" w:evenHBand="0" w:firstRowFirstColumn="0" w:firstRowLastColumn="0" w:lastRowFirstColumn="0" w:lastRowLastColumn="0"/>
        </w:trPr>
        <w:tc>
          <w:tcPr>
            <w:tcW w:w="0" w:type="auto"/>
          </w:tcPr>
          <w:p w:rsidR="00416B02" w:rsidRPr="00962508" w:rsidRDefault="00416B02" w:rsidP="00BA6957">
            <w:pPr>
              <w:pStyle w:val="TableTextColumnHeading"/>
              <w:rPr>
                <w:b/>
              </w:rPr>
            </w:pPr>
            <w:r w:rsidRPr="00962508">
              <w:rPr>
                <w:b/>
              </w:rPr>
              <w:t>Name of Investment</w:t>
            </w:r>
          </w:p>
        </w:tc>
        <w:tc>
          <w:tcPr>
            <w:tcW w:w="0" w:type="auto"/>
          </w:tcPr>
          <w:p w:rsidR="00416B02" w:rsidRPr="00962508" w:rsidRDefault="00136CC1" w:rsidP="00BA6957">
            <w:pPr>
              <w:pStyle w:val="TableTextColumnHeading"/>
              <w:rPr>
                <w:b/>
              </w:rPr>
            </w:pPr>
            <w:r w:rsidRPr="00962508">
              <w:rPr>
                <w:b/>
              </w:rPr>
              <w:t>AidWorks</w:t>
            </w:r>
            <w:r w:rsidR="00416B02" w:rsidRPr="00962508">
              <w:rPr>
                <w:b/>
              </w:rPr>
              <w:t xml:space="preserve"> number</w:t>
            </w:r>
          </w:p>
        </w:tc>
        <w:tc>
          <w:tcPr>
            <w:tcW w:w="0" w:type="auto"/>
          </w:tcPr>
          <w:p w:rsidR="00416B02" w:rsidRPr="00962508" w:rsidRDefault="00416B02" w:rsidP="00BA6957">
            <w:pPr>
              <w:pStyle w:val="TableTextColumnHeading"/>
              <w:rPr>
                <w:b/>
              </w:rPr>
            </w:pPr>
            <w:r w:rsidRPr="00962508">
              <w:rPr>
                <w:b/>
              </w:rPr>
              <w:t>Name of evaluation</w:t>
            </w:r>
          </w:p>
        </w:tc>
        <w:tc>
          <w:tcPr>
            <w:tcW w:w="0" w:type="auto"/>
          </w:tcPr>
          <w:p w:rsidR="00416B02" w:rsidRPr="00962508" w:rsidRDefault="00416B02" w:rsidP="00BA6957">
            <w:pPr>
              <w:pStyle w:val="TableTextColumnHeading"/>
              <w:rPr>
                <w:b/>
              </w:rPr>
            </w:pPr>
            <w:r w:rsidRPr="00962508">
              <w:rPr>
                <w:b/>
              </w:rPr>
              <w:t>Date finalised</w:t>
            </w:r>
          </w:p>
        </w:tc>
        <w:tc>
          <w:tcPr>
            <w:tcW w:w="0" w:type="auto"/>
          </w:tcPr>
          <w:p w:rsidR="00416B02" w:rsidRPr="00962508" w:rsidRDefault="00416B02" w:rsidP="00BA6957">
            <w:pPr>
              <w:pStyle w:val="TableTextColumnHeading"/>
              <w:rPr>
                <w:b/>
              </w:rPr>
            </w:pPr>
            <w:r w:rsidRPr="00962508">
              <w:rPr>
                <w:b/>
              </w:rPr>
              <w:t xml:space="preserve">Date Evaluation report Uploaded into </w:t>
            </w:r>
            <w:r w:rsidR="00136CC1" w:rsidRPr="00962508">
              <w:rPr>
                <w:b/>
              </w:rPr>
              <w:t>AidWorks</w:t>
            </w:r>
          </w:p>
        </w:tc>
        <w:tc>
          <w:tcPr>
            <w:tcW w:w="0" w:type="auto"/>
          </w:tcPr>
          <w:p w:rsidR="00416B02" w:rsidRPr="00962508" w:rsidRDefault="00416B02" w:rsidP="00BA6957">
            <w:pPr>
              <w:pStyle w:val="TableTextColumnHeading"/>
              <w:rPr>
                <w:b/>
              </w:rPr>
            </w:pPr>
            <w:r w:rsidRPr="00962508">
              <w:rPr>
                <w:b/>
              </w:rPr>
              <w:t xml:space="preserve">Date Management response uploaded into </w:t>
            </w:r>
            <w:r w:rsidR="00136CC1" w:rsidRPr="00962508">
              <w:rPr>
                <w:b/>
              </w:rPr>
              <w:t>AidWorks</w:t>
            </w:r>
          </w:p>
        </w:tc>
        <w:tc>
          <w:tcPr>
            <w:tcW w:w="0" w:type="auto"/>
          </w:tcPr>
          <w:p w:rsidR="00416B02" w:rsidRPr="00962508" w:rsidRDefault="00416B02" w:rsidP="00BA6957">
            <w:pPr>
              <w:pStyle w:val="TableTextColumnHeading"/>
              <w:rPr>
                <w:b/>
              </w:rPr>
            </w:pPr>
            <w:r w:rsidRPr="00962508">
              <w:rPr>
                <w:b/>
              </w:rPr>
              <w:t>Published on website</w:t>
            </w:r>
          </w:p>
        </w:tc>
      </w:tr>
      <w:tr w:rsidR="00416B02" w:rsidRPr="00962508" w:rsidTr="00753EC8">
        <w:trPr>
          <w:cnfStyle w:val="100000000000" w:firstRow="1" w:lastRow="0" w:firstColumn="0" w:lastColumn="0" w:oddVBand="0" w:evenVBand="0" w:oddHBand="0" w:evenHBand="0" w:firstRowFirstColumn="0" w:firstRowLastColumn="0" w:lastRowFirstColumn="0" w:lastRowLastColumn="0"/>
        </w:trPr>
        <w:tc>
          <w:tcPr>
            <w:tcW w:w="0" w:type="auto"/>
          </w:tcPr>
          <w:p w:rsidR="00416B02" w:rsidRPr="00962508" w:rsidRDefault="00587998" w:rsidP="00BA6957">
            <w:pPr>
              <w:pStyle w:val="TableTextEntries"/>
              <w:rPr>
                <w:b w:val="0"/>
              </w:rPr>
            </w:pPr>
            <w:r w:rsidRPr="00962508">
              <w:rPr>
                <w:b w:val="0"/>
              </w:rPr>
              <w:t>Education For All Fast Track Initiative</w:t>
            </w:r>
          </w:p>
        </w:tc>
        <w:tc>
          <w:tcPr>
            <w:tcW w:w="0" w:type="auto"/>
          </w:tcPr>
          <w:p w:rsidR="00416B02" w:rsidRPr="00962508" w:rsidRDefault="00587998" w:rsidP="00BA6957">
            <w:pPr>
              <w:pStyle w:val="TableTextEntries"/>
              <w:rPr>
                <w:b w:val="0"/>
              </w:rPr>
            </w:pPr>
            <w:r w:rsidRPr="00962508">
              <w:rPr>
                <w:b w:val="0"/>
              </w:rPr>
              <w:t>INJ396</w:t>
            </w:r>
          </w:p>
        </w:tc>
        <w:tc>
          <w:tcPr>
            <w:tcW w:w="0" w:type="auto"/>
          </w:tcPr>
          <w:p w:rsidR="00416B02" w:rsidRPr="00962508" w:rsidRDefault="00587998" w:rsidP="00BA6957">
            <w:pPr>
              <w:pStyle w:val="TableTextEntries"/>
              <w:rPr>
                <w:b w:val="0"/>
              </w:rPr>
            </w:pPr>
            <w:r w:rsidRPr="00962508">
              <w:rPr>
                <w:b w:val="0"/>
              </w:rPr>
              <w:t>EFA-FTI Program Evaluation: An End-of-Project Evaluation on the Five Quality Sub-Components</w:t>
            </w:r>
          </w:p>
        </w:tc>
        <w:tc>
          <w:tcPr>
            <w:tcW w:w="0" w:type="auto"/>
          </w:tcPr>
          <w:p w:rsidR="00416B02" w:rsidRPr="00962508" w:rsidRDefault="00587998" w:rsidP="00BA6957">
            <w:pPr>
              <w:pStyle w:val="TableTextEntries"/>
              <w:rPr>
                <w:b w:val="0"/>
              </w:rPr>
            </w:pPr>
            <w:r w:rsidRPr="00962508">
              <w:rPr>
                <w:b w:val="0"/>
              </w:rPr>
              <w:t>01 August 2014</w:t>
            </w:r>
          </w:p>
        </w:tc>
        <w:tc>
          <w:tcPr>
            <w:tcW w:w="0" w:type="auto"/>
          </w:tcPr>
          <w:p w:rsidR="00416B02" w:rsidRPr="00962508" w:rsidRDefault="00587998" w:rsidP="00BA6957">
            <w:pPr>
              <w:pStyle w:val="TableTextEntries"/>
              <w:rPr>
                <w:b w:val="0"/>
              </w:rPr>
            </w:pPr>
            <w:r w:rsidRPr="00962508">
              <w:rPr>
                <w:b w:val="0"/>
              </w:rPr>
              <w:t>27 February 2015</w:t>
            </w:r>
          </w:p>
        </w:tc>
        <w:tc>
          <w:tcPr>
            <w:tcW w:w="0" w:type="auto"/>
          </w:tcPr>
          <w:p w:rsidR="00416B02" w:rsidRPr="00962508" w:rsidRDefault="00587998" w:rsidP="00BA6957">
            <w:pPr>
              <w:pStyle w:val="TableTextEntries"/>
              <w:rPr>
                <w:b w:val="0"/>
              </w:rPr>
            </w:pPr>
            <w:r w:rsidRPr="00962508">
              <w:rPr>
                <w:b w:val="0"/>
              </w:rPr>
              <w:t>04 May 2015</w:t>
            </w:r>
          </w:p>
        </w:tc>
        <w:tc>
          <w:tcPr>
            <w:tcW w:w="0" w:type="auto"/>
          </w:tcPr>
          <w:p w:rsidR="00416B02" w:rsidRPr="00962508" w:rsidRDefault="00416B02" w:rsidP="00BA6957">
            <w:pPr>
              <w:pStyle w:val="TableTextEntries"/>
              <w:rPr>
                <w:b w:val="0"/>
              </w:rPr>
            </w:pPr>
          </w:p>
        </w:tc>
      </w:tr>
      <w:tr w:rsidR="00416B02" w:rsidRPr="00962508" w:rsidTr="00753EC8">
        <w:trPr>
          <w:cnfStyle w:val="100000000000" w:firstRow="1" w:lastRow="0" w:firstColumn="0" w:lastColumn="0" w:oddVBand="0" w:evenVBand="0" w:oddHBand="0" w:evenHBand="0" w:firstRowFirstColumn="0" w:firstRowLastColumn="0" w:lastRowFirstColumn="0" w:lastRowLastColumn="0"/>
        </w:trPr>
        <w:tc>
          <w:tcPr>
            <w:tcW w:w="0" w:type="auto"/>
          </w:tcPr>
          <w:p w:rsidR="00416B02" w:rsidRPr="00962508" w:rsidRDefault="00587998" w:rsidP="00BA6957">
            <w:pPr>
              <w:pStyle w:val="TableTextEntries"/>
              <w:rPr>
                <w:b w:val="0"/>
              </w:rPr>
            </w:pPr>
            <w:r w:rsidRPr="00962508">
              <w:rPr>
                <w:b w:val="0"/>
              </w:rPr>
              <w:t>Laos-NGO Cooperation Agreements</w:t>
            </w:r>
          </w:p>
        </w:tc>
        <w:tc>
          <w:tcPr>
            <w:tcW w:w="0" w:type="auto"/>
          </w:tcPr>
          <w:p w:rsidR="00416B02" w:rsidRPr="00962508" w:rsidRDefault="00587998" w:rsidP="00BA6957">
            <w:pPr>
              <w:pStyle w:val="TableTextEntries"/>
              <w:rPr>
                <w:b w:val="0"/>
              </w:rPr>
            </w:pPr>
            <w:r w:rsidRPr="00962508">
              <w:rPr>
                <w:b w:val="0"/>
              </w:rPr>
              <w:t>ING310</w:t>
            </w:r>
          </w:p>
        </w:tc>
        <w:tc>
          <w:tcPr>
            <w:tcW w:w="0" w:type="auto"/>
          </w:tcPr>
          <w:p w:rsidR="00416B02" w:rsidRPr="00962508" w:rsidRDefault="00587998" w:rsidP="00BA6957">
            <w:pPr>
              <w:pStyle w:val="TableTextEntries"/>
              <w:rPr>
                <w:b w:val="0"/>
              </w:rPr>
            </w:pPr>
            <w:r w:rsidRPr="00962508">
              <w:rPr>
                <w:b w:val="0"/>
              </w:rPr>
              <w:t>Laos Australia NGO Cooperation Agreement Program Final Evaluation</w:t>
            </w:r>
          </w:p>
        </w:tc>
        <w:tc>
          <w:tcPr>
            <w:tcW w:w="0" w:type="auto"/>
          </w:tcPr>
          <w:p w:rsidR="00416B02" w:rsidRPr="00962508" w:rsidRDefault="00587998" w:rsidP="00BA6957">
            <w:pPr>
              <w:pStyle w:val="TableTextEntries"/>
              <w:rPr>
                <w:b w:val="0"/>
              </w:rPr>
            </w:pPr>
            <w:r w:rsidRPr="00962508">
              <w:rPr>
                <w:b w:val="0"/>
              </w:rPr>
              <w:t>31 July 2014</w:t>
            </w:r>
          </w:p>
        </w:tc>
        <w:tc>
          <w:tcPr>
            <w:tcW w:w="0" w:type="auto"/>
          </w:tcPr>
          <w:p w:rsidR="00416B02" w:rsidRPr="00962508" w:rsidRDefault="00587998" w:rsidP="00BA6957">
            <w:pPr>
              <w:pStyle w:val="TableTextEntries"/>
              <w:rPr>
                <w:b w:val="0"/>
              </w:rPr>
            </w:pPr>
            <w:r w:rsidRPr="00962508">
              <w:rPr>
                <w:b w:val="0"/>
              </w:rPr>
              <w:t>09 September 2014</w:t>
            </w:r>
          </w:p>
        </w:tc>
        <w:tc>
          <w:tcPr>
            <w:tcW w:w="0" w:type="auto"/>
          </w:tcPr>
          <w:p w:rsidR="00416B02" w:rsidRPr="00962508" w:rsidRDefault="00416B02" w:rsidP="00BA6957">
            <w:pPr>
              <w:pStyle w:val="TableTextEntries"/>
              <w:rPr>
                <w:b w:val="0"/>
              </w:rPr>
            </w:pPr>
          </w:p>
        </w:tc>
        <w:tc>
          <w:tcPr>
            <w:tcW w:w="0" w:type="auto"/>
          </w:tcPr>
          <w:p w:rsidR="00416B02" w:rsidRPr="00962508" w:rsidRDefault="00587998" w:rsidP="00BA6957">
            <w:pPr>
              <w:pStyle w:val="TableTextEntries"/>
              <w:rPr>
                <w:b w:val="0"/>
              </w:rPr>
            </w:pPr>
            <w:r w:rsidRPr="00962508">
              <w:rPr>
                <w:b w:val="0"/>
              </w:rPr>
              <w:t>31 July 2014</w:t>
            </w:r>
          </w:p>
        </w:tc>
      </w:tr>
    </w:tbl>
    <w:p w:rsidR="00416B02" w:rsidRPr="00962508" w:rsidRDefault="00416B02" w:rsidP="00BA6957">
      <w:pPr>
        <w:rPr>
          <w:b/>
        </w:rPr>
      </w:pPr>
    </w:p>
    <w:p w:rsidR="00416B02" w:rsidRPr="00962508" w:rsidRDefault="00416B02" w:rsidP="00BA6957">
      <w:pPr>
        <w:pStyle w:val="Heading3"/>
      </w:pPr>
      <w:r w:rsidRPr="00962508">
        <w:t xml:space="preserve">List of evaluations planned in the next 12 months </w:t>
      </w:r>
    </w:p>
    <w:p w:rsidR="00416B02" w:rsidRPr="00962508" w:rsidRDefault="00416B02" w:rsidP="00BA6957">
      <w:pPr>
        <w:pStyle w:val="TableTextColumnHeading"/>
        <w:sectPr w:rsidR="00416B02" w:rsidRPr="00962508" w:rsidSect="00603A3B">
          <w:headerReference w:type="even" r:id="rId31"/>
          <w:footerReference w:type="first" r:id="rId32"/>
          <w:pgSz w:w="16838" w:h="11906" w:orient="landscape" w:code="9"/>
          <w:pgMar w:top="1440" w:right="1440" w:bottom="1440" w:left="1440" w:header="709" w:footer="425" w:gutter="0"/>
          <w:cols w:space="708"/>
          <w:docGrid w:linePitch="360"/>
        </w:sectPr>
      </w:pPr>
    </w:p>
    <w:tbl>
      <w:tblPr>
        <w:tblStyle w:val="APPR"/>
        <w:tblW w:w="0" w:type="auto"/>
        <w:tblLook w:val="0600" w:firstRow="0" w:lastRow="0" w:firstColumn="0" w:lastColumn="0" w:noHBand="1" w:noVBand="1"/>
        <w:tblCaption w:val="List of evaluations planned in the next 12 months"/>
        <w:tblDescription w:val="This table lists evaluations expected to be undertaken in financial year 2015-16.  It shows the name of the investment, the investment’s AidWorks number, the type of evaluation planned, the purpose of the evaluation, and the expected completion date of the evaluation."/>
      </w:tblPr>
      <w:tblGrid>
        <w:gridCol w:w="2595"/>
        <w:gridCol w:w="1245"/>
        <w:gridCol w:w="1779"/>
        <w:gridCol w:w="7007"/>
        <w:gridCol w:w="1604"/>
      </w:tblGrid>
      <w:tr w:rsidR="00416B02" w:rsidRPr="00962508" w:rsidTr="00753EC8">
        <w:tc>
          <w:tcPr>
            <w:tcW w:w="0" w:type="auto"/>
          </w:tcPr>
          <w:p w:rsidR="00416B02" w:rsidRPr="00962508" w:rsidRDefault="00416B02" w:rsidP="00BA6957">
            <w:pPr>
              <w:pStyle w:val="TableTextColumnHeading"/>
            </w:pPr>
            <w:r w:rsidRPr="00962508">
              <w:lastRenderedPageBreak/>
              <w:t>Name of Investment</w:t>
            </w:r>
          </w:p>
        </w:tc>
        <w:tc>
          <w:tcPr>
            <w:tcW w:w="0" w:type="auto"/>
          </w:tcPr>
          <w:p w:rsidR="00416B02" w:rsidRPr="00962508" w:rsidRDefault="00136CC1" w:rsidP="00BA6957">
            <w:pPr>
              <w:pStyle w:val="TableTextColumnHeading"/>
            </w:pPr>
            <w:r w:rsidRPr="00962508">
              <w:t>AidWorks</w:t>
            </w:r>
            <w:r w:rsidR="00416B02" w:rsidRPr="00962508">
              <w:t xml:space="preserve"> number</w:t>
            </w:r>
          </w:p>
        </w:tc>
        <w:tc>
          <w:tcPr>
            <w:tcW w:w="0" w:type="auto"/>
          </w:tcPr>
          <w:p w:rsidR="00416B02" w:rsidRPr="00962508" w:rsidRDefault="00416B02" w:rsidP="00BA6957">
            <w:pPr>
              <w:pStyle w:val="TableTextColumnHeading"/>
            </w:pPr>
            <w:r w:rsidRPr="00962508">
              <w:t>Type of evaluation</w:t>
            </w:r>
          </w:p>
        </w:tc>
        <w:tc>
          <w:tcPr>
            <w:tcW w:w="0" w:type="auto"/>
          </w:tcPr>
          <w:p w:rsidR="00416B02" w:rsidRPr="00962508" w:rsidRDefault="00416B02" w:rsidP="00BA6957">
            <w:pPr>
              <w:pStyle w:val="TableTextColumnHeading"/>
            </w:pPr>
            <w:r w:rsidRPr="00962508">
              <w:t>Purpose of evaluation</w:t>
            </w:r>
          </w:p>
        </w:tc>
        <w:tc>
          <w:tcPr>
            <w:tcW w:w="0" w:type="auto"/>
          </w:tcPr>
          <w:p w:rsidR="00416B02" w:rsidRPr="00962508" w:rsidRDefault="00416B02" w:rsidP="00BA6957">
            <w:pPr>
              <w:pStyle w:val="TableTextColumnHeading"/>
            </w:pPr>
            <w:r w:rsidRPr="00962508">
              <w:t>Expected completion date</w:t>
            </w:r>
          </w:p>
        </w:tc>
      </w:tr>
      <w:tr w:rsidR="00416B02" w:rsidRPr="00962508" w:rsidTr="00753EC8">
        <w:tc>
          <w:tcPr>
            <w:tcW w:w="0" w:type="auto"/>
          </w:tcPr>
          <w:p w:rsidR="00416B02" w:rsidRPr="00962508" w:rsidRDefault="007E4EF7" w:rsidP="00BA6957">
            <w:pPr>
              <w:pStyle w:val="TableTextEntries"/>
            </w:pPr>
            <w:r w:rsidRPr="00962508">
              <w:t>Basic Education School Meals and WATSAN Program</w:t>
            </w:r>
          </w:p>
        </w:tc>
        <w:tc>
          <w:tcPr>
            <w:tcW w:w="0" w:type="auto"/>
          </w:tcPr>
          <w:p w:rsidR="00416B02" w:rsidRPr="00962508" w:rsidRDefault="007E4EF7" w:rsidP="00BA6957">
            <w:pPr>
              <w:pStyle w:val="TableTextEntries"/>
            </w:pPr>
            <w:r w:rsidRPr="00962508">
              <w:t>INK284</w:t>
            </w:r>
          </w:p>
        </w:tc>
        <w:tc>
          <w:tcPr>
            <w:tcW w:w="0" w:type="auto"/>
          </w:tcPr>
          <w:p w:rsidR="00416B02" w:rsidRPr="00962508" w:rsidRDefault="007E4EF7" w:rsidP="00BA6957">
            <w:pPr>
              <w:pStyle w:val="TableTextEntries"/>
            </w:pPr>
            <w:r w:rsidRPr="00962508">
              <w:t>Independent Mid Term Review</w:t>
            </w:r>
          </w:p>
        </w:tc>
        <w:tc>
          <w:tcPr>
            <w:tcW w:w="0" w:type="auto"/>
          </w:tcPr>
          <w:p w:rsidR="00416B02" w:rsidRPr="00962508" w:rsidRDefault="007E4EF7" w:rsidP="00BA6957">
            <w:pPr>
              <w:pStyle w:val="TableTextEntries"/>
              <w:rPr>
                <w:color w:val="000000" w:themeColor="text1" w:themeShade="BF"/>
              </w:rPr>
            </w:pPr>
            <w:r w:rsidRPr="00962508">
              <w:t>Assess progress and quality of implementation; provide recommendations to improve effectiveness and efficiency.</w:t>
            </w:r>
          </w:p>
        </w:tc>
        <w:tc>
          <w:tcPr>
            <w:tcW w:w="0" w:type="auto"/>
          </w:tcPr>
          <w:p w:rsidR="00416B02" w:rsidRPr="00962508" w:rsidRDefault="007E4EF7" w:rsidP="00BA6957">
            <w:pPr>
              <w:pStyle w:val="TableTextEntries"/>
            </w:pPr>
            <w:r w:rsidRPr="00962508">
              <w:t>December 2015</w:t>
            </w:r>
          </w:p>
        </w:tc>
      </w:tr>
      <w:tr w:rsidR="00416B02" w:rsidRPr="00962508" w:rsidTr="00753EC8">
        <w:tc>
          <w:tcPr>
            <w:tcW w:w="0" w:type="auto"/>
          </w:tcPr>
          <w:p w:rsidR="00416B02" w:rsidRPr="00962508" w:rsidRDefault="007E4EF7" w:rsidP="00BA6957">
            <w:pPr>
              <w:pStyle w:val="TableTextEntries"/>
            </w:pPr>
            <w:r w:rsidRPr="00962508">
              <w:t>Laos-Australia Institute</w:t>
            </w:r>
          </w:p>
        </w:tc>
        <w:tc>
          <w:tcPr>
            <w:tcW w:w="0" w:type="auto"/>
          </w:tcPr>
          <w:p w:rsidR="00416B02" w:rsidRPr="00962508" w:rsidRDefault="007E4EF7" w:rsidP="00BA6957">
            <w:pPr>
              <w:pStyle w:val="TableTextEntries"/>
            </w:pPr>
            <w:r w:rsidRPr="00962508">
              <w:t>INK562</w:t>
            </w:r>
          </w:p>
        </w:tc>
        <w:tc>
          <w:tcPr>
            <w:tcW w:w="0" w:type="auto"/>
          </w:tcPr>
          <w:p w:rsidR="00416B02" w:rsidRPr="00962508" w:rsidRDefault="007E4EF7" w:rsidP="00BA6957">
            <w:pPr>
              <w:pStyle w:val="TableTextEntries"/>
            </w:pPr>
            <w:r w:rsidRPr="00962508">
              <w:t>Independent Mid Term Review</w:t>
            </w:r>
          </w:p>
        </w:tc>
        <w:tc>
          <w:tcPr>
            <w:tcW w:w="0" w:type="auto"/>
          </w:tcPr>
          <w:p w:rsidR="00416B02" w:rsidRPr="00D44D1D" w:rsidRDefault="007E4EF7" w:rsidP="00BA6957">
            <w:pPr>
              <w:pStyle w:val="TableTextEntries"/>
            </w:pPr>
            <w:r w:rsidRPr="00D44D1D">
              <w:t>Evaluate progress and effectiveness. Identify directions for Phase 2.</w:t>
            </w:r>
          </w:p>
        </w:tc>
        <w:tc>
          <w:tcPr>
            <w:tcW w:w="0" w:type="auto"/>
          </w:tcPr>
          <w:p w:rsidR="00416B02" w:rsidRPr="00D44D1D" w:rsidRDefault="007E4EF7" w:rsidP="00BA6957">
            <w:pPr>
              <w:pStyle w:val="TableTextEntries"/>
            </w:pPr>
            <w:r w:rsidRPr="00D44D1D">
              <w:t>April 201</w:t>
            </w:r>
            <w:r w:rsidR="00D44D1D" w:rsidRPr="00D44D1D">
              <w:t>6</w:t>
            </w:r>
          </w:p>
        </w:tc>
      </w:tr>
      <w:tr w:rsidR="007E4EF7" w:rsidRPr="00962508" w:rsidTr="00753EC8">
        <w:tc>
          <w:tcPr>
            <w:tcW w:w="0" w:type="auto"/>
          </w:tcPr>
          <w:p w:rsidR="007E4EF7" w:rsidRPr="00962508" w:rsidRDefault="007E4EF7" w:rsidP="00BA6957">
            <w:pPr>
              <w:pStyle w:val="TableTextEntries"/>
            </w:pPr>
            <w:r w:rsidRPr="00962508">
              <w:t>Laos Australia Rural Livelihoods Program</w:t>
            </w:r>
          </w:p>
        </w:tc>
        <w:tc>
          <w:tcPr>
            <w:tcW w:w="0" w:type="auto"/>
          </w:tcPr>
          <w:p w:rsidR="007E4EF7" w:rsidRPr="00962508" w:rsidRDefault="007E4EF7" w:rsidP="00BA6957">
            <w:pPr>
              <w:pStyle w:val="TableTextEntries"/>
            </w:pPr>
            <w:r w:rsidRPr="00962508">
              <w:t>INK391</w:t>
            </w:r>
          </w:p>
        </w:tc>
        <w:tc>
          <w:tcPr>
            <w:tcW w:w="0" w:type="auto"/>
          </w:tcPr>
          <w:p w:rsidR="007E4EF7" w:rsidRPr="00962508" w:rsidRDefault="007E4EF7" w:rsidP="00BA6957">
            <w:pPr>
              <w:pStyle w:val="TableTextEntries"/>
            </w:pPr>
            <w:r w:rsidRPr="00962508">
              <w:t>Independent Final Evaluation</w:t>
            </w:r>
          </w:p>
        </w:tc>
        <w:tc>
          <w:tcPr>
            <w:tcW w:w="0" w:type="auto"/>
          </w:tcPr>
          <w:p w:rsidR="007E4EF7" w:rsidRPr="00962508" w:rsidRDefault="007E4EF7" w:rsidP="00BA6957">
            <w:pPr>
              <w:pStyle w:val="TableTextEntries"/>
            </w:pPr>
            <w:r w:rsidRPr="00962508">
              <w:t>Assess overall program performance, achievements and lessons learned.</w:t>
            </w:r>
          </w:p>
        </w:tc>
        <w:tc>
          <w:tcPr>
            <w:tcW w:w="0" w:type="auto"/>
          </w:tcPr>
          <w:p w:rsidR="007E4EF7" w:rsidRPr="00962508" w:rsidRDefault="007E4EF7" w:rsidP="00BA6957">
            <w:pPr>
              <w:pStyle w:val="TableTextEntries"/>
            </w:pPr>
            <w:r w:rsidRPr="00962508">
              <w:t>July 2016</w:t>
            </w:r>
          </w:p>
        </w:tc>
      </w:tr>
      <w:tr w:rsidR="007E4EF7" w:rsidRPr="00962508" w:rsidTr="00753EC8">
        <w:tc>
          <w:tcPr>
            <w:tcW w:w="0" w:type="auto"/>
          </w:tcPr>
          <w:p w:rsidR="007E4EF7" w:rsidRPr="00962508" w:rsidRDefault="007E4EF7" w:rsidP="00BA6957">
            <w:pPr>
              <w:pStyle w:val="TableTextEntries"/>
            </w:pPr>
            <w:r w:rsidRPr="00962508">
              <w:t>Poverty Reduction Fund, Phase II</w:t>
            </w:r>
          </w:p>
        </w:tc>
        <w:tc>
          <w:tcPr>
            <w:tcW w:w="0" w:type="auto"/>
          </w:tcPr>
          <w:p w:rsidR="007E4EF7" w:rsidRPr="00962508" w:rsidRDefault="007E4EF7" w:rsidP="00BA6957">
            <w:pPr>
              <w:pStyle w:val="TableTextEntries"/>
            </w:pPr>
            <w:r w:rsidRPr="00962508">
              <w:t>INJ573</w:t>
            </w:r>
          </w:p>
        </w:tc>
        <w:tc>
          <w:tcPr>
            <w:tcW w:w="0" w:type="auto"/>
          </w:tcPr>
          <w:p w:rsidR="007E4EF7" w:rsidRPr="00962508" w:rsidRDefault="007E4EF7" w:rsidP="00BA6957">
            <w:pPr>
              <w:pStyle w:val="TableTextEntries"/>
            </w:pPr>
            <w:r w:rsidRPr="00962508">
              <w:t>Partner-led Impact Evaluation</w:t>
            </w:r>
          </w:p>
        </w:tc>
        <w:tc>
          <w:tcPr>
            <w:tcW w:w="0" w:type="auto"/>
          </w:tcPr>
          <w:p w:rsidR="007E4EF7" w:rsidRPr="00962508" w:rsidRDefault="007E4EF7" w:rsidP="00BA6957">
            <w:pPr>
              <w:pStyle w:val="TableTextEntries"/>
            </w:pPr>
            <w:r w:rsidRPr="00962508">
              <w:t>Assess the impacts of the program on access to health and education services, clean water, all-weather roads, and perception of and satisfaction with the above services and</w:t>
            </w:r>
          </w:p>
        </w:tc>
        <w:tc>
          <w:tcPr>
            <w:tcW w:w="0" w:type="auto"/>
          </w:tcPr>
          <w:p w:rsidR="007E4EF7" w:rsidRPr="00962508" w:rsidRDefault="007E4EF7" w:rsidP="00BA6957">
            <w:pPr>
              <w:pStyle w:val="TableTextEntries"/>
            </w:pPr>
            <w:r w:rsidRPr="00962508">
              <w:t>February 2016</w:t>
            </w:r>
          </w:p>
        </w:tc>
      </w:tr>
      <w:tr w:rsidR="007E4EF7" w:rsidRPr="00962508" w:rsidTr="00753EC8">
        <w:tc>
          <w:tcPr>
            <w:tcW w:w="0" w:type="auto"/>
          </w:tcPr>
          <w:p w:rsidR="007E4EF7" w:rsidRPr="00962508" w:rsidRDefault="007E4EF7" w:rsidP="00BA6957">
            <w:pPr>
              <w:pStyle w:val="TableTextEntries"/>
            </w:pPr>
            <w:r w:rsidRPr="00962508">
              <w:t>Trade Development Facility II</w:t>
            </w:r>
          </w:p>
        </w:tc>
        <w:tc>
          <w:tcPr>
            <w:tcW w:w="0" w:type="auto"/>
          </w:tcPr>
          <w:p w:rsidR="007E4EF7" w:rsidRPr="00962508" w:rsidRDefault="007E4EF7" w:rsidP="00BA6957">
            <w:pPr>
              <w:pStyle w:val="TableTextEntries"/>
            </w:pPr>
            <w:r w:rsidRPr="00962508">
              <w:t>INH726</w:t>
            </w:r>
          </w:p>
        </w:tc>
        <w:tc>
          <w:tcPr>
            <w:tcW w:w="0" w:type="auto"/>
          </w:tcPr>
          <w:p w:rsidR="007E4EF7" w:rsidRPr="00962508" w:rsidRDefault="007E4EF7" w:rsidP="00BA6957">
            <w:pPr>
              <w:pStyle w:val="TableTextEntries"/>
            </w:pPr>
            <w:r w:rsidRPr="00962508">
              <w:t>Partner-led Mid Term Review</w:t>
            </w:r>
          </w:p>
        </w:tc>
        <w:tc>
          <w:tcPr>
            <w:tcW w:w="0" w:type="auto"/>
          </w:tcPr>
          <w:p w:rsidR="007E4EF7" w:rsidRPr="00962508" w:rsidRDefault="007E4EF7" w:rsidP="00BA6957">
            <w:pPr>
              <w:pStyle w:val="TableTextEntries"/>
            </w:pPr>
            <w:r w:rsidRPr="00962508">
              <w:t>Track progress and identify new priorities.</w:t>
            </w:r>
          </w:p>
        </w:tc>
        <w:tc>
          <w:tcPr>
            <w:tcW w:w="0" w:type="auto"/>
          </w:tcPr>
          <w:p w:rsidR="007E4EF7" w:rsidRPr="00962508" w:rsidRDefault="007E4EF7" w:rsidP="00BA6957">
            <w:pPr>
              <w:pStyle w:val="TableTextEntries"/>
            </w:pPr>
            <w:r w:rsidRPr="00962508">
              <w:t>August 2015</w:t>
            </w:r>
          </w:p>
        </w:tc>
      </w:tr>
    </w:tbl>
    <w:p w:rsidR="00416B02" w:rsidRPr="00962508" w:rsidRDefault="00416B02" w:rsidP="00BA6957">
      <w:pPr>
        <w:rPr>
          <w:b/>
        </w:rPr>
        <w:sectPr w:rsidR="00416B02" w:rsidRPr="00962508" w:rsidSect="00603A3B">
          <w:footnotePr>
            <w:numRestart w:val="eachPage"/>
          </w:footnotePr>
          <w:type w:val="continuous"/>
          <w:pgSz w:w="16838" w:h="11906" w:orient="landscape" w:code="9"/>
          <w:pgMar w:top="1440" w:right="1440" w:bottom="1440" w:left="1440" w:header="709" w:footer="425" w:gutter="0"/>
          <w:cols w:space="708"/>
          <w:titlePg/>
          <w:docGrid w:linePitch="360"/>
        </w:sectPr>
      </w:pPr>
    </w:p>
    <w:p w:rsidR="00416B02" w:rsidRPr="00962508" w:rsidRDefault="004F202A" w:rsidP="00BA6957">
      <w:pPr>
        <w:pStyle w:val="Heading2"/>
        <w:tabs>
          <w:tab w:val="left" w:pos="1560"/>
        </w:tabs>
        <w:spacing w:before="0"/>
        <w:rPr>
          <w:i/>
          <w:sz w:val="28"/>
        </w:rPr>
      </w:pPr>
      <w:r w:rsidRPr="00962508">
        <w:rPr>
          <w:sz w:val="28"/>
        </w:rPr>
        <w:lastRenderedPageBreak/>
        <w:t xml:space="preserve">Annex </w:t>
      </w:r>
      <w:r w:rsidR="00B15145">
        <w:rPr>
          <w:sz w:val="28"/>
        </w:rPr>
        <w:t>E</w:t>
      </w:r>
      <w:r w:rsidR="0057490F" w:rsidRPr="00962508">
        <w:rPr>
          <w:sz w:val="28"/>
        </w:rPr>
        <w:t xml:space="preserve"> - </w:t>
      </w:r>
      <w:r w:rsidR="00416B02" w:rsidRPr="00962508">
        <w:rPr>
          <w:sz w:val="28"/>
        </w:rPr>
        <w:t>Aid Quality Check ratings</w:t>
      </w:r>
    </w:p>
    <w:p w:rsidR="00416B02" w:rsidRPr="00962508" w:rsidRDefault="00416B02" w:rsidP="00BA6957">
      <w:pPr>
        <w:pStyle w:val="BodyText"/>
      </w:pPr>
      <w:r w:rsidRPr="00962508">
        <w:t>The previous investment level performance assessment system utilised Quality at Implementation (QAI) reports. Two criteria, Risks and Safeguards and Innovation and Private sector were not assessed in QAI reports and there have been significant changes in AQC reporting this year. Innovation and Private Sector is not a quality standard</w:t>
      </w:r>
      <w:r w:rsidR="0057490F" w:rsidRPr="00962508">
        <w:t>.</w:t>
      </w:r>
    </w:p>
    <w:p w:rsidR="00050236" w:rsidRPr="00962508" w:rsidRDefault="00050236" w:rsidP="00BA6957">
      <w:pPr>
        <w:pStyle w:val="Heading3"/>
      </w:pPr>
      <w:r w:rsidRPr="00962508">
        <w:t>AQC ratings</w:t>
      </w:r>
    </w:p>
    <w:tbl>
      <w:tblPr>
        <w:tblStyle w:val="APPR"/>
        <w:tblW w:w="5000" w:type="pct"/>
        <w:tblLook w:val="0000" w:firstRow="0" w:lastRow="0" w:firstColumn="0" w:lastColumn="0" w:noHBand="0" w:noVBand="0"/>
        <w:tblCaption w:val="Aid Quality Check (AQC) ratings"/>
        <w:tblDescription w:val="This table shows the Aid Quality Check (AQC) ratings that on-going investments received based on their performance in calendar year 2013 and 2014. Separate ratings for calendar year 2013 and 2014 are shown. Investment performance assessments undertaken in 2013 were called Quality at Implementation (QAI) reports. Investment performance assessments undertaken in 2014 were called Aid Quality Check (AQC) reports.  It shows the investment name, the approved budget and duration of the investment, the year the Quality at Implementation/ Aid Quality Check was undertaken, the relevance rating, the effectiveness rating, the efficiency rating, the monitoring and evaluation rating, the sustainability rating, the gender equality rating, and the risks and the safeguards rating. The rating scale is a 6 point scale.  6 = Very good; satisfies criteria in all or almost all areas,  5 = Good; satisfies criteria in most areas, 4 = Adequate; on balance, satisfies criteria; does not fail in any major area, 3 = Less than adequate; on balance does not satisfy criteria but does not fail in any major area, 2 = Poor; does not satisfy criteria in major areas, 1 = Very poor; does not satisfy criteria in many major areas. Ratings of 4,5 or 6 are regarded as satisfactory.  Ratings of 1,2 or 3 are regarded as unsatisfactory. "/>
      </w:tblPr>
      <w:tblGrid>
        <w:gridCol w:w="2622"/>
        <w:gridCol w:w="1903"/>
        <w:gridCol w:w="1213"/>
        <w:gridCol w:w="1218"/>
        <w:gridCol w:w="1210"/>
        <w:gridCol w:w="1217"/>
        <w:gridCol w:w="1209"/>
        <w:gridCol w:w="1217"/>
        <w:gridCol w:w="1209"/>
        <w:gridCol w:w="1214"/>
      </w:tblGrid>
      <w:tr w:rsidR="00050236" w:rsidRPr="00962508" w:rsidTr="003C1438">
        <w:trPr>
          <w:cnfStyle w:val="000000010000" w:firstRow="0" w:lastRow="0" w:firstColumn="0" w:lastColumn="0" w:oddVBand="0" w:evenVBand="0" w:oddHBand="0" w:evenHBand="1" w:firstRowFirstColumn="0" w:firstRowLastColumn="0" w:lastRowFirstColumn="0" w:lastRowLastColumn="0"/>
          <w:trHeight w:val="1413"/>
        </w:trPr>
        <w:tc>
          <w:tcPr>
            <w:tcW w:w="906" w:type="pct"/>
          </w:tcPr>
          <w:p w:rsidR="00050236" w:rsidRPr="00962508" w:rsidRDefault="00050236" w:rsidP="00BA6957">
            <w:pPr>
              <w:pStyle w:val="TableTextColumnHeading"/>
            </w:pPr>
            <w:r w:rsidRPr="00962508">
              <w:rPr>
                <w:noProof/>
                <w:lang w:eastAsia="en-AU"/>
              </w:rPr>
              <w:drawing>
                <wp:anchor distT="0" distB="0" distL="114300" distR="114300" simplePos="0" relativeHeight="251677696" behindDoc="0" locked="0" layoutInCell="1" allowOverlap="1" wp14:anchorId="22955DEF" wp14:editId="57415F35">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508">
              <w:t>Investment name</w:t>
            </w:r>
          </w:p>
        </w:tc>
        <w:tc>
          <w:tcPr>
            <w:tcW w:w="658" w:type="pct"/>
            <w:textDirection w:val="btLr"/>
          </w:tcPr>
          <w:p w:rsidR="00050236" w:rsidRPr="00962508" w:rsidRDefault="00050236" w:rsidP="00BA6957">
            <w:pPr>
              <w:pStyle w:val="TableTextColumnHeading"/>
            </w:pPr>
            <w:r w:rsidRPr="00962508">
              <w:t>Approved budget and duration</w:t>
            </w:r>
          </w:p>
        </w:tc>
        <w:tc>
          <w:tcPr>
            <w:tcW w:w="416" w:type="pct"/>
            <w:textDirection w:val="btLr"/>
          </w:tcPr>
          <w:p w:rsidR="00050236" w:rsidRPr="00962508" w:rsidRDefault="00050236" w:rsidP="00BA6957">
            <w:pPr>
              <w:pStyle w:val="TableTextColumnHeading"/>
            </w:pPr>
            <w:r w:rsidRPr="00962508">
              <w:t>AQC/QAI year</w:t>
            </w:r>
          </w:p>
        </w:tc>
        <w:tc>
          <w:tcPr>
            <w:tcW w:w="418" w:type="pct"/>
            <w:textDirection w:val="btLr"/>
          </w:tcPr>
          <w:p w:rsidR="00050236" w:rsidRPr="00962508" w:rsidRDefault="00050236" w:rsidP="00BA6957">
            <w:pPr>
              <w:pStyle w:val="TableTextColumnHeading"/>
            </w:pPr>
            <w:r w:rsidRPr="00962508">
              <w:t>Relevance</w:t>
            </w:r>
          </w:p>
        </w:tc>
        <w:tc>
          <w:tcPr>
            <w:tcW w:w="415" w:type="pct"/>
            <w:textDirection w:val="btLr"/>
          </w:tcPr>
          <w:p w:rsidR="00050236" w:rsidRPr="00962508" w:rsidRDefault="00050236" w:rsidP="00BA6957">
            <w:pPr>
              <w:pStyle w:val="TableTextColumnHeading"/>
            </w:pPr>
            <w:r w:rsidRPr="00962508">
              <w:t>Effectiveness</w:t>
            </w:r>
          </w:p>
        </w:tc>
        <w:tc>
          <w:tcPr>
            <w:tcW w:w="418" w:type="pct"/>
            <w:textDirection w:val="btLr"/>
          </w:tcPr>
          <w:p w:rsidR="00050236" w:rsidRPr="00962508" w:rsidRDefault="00050236" w:rsidP="00BA6957">
            <w:pPr>
              <w:pStyle w:val="TableTextColumnHeading"/>
            </w:pPr>
            <w:r w:rsidRPr="00962508">
              <w:t>Efficiency</w:t>
            </w:r>
          </w:p>
        </w:tc>
        <w:tc>
          <w:tcPr>
            <w:tcW w:w="415" w:type="pct"/>
            <w:textDirection w:val="btLr"/>
          </w:tcPr>
          <w:p w:rsidR="00050236" w:rsidRPr="00962508" w:rsidRDefault="00050236" w:rsidP="00BA6957">
            <w:pPr>
              <w:pStyle w:val="TableTextColumnHeading"/>
            </w:pPr>
            <w:r w:rsidRPr="00962508">
              <w:t>Monitoring and Evaluation</w:t>
            </w:r>
          </w:p>
        </w:tc>
        <w:tc>
          <w:tcPr>
            <w:tcW w:w="418" w:type="pct"/>
            <w:textDirection w:val="btLr"/>
          </w:tcPr>
          <w:p w:rsidR="00050236" w:rsidRPr="00962508" w:rsidRDefault="00050236" w:rsidP="00BA6957">
            <w:pPr>
              <w:pStyle w:val="TableTextColumnHeading"/>
            </w:pPr>
            <w:r w:rsidRPr="00962508">
              <w:t>Sustainability</w:t>
            </w:r>
          </w:p>
        </w:tc>
        <w:tc>
          <w:tcPr>
            <w:tcW w:w="415" w:type="pct"/>
            <w:textDirection w:val="btLr"/>
          </w:tcPr>
          <w:p w:rsidR="00050236" w:rsidRPr="00962508" w:rsidRDefault="00050236" w:rsidP="00BA6957">
            <w:pPr>
              <w:pStyle w:val="TableTextColumnHeading"/>
            </w:pPr>
            <w:r w:rsidRPr="00962508">
              <w:t>Gender equality</w:t>
            </w:r>
          </w:p>
        </w:tc>
        <w:tc>
          <w:tcPr>
            <w:tcW w:w="412" w:type="pct"/>
            <w:textDirection w:val="btLr"/>
          </w:tcPr>
          <w:p w:rsidR="00050236" w:rsidRPr="00962508" w:rsidRDefault="00050236" w:rsidP="00BA6957">
            <w:pPr>
              <w:pStyle w:val="TableTextColumnHeading"/>
            </w:pPr>
            <w:r w:rsidRPr="00962508">
              <w:t>Risks  and Safeguards</w:t>
            </w:r>
          </w:p>
        </w:tc>
      </w:tr>
      <w:tr w:rsidR="00050236" w:rsidRPr="00962508" w:rsidTr="003C1438">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050236" w:rsidRPr="00962508" w:rsidRDefault="00050236" w:rsidP="00BA6957">
            <w:pPr>
              <w:pStyle w:val="TableTextEntries"/>
            </w:pPr>
            <w:r w:rsidRPr="00962508">
              <w:t>Poverty Reduction Fund    Phase II</w:t>
            </w:r>
          </w:p>
        </w:tc>
        <w:tc>
          <w:tcPr>
            <w:tcW w:w="658" w:type="pct"/>
            <w:vMerge w:val="restart"/>
          </w:tcPr>
          <w:p w:rsidR="00050236" w:rsidRPr="00962508" w:rsidRDefault="00050236" w:rsidP="00BA6957">
            <w:pPr>
              <w:pStyle w:val="TableTextEntries"/>
            </w:pPr>
            <w:r w:rsidRPr="00962508">
              <w:t>$20.3 million     (2011 -2017)</w:t>
            </w:r>
          </w:p>
        </w:tc>
        <w:tc>
          <w:tcPr>
            <w:tcW w:w="416" w:type="pct"/>
          </w:tcPr>
          <w:p w:rsidR="00050236" w:rsidRPr="00962508" w:rsidRDefault="00050236" w:rsidP="00BA6957">
            <w:pPr>
              <w:pStyle w:val="TableTextEntries"/>
            </w:pPr>
            <w:r w:rsidRPr="00962508">
              <w:t>2014 AQC</w:t>
            </w:r>
          </w:p>
        </w:tc>
        <w:tc>
          <w:tcPr>
            <w:tcW w:w="418" w:type="pct"/>
            <w:shd w:val="clear" w:color="auto" w:fill="669900"/>
            <w:noWrap/>
          </w:tcPr>
          <w:p w:rsidR="00050236" w:rsidRPr="00962508" w:rsidRDefault="00050236" w:rsidP="00BA6957">
            <w:pPr>
              <w:pStyle w:val="TableTextEntries"/>
            </w:pPr>
            <w:r w:rsidRPr="00962508">
              <w:t>5</w:t>
            </w:r>
          </w:p>
        </w:tc>
        <w:tc>
          <w:tcPr>
            <w:tcW w:w="415" w:type="pct"/>
            <w:shd w:val="clear" w:color="auto" w:fill="669900"/>
            <w:noWrap/>
          </w:tcPr>
          <w:p w:rsidR="00050236" w:rsidRPr="00962508" w:rsidRDefault="00050236" w:rsidP="00BA6957">
            <w:pPr>
              <w:pStyle w:val="TableTextEntries"/>
            </w:pPr>
            <w:r w:rsidRPr="00962508">
              <w:t>5</w:t>
            </w:r>
          </w:p>
        </w:tc>
        <w:tc>
          <w:tcPr>
            <w:tcW w:w="418" w:type="pct"/>
            <w:shd w:val="clear" w:color="auto" w:fill="669900"/>
            <w:noWrap/>
          </w:tcPr>
          <w:p w:rsidR="00050236" w:rsidRPr="00962508" w:rsidRDefault="00050236" w:rsidP="00BA6957">
            <w:pPr>
              <w:pStyle w:val="TableTextEntries"/>
            </w:pPr>
            <w:r w:rsidRPr="00962508">
              <w:t>5</w:t>
            </w:r>
          </w:p>
        </w:tc>
        <w:tc>
          <w:tcPr>
            <w:tcW w:w="415" w:type="pct"/>
            <w:shd w:val="clear" w:color="auto" w:fill="669900"/>
            <w:noWrap/>
          </w:tcPr>
          <w:p w:rsidR="00050236" w:rsidRPr="00962508" w:rsidRDefault="00050236" w:rsidP="00BA6957">
            <w:pPr>
              <w:pStyle w:val="TableTextEntries"/>
            </w:pPr>
            <w:r w:rsidRPr="00962508">
              <w:t>5</w:t>
            </w:r>
          </w:p>
        </w:tc>
        <w:tc>
          <w:tcPr>
            <w:tcW w:w="418" w:type="pct"/>
            <w:shd w:val="clear" w:color="auto" w:fill="FFFF00"/>
            <w:noWrap/>
          </w:tcPr>
          <w:p w:rsidR="00050236" w:rsidRPr="00962508" w:rsidRDefault="00050236" w:rsidP="00BA6957">
            <w:pPr>
              <w:pStyle w:val="TableTextEntries"/>
            </w:pPr>
            <w:r w:rsidRPr="00962508">
              <w:t>4</w:t>
            </w:r>
          </w:p>
        </w:tc>
        <w:tc>
          <w:tcPr>
            <w:tcW w:w="415" w:type="pct"/>
            <w:shd w:val="clear" w:color="auto" w:fill="FFFF00"/>
            <w:noWrap/>
          </w:tcPr>
          <w:p w:rsidR="00050236" w:rsidRPr="00962508" w:rsidRDefault="00050236" w:rsidP="00BA6957">
            <w:pPr>
              <w:pStyle w:val="TableTextEntries"/>
            </w:pPr>
            <w:r w:rsidRPr="00962508">
              <w:t>4</w:t>
            </w:r>
          </w:p>
        </w:tc>
        <w:tc>
          <w:tcPr>
            <w:tcW w:w="412" w:type="pct"/>
            <w:shd w:val="clear" w:color="auto" w:fill="FFFF00"/>
          </w:tcPr>
          <w:p w:rsidR="00050236" w:rsidRPr="00962508" w:rsidRDefault="00050236" w:rsidP="00BA6957">
            <w:pPr>
              <w:pStyle w:val="TableTextEntries"/>
            </w:pPr>
            <w:r w:rsidRPr="00962508">
              <w:t>4</w:t>
            </w:r>
          </w:p>
        </w:tc>
      </w:tr>
      <w:tr w:rsidR="00050236" w:rsidRPr="00962508" w:rsidTr="003C1438">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rsidR="00050236" w:rsidRPr="00962508" w:rsidRDefault="00050236" w:rsidP="00BA6957">
            <w:pPr>
              <w:pStyle w:val="TableTextEntries"/>
            </w:pPr>
          </w:p>
        </w:tc>
        <w:tc>
          <w:tcPr>
            <w:tcW w:w="658" w:type="pct"/>
            <w:vMerge/>
          </w:tcPr>
          <w:p w:rsidR="00050236" w:rsidRPr="00962508" w:rsidRDefault="00050236" w:rsidP="00BA6957">
            <w:pPr>
              <w:pStyle w:val="TableTextEntries"/>
            </w:pPr>
          </w:p>
        </w:tc>
        <w:tc>
          <w:tcPr>
            <w:tcW w:w="416" w:type="pct"/>
          </w:tcPr>
          <w:p w:rsidR="00050236" w:rsidRPr="00962508" w:rsidRDefault="00050236" w:rsidP="00BA6957">
            <w:pPr>
              <w:pStyle w:val="TableTextEntries"/>
            </w:pPr>
            <w:r w:rsidRPr="00962508">
              <w:t>2013 QAI</w:t>
            </w:r>
          </w:p>
        </w:tc>
        <w:tc>
          <w:tcPr>
            <w:tcW w:w="418" w:type="pct"/>
            <w:shd w:val="clear" w:color="auto" w:fill="669900"/>
            <w:noWrap/>
          </w:tcPr>
          <w:p w:rsidR="00050236" w:rsidRPr="00962508" w:rsidRDefault="00050236" w:rsidP="00BA6957">
            <w:pPr>
              <w:pStyle w:val="TableTextEntries"/>
            </w:pPr>
            <w:r w:rsidRPr="00962508">
              <w:t>5</w:t>
            </w:r>
          </w:p>
        </w:tc>
        <w:tc>
          <w:tcPr>
            <w:tcW w:w="415" w:type="pct"/>
            <w:shd w:val="clear" w:color="auto" w:fill="FFFF00"/>
            <w:noWrap/>
          </w:tcPr>
          <w:p w:rsidR="00050236" w:rsidRPr="00962508" w:rsidRDefault="00050236" w:rsidP="00BA6957">
            <w:pPr>
              <w:pStyle w:val="TableTextEntries"/>
            </w:pPr>
            <w:r w:rsidRPr="00962508">
              <w:t>4</w:t>
            </w:r>
          </w:p>
        </w:tc>
        <w:tc>
          <w:tcPr>
            <w:tcW w:w="418" w:type="pct"/>
            <w:shd w:val="clear" w:color="auto" w:fill="FFFF00"/>
            <w:noWrap/>
          </w:tcPr>
          <w:p w:rsidR="00050236" w:rsidRPr="00962508" w:rsidRDefault="00050236" w:rsidP="00BA6957">
            <w:pPr>
              <w:pStyle w:val="TableTextEntries"/>
            </w:pPr>
            <w:r w:rsidRPr="00962508">
              <w:t>4</w:t>
            </w:r>
          </w:p>
        </w:tc>
        <w:tc>
          <w:tcPr>
            <w:tcW w:w="415" w:type="pct"/>
            <w:shd w:val="clear" w:color="auto" w:fill="669900"/>
            <w:noWrap/>
          </w:tcPr>
          <w:p w:rsidR="00050236" w:rsidRPr="00962508" w:rsidRDefault="00050236" w:rsidP="00BA6957">
            <w:pPr>
              <w:pStyle w:val="TableTextEntries"/>
            </w:pPr>
            <w:r w:rsidRPr="00962508">
              <w:t>5</w:t>
            </w:r>
          </w:p>
        </w:tc>
        <w:tc>
          <w:tcPr>
            <w:tcW w:w="418" w:type="pct"/>
            <w:shd w:val="clear" w:color="auto" w:fill="FFFF00"/>
            <w:noWrap/>
          </w:tcPr>
          <w:p w:rsidR="00050236" w:rsidRPr="00962508" w:rsidRDefault="00050236" w:rsidP="00BA6957">
            <w:pPr>
              <w:pStyle w:val="TableTextEntries"/>
            </w:pPr>
            <w:r w:rsidRPr="00962508">
              <w:t>4</w:t>
            </w:r>
          </w:p>
        </w:tc>
        <w:tc>
          <w:tcPr>
            <w:tcW w:w="415" w:type="pct"/>
            <w:shd w:val="clear" w:color="auto" w:fill="669900"/>
            <w:noWrap/>
          </w:tcPr>
          <w:p w:rsidR="00050236" w:rsidRPr="00962508" w:rsidRDefault="00050236" w:rsidP="00BA6957">
            <w:pPr>
              <w:pStyle w:val="TableTextEntries"/>
            </w:pPr>
            <w:r w:rsidRPr="00962508">
              <w:t>5</w:t>
            </w:r>
          </w:p>
        </w:tc>
        <w:tc>
          <w:tcPr>
            <w:tcW w:w="412" w:type="pct"/>
          </w:tcPr>
          <w:p w:rsidR="00050236" w:rsidRPr="00962508" w:rsidRDefault="00050236" w:rsidP="00BA6957">
            <w:pPr>
              <w:pStyle w:val="TableTextEntries"/>
            </w:pPr>
            <w:r w:rsidRPr="00962508">
              <w:t>n/a</w:t>
            </w:r>
          </w:p>
        </w:tc>
      </w:tr>
      <w:tr w:rsidR="00050236" w:rsidRPr="00962508" w:rsidTr="003C1438">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050236" w:rsidRPr="00962508" w:rsidRDefault="00050236" w:rsidP="00BA6957">
            <w:pPr>
              <w:pStyle w:val="TableTextEntries"/>
            </w:pPr>
            <w:r w:rsidRPr="00962508">
              <w:t>Support for UXO Action in Laos</w:t>
            </w:r>
          </w:p>
        </w:tc>
        <w:tc>
          <w:tcPr>
            <w:tcW w:w="658" w:type="pct"/>
            <w:vMerge w:val="restart"/>
          </w:tcPr>
          <w:p w:rsidR="00050236" w:rsidRPr="00962508" w:rsidRDefault="00050236" w:rsidP="00BA6957">
            <w:pPr>
              <w:pStyle w:val="TableTextEntries"/>
            </w:pPr>
            <w:r w:rsidRPr="00962508">
              <w:t>$8.9 million       (2011-2016)</w:t>
            </w:r>
          </w:p>
        </w:tc>
        <w:tc>
          <w:tcPr>
            <w:tcW w:w="416" w:type="pct"/>
          </w:tcPr>
          <w:p w:rsidR="00050236" w:rsidRPr="00962508" w:rsidRDefault="00050236" w:rsidP="00BA6957">
            <w:pPr>
              <w:pStyle w:val="TableTextEntries"/>
            </w:pPr>
            <w:r w:rsidRPr="00962508">
              <w:t>2014 AQC</w:t>
            </w:r>
            <w:r w:rsidR="00A615A5">
              <w:rPr>
                <w:rStyle w:val="EndnoteReference"/>
              </w:rPr>
              <w:endnoteReference w:id="21"/>
            </w:r>
          </w:p>
        </w:tc>
        <w:tc>
          <w:tcPr>
            <w:tcW w:w="418" w:type="pct"/>
            <w:shd w:val="clear" w:color="auto" w:fill="669900"/>
            <w:noWrap/>
          </w:tcPr>
          <w:p w:rsidR="00050236" w:rsidRPr="00962508" w:rsidRDefault="00050236" w:rsidP="00BA6957">
            <w:pPr>
              <w:pStyle w:val="TableTextEntries"/>
            </w:pPr>
            <w:r w:rsidRPr="00962508">
              <w:t>5</w:t>
            </w:r>
          </w:p>
        </w:tc>
        <w:tc>
          <w:tcPr>
            <w:tcW w:w="415" w:type="pct"/>
            <w:shd w:val="clear" w:color="auto" w:fill="E36C0A" w:themeFill="accent6" w:themeFillShade="BF"/>
            <w:noWrap/>
          </w:tcPr>
          <w:p w:rsidR="00050236" w:rsidRPr="00962508" w:rsidRDefault="00050236" w:rsidP="00BA6957">
            <w:pPr>
              <w:pStyle w:val="TableTextEntries"/>
            </w:pPr>
            <w:r w:rsidRPr="00962508">
              <w:t>3</w:t>
            </w:r>
          </w:p>
        </w:tc>
        <w:tc>
          <w:tcPr>
            <w:tcW w:w="418" w:type="pct"/>
            <w:shd w:val="clear" w:color="auto" w:fill="E36C0A" w:themeFill="accent6" w:themeFillShade="BF"/>
            <w:noWrap/>
          </w:tcPr>
          <w:p w:rsidR="00050236" w:rsidRPr="00962508" w:rsidRDefault="00050236" w:rsidP="00BA6957">
            <w:pPr>
              <w:pStyle w:val="TableTextEntries"/>
            </w:pPr>
            <w:r w:rsidRPr="00962508">
              <w:t>3</w:t>
            </w:r>
          </w:p>
        </w:tc>
        <w:tc>
          <w:tcPr>
            <w:tcW w:w="415" w:type="pct"/>
            <w:shd w:val="clear" w:color="auto" w:fill="669900"/>
            <w:noWrap/>
          </w:tcPr>
          <w:p w:rsidR="00050236" w:rsidRPr="00962508" w:rsidRDefault="00050236" w:rsidP="00BA6957">
            <w:pPr>
              <w:pStyle w:val="TableTextEntries"/>
            </w:pPr>
            <w:r w:rsidRPr="00962508">
              <w:t>5</w:t>
            </w:r>
          </w:p>
        </w:tc>
        <w:tc>
          <w:tcPr>
            <w:tcW w:w="418" w:type="pct"/>
            <w:shd w:val="clear" w:color="auto" w:fill="FFFF00"/>
            <w:noWrap/>
          </w:tcPr>
          <w:p w:rsidR="00050236" w:rsidRPr="00962508" w:rsidRDefault="00050236" w:rsidP="00BA6957">
            <w:pPr>
              <w:pStyle w:val="TableTextEntries"/>
            </w:pPr>
            <w:r w:rsidRPr="00962508">
              <w:t>4</w:t>
            </w:r>
          </w:p>
        </w:tc>
        <w:tc>
          <w:tcPr>
            <w:tcW w:w="415" w:type="pct"/>
            <w:shd w:val="clear" w:color="auto" w:fill="FFFF00"/>
            <w:noWrap/>
          </w:tcPr>
          <w:p w:rsidR="00050236" w:rsidRPr="00962508" w:rsidRDefault="00050236" w:rsidP="00BA6957">
            <w:pPr>
              <w:pStyle w:val="TableTextEntries"/>
            </w:pPr>
            <w:r w:rsidRPr="00962508">
              <w:t>4</w:t>
            </w:r>
          </w:p>
        </w:tc>
        <w:tc>
          <w:tcPr>
            <w:tcW w:w="412" w:type="pct"/>
            <w:shd w:val="clear" w:color="auto" w:fill="FFFF00"/>
          </w:tcPr>
          <w:p w:rsidR="00050236" w:rsidRPr="00962508" w:rsidRDefault="00050236" w:rsidP="00BA6957">
            <w:pPr>
              <w:pStyle w:val="TableTextEntries"/>
            </w:pPr>
            <w:r w:rsidRPr="00962508">
              <w:t>4</w:t>
            </w:r>
          </w:p>
        </w:tc>
      </w:tr>
      <w:tr w:rsidR="00050236" w:rsidRPr="00962508" w:rsidTr="003C1438">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rsidR="00050236" w:rsidRPr="00962508" w:rsidRDefault="00050236" w:rsidP="00BA6957">
            <w:pPr>
              <w:pStyle w:val="TableTextEntries"/>
            </w:pPr>
          </w:p>
        </w:tc>
        <w:tc>
          <w:tcPr>
            <w:tcW w:w="658" w:type="pct"/>
            <w:vMerge/>
          </w:tcPr>
          <w:p w:rsidR="00050236" w:rsidRPr="00962508" w:rsidRDefault="00050236" w:rsidP="00BA6957">
            <w:pPr>
              <w:pStyle w:val="TableTextEntries"/>
            </w:pPr>
          </w:p>
        </w:tc>
        <w:tc>
          <w:tcPr>
            <w:tcW w:w="416" w:type="pct"/>
          </w:tcPr>
          <w:p w:rsidR="00050236" w:rsidRPr="00962508" w:rsidRDefault="00050236" w:rsidP="00BA6957">
            <w:pPr>
              <w:pStyle w:val="TableTextEntries"/>
            </w:pPr>
            <w:r w:rsidRPr="00962508">
              <w:t>2013 QAI</w:t>
            </w:r>
          </w:p>
        </w:tc>
        <w:tc>
          <w:tcPr>
            <w:tcW w:w="418" w:type="pct"/>
            <w:shd w:val="clear" w:color="auto" w:fill="669900"/>
            <w:noWrap/>
          </w:tcPr>
          <w:p w:rsidR="00050236" w:rsidRPr="00962508" w:rsidRDefault="00050236" w:rsidP="00BA6957">
            <w:pPr>
              <w:pStyle w:val="TableTextEntries"/>
            </w:pPr>
            <w:r w:rsidRPr="00962508">
              <w:t>6</w:t>
            </w:r>
          </w:p>
        </w:tc>
        <w:tc>
          <w:tcPr>
            <w:tcW w:w="415" w:type="pct"/>
            <w:shd w:val="clear" w:color="auto" w:fill="FFFF00"/>
            <w:noWrap/>
          </w:tcPr>
          <w:p w:rsidR="00050236" w:rsidRPr="00962508" w:rsidRDefault="00050236" w:rsidP="00BA6957">
            <w:pPr>
              <w:pStyle w:val="TableTextEntries"/>
            </w:pPr>
            <w:r w:rsidRPr="00962508">
              <w:t>4</w:t>
            </w:r>
          </w:p>
        </w:tc>
        <w:tc>
          <w:tcPr>
            <w:tcW w:w="418" w:type="pct"/>
            <w:shd w:val="clear" w:color="auto" w:fill="E36C0A" w:themeFill="accent6" w:themeFillShade="BF"/>
            <w:noWrap/>
          </w:tcPr>
          <w:p w:rsidR="00050236" w:rsidRPr="00962508" w:rsidRDefault="00050236" w:rsidP="00BA6957">
            <w:pPr>
              <w:pStyle w:val="TableTextEntries"/>
            </w:pPr>
            <w:r w:rsidRPr="00962508">
              <w:t>3</w:t>
            </w:r>
          </w:p>
        </w:tc>
        <w:tc>
          <w:tcPr>
            <w:tcW w:w="415" w:type="pct"/>
            <w:shd w:val="clear" w:color="auto" w:fill="E36C0A" w:themeFill="accent6" w:themeFillShade="BF"/>
            <w:noWrap/>
          </w:tcPr>
          <w:p w:rsidR="00050236" w:rsidRPr="00962508" w:rsidRDefault="00050236" w:rsidP="00BA6957">
            <w:pPr>
              <w:pStyle w:val="TableTextEntries"/>
            </w:pPr>
            <w:r w:rsidRPr="00962508">
              <w:t>3</w:t>
            </w:r>
          </w:p>
        </w:tc>
        <w:tc>
          <w:tcPr>
            <w:tcW w:w="418" w:type="pct"/>
            <w:shd w:val="clear" w:color="auto" w:fill="FFFF00"/>
            <w:noWrap/>
          </w:tcPr>
          <w:p w:rsidR="00050236" w:rsidRPr="00962508" w:rsidRDefault="00050236" w:rsidP="00BA6957">
            <w:pPr>
              <w:pStyle w:val="TableTextEntries"/>
            </w:pPr>
            <w:r w:rsidRPr="00962508">
              <w:t>4</w:t>
            </w:r>
          </w:p>
        </w:tc>
        <w:tc>
          <w:tcPr>
            <w:tcW w:w="415" w:type="pct"/>
            <w:shd w:val="clear" w:color="auto" w:fill="FFFF00"/>
            <w:noWrap/>
          </w:tcPr>
          <w:p w:rsidR="00050236" w:rsidRPr="00962508" w:rsidRDefault="00050236" w:rsidP="00BA6957">
            <w:pPr>
              <w:pStyle w:val="TableTextEntries"/>
            </w:pPr>
            <w:r w:rsidRPr="00962508">
              <w:t>4</w:t>
            </w:r>
          </w:p>
        </w:tc>
        <w:tc>
          <w:tcPr>
            <w:tcW w:w="412" w:type="pct"/>
          </w:tcPr>
          <w:p w:rsidR="00050236" w:rsidRPr="00962508" w:rsidRDefault="00050236" w:rsidP="00BA6957">
            <w:pPr>
              <w:pStyle w:val="TableTextEntries"/>
            </w:pPr>
            <w:r w:rsidRPr="00962508">
              <w:t>n/a</w:t>
            </w:r>
          </w:p>
        </w:tc>
      </w:tr>
      <w:tr w:rsidR="00050236" w:rsidRPr="00962508" w:rsidTr="003C1438">
        <w:trPr>
          <w:cnfStyle w:val="000000010000" w:firstRow="0" w:lastRow="0" w:firstColumn="0" w:lastColumn="0" w:oddVBand="0" w:evenVBand="0" w:oddHBand="0" w:evenHBand="1" w:firstRowFirstColumn="0" w:firstRowLastColumn="0" w:lastRowFirstColumn="0" w:lastRowLastColumn="0"/>
          <w:trHeight w:val="284"/>
        </w:trPr>
        <w:tc>
          <w:tcPr>
            <w:tcW w:w="906" w:type="pct"/>
          </w:tcPr>
          <w:p w:rsidR="00050236" w:rsidRPr="00962508" w:rsidRDefault="00050236" w:rsidP="00BA6957">
            <w:pPr>
              <w:pStyle w:val="TableTextEntries"/>
            </w:pPr>
            <w:r w:rsidRPr="00962508">
              <w:t xml:space="preserve">Basic Education school Meals &amp; </w:t>
            </w:r>
          </w:p>
        </w:tc>
        <w:tc>
          <w:tcPr>
            <w:tcW w:w="658" w:type="pct"/>
          </w:tcPr>
          <w:p w:rsidR="00050236" w:rsidRPr="00962508" w:rsidRDefault="00050236" w:rsidP="00BA6957">
            <w:pPr>
              <w:pStyle w:val="TableTextEntries"/>
            </w:pPr>
            <w:r w:rsidRPr="00962508">
              <w:t>$22.1 million</w:t>
            </w:r>
          </w:p>
        </w:tc>
        <w:tc>
          <w:tcPr>
            <w:tcW w:w="416" w:type="pct"/>
          </w:tcPr>
          <w:p w:rsidR="00050236" w:rsidRPr="00962508" w:rsidRDefault="00050236" w:rsidP="00BA6957">
            <w:pPr>
              <w:pStyle w:val="TableTextEntries"/>
            </w:pPr>
            <w:r w:rsidRPr="00962508">
              <w:t>2014 AQC</w:t>
            </w:r>
          </w:p>
        </w:tc>
        <w:tc>
          <w:tcPr>
            <w:tcW w:w="418" w:type="pct"/>
            <w:shd w:val="clear" w:color="auto" w:fill="FFFF00"/>
            <w:noWrap/>
          </w:tcPr>
          <w:p w:rsidR="00050236" w:rsidRPr="00962508" w:rsidRDefault="00050236" w:rsidP="00BA6957">
            <w:pPr>
              <w:pStyle w:val="TableTextEntries"/>
            </w:pPr>
            <w:r w:rsidRPr="00962508">
              <w:t>4</w:t>
            </w:r>
          </w:p>
        </w:tc>
        <w:tc>
          <w:tcPr>
            <w:tcW w:w="415" w:type="pct"/>
            <w:shd w:val="clear" w:color="auto" w:fill="E36C0A" w:themeFill="accent6" w:themeFillShade="BF"/>
            <w:noWrap/>
          </w:tcPr>
          <w:p w:rsidR="00050236" w:rsidRPr="00962508" w:rsidRDefault="00050236" w:rsidP="00BA6957">
            <w:pPr>
              <w:pStyle w:val="TableTextEntries"/>
            </w:pPr>
            <w:r w:rsidRPr="00962508">
              <w:t>3</w:t>
            </w:r>
          </w:p>
        </w:tc>
        <w:tc>
          <w:tcPr>
            <w:tcW w:w="418" w:type="pct"/>
            <w:shd w:val="clear" w:color="auto" w:fill="FFFF00"/>
            <w:noWrap/>
          </w:tcPr>
          <w:p w:rsidR="00050236" w:rsidRPr="00962508" w:rsidRDefault="00050236" w:rsidP="00BA6957">
            <w:pPr>
              <w:pStyle w:val="TableTextEntries"/>
            </w:pPr>
            <w:r w:rsidRPr="00962508">
              <w:t>4</w:t>
            </w:r>
          </w:p>
        </w:tc>
        <w:tc>
          <w:tcPr>
            <w:tcW w:w="415" w:type="pct"/>
            <w:shd w:val="clear" w:color="auto" w:fill="E36C0A" w:themeFill="accent6" w:themeFillShade="BF"/>
            <w:noWrap/>
          </w:tcPr>
          <w:p w:rsidR="00050236" w:rsidRPr="00962508" w:rsidRDefault="00050236" w:rsidP="00BA6957">
            <w:pPr>
              <w:pStyle w:val="TableTextEntries"/>
            </w:pPr>
            <w:r w:rsidRPr="00962508">
              <w:t>3</w:t>
            </w:r>
          </w:p>
        </w:tc>
        <w:tc>
          <w:tcPr>
            <w:tcW w:w="418" w:type="pct"/>
            <w:shd w:val="clear" w:color="auto" w:fill="E36C0A" w:themeFill="accent6" w:themeFillShade="BF"/>
            <w:noWrap/>
          </w:tcPr>
          <w:p w:rsidR="00050236" w:rsidRPr="00962508" w:rsidRDefault="00050236" w:rsidP="00BA6957">
            <w:pPr>
              <w:pStyle w:val="TableTextEntries"/>
            </w:pPr>
            <w:r w:rsidRPr="00962508">
              <w:t>3</w:t>
            </w:r>
          </w:p>
        </w:tc>
        <w:tc>
          <w:tcPr>
            <w:tcW w:w="415" w:type="pct"/>
            <w:shd w:val="clear" w:color="auto" w:fill="FFFF00"/>
            <w:noWrap/>
          </w:tcPr>
          <w:p w:rsidR="00050236" w:rsidRPr="00962508" w:rsidRDefault="00050236" w:rsidP="00BA6957">
            <w:pPr>
              <w:pStyle w:val="TableTextEntries"/>
            </w:pPr>
            <w:r w:rsidRPr="00962508">
              <w:t>4</w:t>
            </w:r>
          </w:p>
        </w:tc>
        <w:tc>
          <w:tcPr>
            <w:tcW w:w="412" w:type="pct"/>
            <w:shd w:val="clear" w:color="auto" w:fill="FFFF00"/>
          </w:tcPr>
          <w:p w:rsidR="00050236" w:rsidRPr="00962508" w:rsidRDefault="00050236" w:rsidP="00BA6957">
            <w:pPr>
              <w:pStyle w:val="TableTextEntries"/>
            </w:pPr>
            <w:r w:rsidRPr="00962508">
              <w:t>4</w:t>
            </w:r>
          </w:p>
        </w:tc>
      </w:tr>
      <w:tr w:rsidR="00050236" w:rsidRPr="00962508" w:rsidTr="003C1438">
        <w:trPr>
          <w:cnfStyle w:val="000000010000" w:firstRow="0" w:lastRow="0" w:firstColumn="0" w:lastColumn="0" w:oddVBand="0" w:evenVBand="0" w:oddHBand="0" w:evenHBand="1" w:firstRowFirstColumn="0" w:firstRowLastColumn="0" w:lastRowFirstColumn="0" w:lastRowLastColumn="0"/>
          <w:trHeight w:val="284"/>
        </w:trPr>
        <w:tc>
          <w:tcPr>
            <w:tcW w:w="906" w:type="pct"/>
          </w:tcPr>
          <w:p w:rsidR="00050236" w:rsidRPr="00962508" w:rsidRDefault="00050236" w:rsidP="00BA6957">
            <w:pPr>
              <w:pStyle w:val="TableTextEntries"/>
            </w:pPr>
            <w:r w:rsidRPr="00962508">
              <w:t>WATSAN Program</w:t>
            </w:r>
          </w:p>
        </w:tc>
        <w:tc>
          <w:tcPr>
            <w:tcW w:w="658" w:type="pct"/>
          </w:tcPr>
          <w:p w:rsidR="00050236" w:rsidRPr="00962508" w:rsidRDefault="00050236" w:rsidP="00BA6957">
            <w:pPr>
              <w:pStyle w:val="TableTextEntries"/>
            </w:pPr>
            <w:r w:rsidRPr="00962508">
              <w:t>(2012-2018)</w:t>
            </w:r>
          </w:p>
        </w:tc>
        <w:tc>
          <w:tcPr>
            <w:tcW w:w="416" w:type="pct"/>
          </w:tcPr>
          <w:p w:rsidR="00050236" w:rsidRPr="00962508" w:rsidRDefault="00050236" w:rsidP="00BA6957">
            <w:pPr>
              <w:pStyle w:val="TableTextEntries"/>
            </w:pPr>
            <w:r w:rsidRPr="00962508">
              <w:t>2013 QAI</w:t>
            </w:r>
          </w:p>
        </w:tc>
        <w:tc>
          <w:tcPr>
            <w:tcW w:w="418" w:type="pct"/>
            <w:shd w:val="clear" w:color="auto" w:fill="669900"/>
            <w:noWrap/>
          </w:tcPr>
          <w:p w:rsidR="00050236" w:rsidRPr="00962508" w:rsidRDefault="00050236" w:rsidP="00BA6957">
            <w:pPr>
              <w:pStyle w:val="TableTextEntries"/>
            </w:pPr>
            <w:r w:rsidRPr="00962508">
              <w:t>5</w:t>
            </w:r>
          </w:p>
        </w:tc>
        <w:tc>
          <w:tcPr>
            <w:tcW w:w="415" w:type="pct"/>
            <w:shd w:val="clear" w:color="auto" w:fill="FFFF00"/>
            <w:noWrap/>
          </w:tcPr>
          <w:p w:rsidR="00050236" w:rsidRPr="00962508" w:rsidRDefault="00050236" w:rsidP="00BA6957">
            <w:pPr>
              <w:pStyle w:val="TableTextEntries"/>
            </w:pPr>
            <w:r w:rsidRPr="00962508">
              <w:t>4</w:t>
            </w:r>
          </w:p>
        </w:tc>
        <w:tc>
          <w:tcPr>
            <w:tcW w:w="418" w:type="pct"/>
            <w:shd w:val="clear" w:color="auto" w:fill="FFFF00"/>
            <w:noWrap/>
          </w:tcPr>
          <w:p w:rsidR="00050236" w:rsidRPr="00962508" w:rsidRDefault="00050236" w:rsidP="00BA6957">
            <w:pPr>
              <w:pStyle w:val="TableTextEntries"/>
            </w:pPr>
            <w:r w:rsidRPr="00962508">
              <w:t>4</w:t>
            </w:r>
          </w:p>
        </w:tc>
        <w:tc>
          <w:tcPr>
            <w:tcW w:w="415" w:type="pct"/>
            <w:shd w:val="clear" w:color="auto" w:fill="FFFF00"/>
            <w:noWrap/>
          </w:tcPr>
          <w:p w:rsidR="00050236" w:rsidRPr="00962508" w:rsidRDefault="00050236" w:rsidP="00BA6957">
            <w:pPr>
              <w:pStyle w:val="TableTextEntries"/>
            </w:pPr>
            <w:r w:rsidRPr="00962508">
              <w:t>4</w:t>
            </w:r>
          </w:p>
        </w:tc>
        <w:tc>
          <w:tcPr>
            <w:tcW w:w="418" w:type="pct"/>
            <w:shd w:val="clear" w:color="auto" w:fill="669900"/>
            <w:noWrap/>
          </w:tcPr>
          <w:p w:rsidR="00050236" w:rsidRPr="00962508" w:rsidRDefault="00050236" w:rsidP="00BA6957">
            <w:pPr>
              <w:pStyle w:val="TableTextEntries"/>
            </w:pPr>
            <w:r w:rsidRPr="00962508">
              <w:t>5</w:t>
            </w:r>
          </w:p>
        </w:tc>
        <w:tc>
          <w:tcPr>
            <w:tcW w:w="415" w:type="pct"/>
            <w:shd w:val="clear" w:color="auto" w:fill="669900"/>
            <w:noWrap/>
          </w:tcPr>
          <w:p w:rsidR="00050236" w:rsidRPr="00962508" w:rsidRDefault="00050236" w:rsidP="00BA6957">
            <w:pPr>
              <w:pStyle w:val="TableTextEntries"/>
            </w:pPr>
            <w:r w:rsidRPr="00962508">
              <w:t>5</w:t>
            </w:r>
          </w:p>
        </w:tc>
        <w:tc>
          <w:tcPr>
            <w:tcW w:w="412" w:type="pct"/>
          </w:tcPr>
          <w:p w:rsidR="00050236" w:rsidRPr="00962508" w:rsidRDefault="00050236" w:rsidP="00BA6957">
            <w:pPr>
              <w:pStyle w:val="TableTextEntries"/>
            </w:pPr>
            <w:r w:rsidRPr="00962508">
              <w:t>n/a</w:t>
            </w:r>
          </w:p>
        </w:tc>
      </w:tr>
      <w:tr w:rsidR="00050236" w:rsidRPr="00962508" w:rsidTr="003C1438">
        <w:trPr>
          <w:cnfStyle w:val="000000010000" w:firstRow="0" w:lastRow="0" w:firstColumn="0" w:lastColumn="0" w:oddVBand="0" w:evenVBand="0" w:oddHBand="0" w:evenHBand="1" w:firstRowFirstColumn="0" w:firstRowLastColumn="0" w:lastRowFirstColumn="0" w:lastRowLastColumn="0"/>
          <w:trHeight w:val="284"/>
        </w:trPr>
        <w:tc>
          <w:tcPr>
            <w:tcW w:w="906" w:type="pct"/>
          </w:tcPr>
          <w:p w:rsidR="00050236" w:rsidRPr="00962508" w:rsidRDefault="00050236" w:rsidP="00BA6957">
            <w:pPr>
              <w:pStyle w:val="TableTextEntries"/>
            </w:pPr>
          </w:p>
          <w:p w:rsidR="00050236" w:rsidRPr="00962508" w:rsidRDefault="00050236" w:rsidP="00BA6957">
            <w:pPr>
              <w:pStyle w:val="TableTextEntries"/>
            </w:pPr>
            <w:r w:rsidRPr="00962508">
              <w:t>Trade Development Facility II</w:t>
            </w:r>
          </w:p>
        </w:tc>
        <w:tc>
          <w:tcPr>
            <w:tcW w:w="658" w:type="pct"/>
          </w:tcPr>
          <w:p w:rsidR="00050236" w:rsidRPr="00962508" w:rsidRDefault="00050236" w:rsidP="00BA6957">
            <w:pPr>
              <w:pStyle w:val="TableTextEntries"/>
            </w:pPr>
          </w:p>
          <w:p w:rsidR="00050236" w:rsidRPr="00962508" w:rsidRDefault="00050236" w:rsidP="00BA6957">
            <w:pPr>
              <w:pStyle w:val="TableTextEntries"/>
            </w:pPr>
            <w:r w:rsidRPr="00962508">
              <w:t xml:space="preserve">$5.4 million                 </w:t>
            </w:r>
          </w:p>
        </w:tc>
        <w:tc>
          <w:tcPr>
            <w:tcW w:w="416" w:type="pct"/>
          </w:tcPr>
          <w:p w:rsidR="00050236" w:rsidRPr="00962508" w:rsidRDefault="00050236" w:rsidP="00BA6957">
            <w:pPr>
              <w:pStyle w:val="TableTextEntries"/>
            </w:pPr>
          </w:p>
          <w:p w:rsidR="00050236" w:rsidRPr="00962508" w:rsidRDefault="00050236" w:rsidP="00BA6957">
            <w:pPr>
              <w:pStyle w:val="TableTextEntries"/>
            </w:pPr>
            <w:r w:rsidRPr="00962508">
              <w:t>2014 AQC</w:t>
            </w:r>
          </w:p>
        </w:tc>
        <w:tc>
          <w:tcPr>
            <w:tcW w:w="418" w:type="pct"/>
            <w:shd w:val="clear" w:color="auto" w:fill="669900"/>
            <w:noWrap/>
          </w:tcPr>
          <w:p w:rsidR="00050236" w:rsidRPr="00962508" w:rsidRDefault="00050236" w:rsidP="00BA6957">
            <w:pPr>
              <w:pStyle w:val="TableTextEntries"/>
            </w:pPr>
            <w:r w:rsidRPr="00962508">
              <w:t>5</w:t>
            </w:r>
          </w:p>
        </w:tc>
        <w:tc>
          <w:tcPr>
            <w:tcW w:w="415" w:type="pct"/>
            <w:shd w:val="clear" w:color="auto" w:fill="FFFF00"/>
            <w:noWrap/>
          </w:tcPr>
          <w:p w:rsidR="00050236" w:rsidRPr="00962508" w:rsidRDefault="00050236" w:rsidP="00BA6957">
            <w:pPr>
              <w:pStyle w:val="TableTextEntries"/>
            </w:pPr>
            <w:r w:rsidRPr="00962508">
              <w:t>4</w:t>
            </w:r>
          </w:p>
        </w:tc>
        <w:tc>
          <w:tcPr>
            <w:tcW w:w="418" w:type="pct"/>
            <w:shd w:val="clear" w:color="auto" w:fill="FFFF00"/>
            <w:noWrap/>
          </w:tcPr>
          <w:p w:rsidR="00050236" w:rsidRPr="00962508" w:rsidRDefault="00050236" w:rsidP="00BA6957">
            <w:pPr>
              <w:pStyle w:val="TableTextEntries"/>
            </w:pPr>
            <w:r w:rsidRPr="00962508">
              <w:t>4</w:t>
            </w:r>
          </w:p>
        </w:tc>
        <w:tc>
          <w:tcPr>
            <w:tcW w:w="415" w:type="pct"/>
            <w:shd w:val="clear" w:color="auto" w:fill="FFFF00"/>
            <w:noWrap/>
          </w:tcPr>
          <w:p w:rsidR="00050236" w:rsidRPr="00962508" w:rsidRDefault="00050236" w:rsidP="00BA6957">
            <w:pPr>
              <w:pStyle w:val="TableTextEntries"/>
            </w:pPr>
            <w:r w:rsidRPr="00962508">
              <w:t>4</w:t>
            </w:r>
          </w:p>
        </w:tc>
        <w:tc>
          <w:tcPr>
            <w:tcW w:w="418" w:type="pct"/>
            <w:shd w:val="clear" w:color="auto" w:fill="FFFF00"/>
            <w:noWrap/>
          </w:tcPr>
          <w:p w:rsidR="00050236" w:rsidRPr="00962508" w:rsidRDefault="00050236" w:rsidP="00BA6957">
            <w:pPr>
              <w:pStyle w:val="TableTextEntries"/>
            </w:pPr>
            <w:r w:rsidRPr="00962508">
              <w:t>4</w:t>
            </w:r>
          </w:p>
        </w:tc>
        <w:tc>
          <w:tcPr>
            <w:tcW w:w="415" w:type="pct"/>
            <w:shd w:val="clear" w:color="auto" w:fill="FFFF00"/>
            <w:noWrap/>
          </w:tcPr>
          <w:p w:rsidR="00050236" w:rsidRPr="00962508" w:rsidRDefault="00050236" w:rsidP="00BA6957">
            <w:pPr>
              <w:pStyle w:val="TableTextEntries"/>
            </w:pPr>
            <w:r w:rsidRPr="00962508">
              <w:t>4</w:t>
            </w:r>
          </w:p>
        </w:tc>
        <w:tc>
          <w:tcPr>
            <w:tcW w:w="412" w:type="pct"/>
            <w:shd w:val="clear" w:color="auto" w:fill="FFFF00"/>
          </w:tcPr>
          <w:p w:rsidR="00050236" w:rsidRPr="00962508" w:rsidRDefault="00050236" w:rsidP="00BA6957">
            <w:pPr>
              <w:pStyle w:val="TableTextEntries"/>
            </w:pPr>
            <w:r w:rsidRPr="00962508">
              <w:t>4</w:t>
            </w:r>
          </w:p>
        </w:tc>
      </w:tr>
      <w:tr w:rsidR="00050236" w:rsidRPr="00962508" w:rsidTr="003C1438">
        <w:trPr>
          <w:cnfStyle w:val="000000010000" w:firstRow="0" w:lastRow="0" w:firstColumn="0" w:lastColumn="0" w:oddVBand="0" w:evenVBand="0" w:oddHBand="0" w:evenHBand="1" w:firstRowFirstColumn="0" w:firstRowLastColumn="0" w:lastRowFirstColumn="0" w:lastRowLastColumn="0"/>
          <w:trHeight w:val="284"/>
        </w:trPr>
        <w:tc>
          <w:tcPr>
            <w:tcW w:w="906" w:type="pct"/>
          </w:tcPr>
          <w:p w:rsidR="00050236" w:rsidRPr="00962508" w:rsidRDefault="00050236" w:rsidP="00BA6957">
            <w:pPr>
              <w:pStyle w:val="TableTextEntries"/>
            </w:pPr>
          </w:p>
        </w:tc>
        <w:tc>
          <w:tcPr>
            <w:tcW w:w="658" w:type="pct"/>
          </w:tcPr>
          <w:p w:rsidR="00050236" w:rsidRPr="00962508" w:rsidRDefault="00050236" w:rsidP="00BA6957">
            <w:pPr>
              <w:pStyle w:val="TableTextEntries"/>
            </w:pPr>
            <w:r w:rsidRPr="00962508">
              <w:t>( 2013-2017 )</w:t>
            </w:r>
          </w:p>
        </w:tc>
        <w:tc>
          <w:tcPr>
            <w:tcW w:w="416" w:type="pct"/>
          </w:tcPr>
          <w:p w:rsidR="00050236" w:rsidRPr="00962508" w:rsidRDefault="00050236" w:rsidP="00BA6957">
            <w:pPr>
              <w:pStyle w:val="TableTextEntries"/>
            </w:pPr>
            <w:r w:rsidRPr="00962508">
              <w:t>2013 QAI</w:t>
            </w:r>
          </w:p>
        </w:tc>
        <w:tc>
          <w:tcPr>
            <w:tcW w:w="418" w:type="pct"/>
            <w:shd w:val="clear" w:color="auto" w:fill="669900"/>
            <w:noWrap/>
          </w:tcPr>
          <w:p w:rsidR="00050236" w:rsidRPr="00962508" w:rsidRDefault="00050236" w:rsidP="00BA6957">
            <w:pPr>
              <w:pStyle w:val="TableTextEntries"/>
            </w:pPr>
            <w:r w:rsidRPr="00962508">
              <w:t>5</w:t>
            </w:r>
          </w:p>
        </w:tc>
        <w:tc>
          <w:tcPr>
            <w:tcW w:w="415" w:type="pct"/>
            <w:shd w:val="clear" w:color="auto" w:fill="FFFF00"/>
            <w:noWrap/>
          </w:tcPr>
          <w:p w:rsidR="00050236" w:rsidRPr="00962508" w:rsidRDefault="00050236" w:rsidP="00BA6957">
            <w:pPr>
              <w:pStyle w:val="TableTextEntries"/>
            </w:pPr>
            <w:r w:rsidRPr="00962508">
              <w:t>4</w:t>
            </w:r>
          </w:p>
        </w:tc>
        <w:tc>
          <w:tcPr>
            <w:tcW w:w="418" w:type="pct"/>
            <w:shd w:val="clear" w:color="auto" w:fill="FFFF00"/>
            <w:noWrap/>
          </w:tcPr>
          <w:p w:rsidR="00050236" w:rsidRPr="00962508" w:rsidRDefault="00050236" w:rsidP="00BA6957">
            <w:pPr>
              <w:pStyle w:val="TableTextEntries"/>
            </w:pPr>
            <w:r w:rsidRPr="00962508">
              <w:t>4</w:t>
            </w:r>
          </w:p>
        </w:tc>
        <w:tc>
          <w:tcPr>
            <w:tcW w:w="415" w:type="pct"/>
            <w:shd w:val="clear" w:color="auto" w:fill="FFFF00"/>
            <w:noWrap/>
          </w:tcPr>
          <w:p w:rsidR="00050236" w:rsidRPr="00962508" w:rsidRDefault="00050236" w:rsidP="00BA6957">
            <w:pPr>
              <w:pStyle w:val="TableTextEntries"/>
            </w:pPr>
            <w:r w:rsidRPr="00962508">
              <w:t>4</w:t>
            </w:r>
          </w:p>
        </w:tc>
        <w:tc>
          <w:tcPr>
            <w:tcW w:w="418" w:type="pct"/>
            <w:shd w:val="clear" w:color="auto" w:fill="FFFF00"/>
            <w:noWrap/>
          </w:tcPr>
          <w:p w:rsidR="00050236" w:rsidRPr="00962508" w:rsidRDefault="00050236" w:rsidP="00BA6957">
            <w:pPr>
              <w:pStyle w:val="TableTextEntries"/>
            </w:pPr>
            <w:r w:rsidRPr="00962508">
              <w:t>4</w:t>
            </w:r>
          </w:p>
        </w:tc>
        <w:tc>
          <w:tcPr>
            <w:tcW w:w="415" w:type="pct"/>
            <w:shd w:val="clear" w:color="auto" w:fill="FFFF00"/>
            <w:noWrap/>
          </w:tcPr>
          <w:p w:rsidR="00050236" w:rsidRPr="00962508" w:rsidRDefault="00050236" w:rsidP="00BA6957">
            <w:pPr>
              <w:pStyle w:val="TableTextEntries"/>
            </w:pPr>
            <w:r w:rsidRPr="00962508">
              <w:t>4</w:t>
            </w:r>
          </w:p>
        </w:tc>
        <w:tc>
          <w:tcPr>
            <w:tcW w:w="412" w:type="pct"/>
          </w:tcPr>
          <w:p w:rsidR="00050236" w:rsidRPr="00962508" w:rsidRDefault="00050236" w:rsidP="00BA6957">
            <w:pPr>
              <w:pStyle w:val="TableTextEntries"/>
            </w:pPr>
            <w:r w:rsidRPr="00962508">
              <w:t>n/a</w:t>
            </w:r>
          </w:p>
        </w:tc>
      </w:tr>
      <w:tr w:rsidR="00050236" w:rsidRPr="00962508" w:rsidTr="003C1438">
        <w:trPr>
          <w:cnfStyle w:val="000000010000" w:firstRow="0" w:lastRow="0" w:firstColumn="0" w:lastColumn="0" w:oddVBand="0" w:evenVBand="0" w:oddHBand="0" w:evenHBand="1" w:firstRowFirstColumn="0" w:firstRowLastColumn="0" w:lastRowFirstColumn="0" w:lastRowLastColumn="0"/>
          <w:trHeight w:val="284"/>
        </w:trPr>
        <w:tc>
          <w:tcPr>
            <w:tcW w:w="906" w:type="pct"/>
          </w:tcPr>
          <w:p w:rsidR="00050236" w:rsidRPr="00962508" w:rsidRDefault="00050236" w:rsidP="00BA6957">
            <w:pPr>
              <w:pStyle w:val="TableTextEntries"/>
            </w:pPr>
          </w:p>
          <w:p w:rsidR="00050236" w:rsidRPr="00962508" w:rsidRDefault="00050236" w:rsidP="00BA6957">
            <w:pPr>
              <w:pStyle w:val="TableTextEntries"/>
            </w:pPr>
            <w:r w:rsidRPr="00962508">
              <w:t xml:space="preserve">Laos Australia Rural Livelihoods </w:t>
            </w:r>
          </w:p>
        </w:tc>
        <w:tc>
          <w:tcPr>
            <w:tcW w:w="658" w:type="pct"/>
          </w:tcPr>
          <w:p w:rsidR="00050236" w:rsidRPr="00962508" w:rsidRDefault="00050236" w:rsidP="00BA6957">
            <w:pPr>
              <w:pStyle w:val="TableTextEntries"/>
            </w:pPr>
          </w:p>
          <w:p w:rsidR="00050236" w:rsidRPr="00962508" w:rsidRDefault="00050236" w:rsidP="00BA6957">
            <w:pPr>
              <w:pStyle w:val="TableTextEntries"/>
            </w:pPr>
            <w:r w:rsidRPr="00962508">
              <w:t>$38.4 million</w:t>
            </w:r>
          </w:p>
        </w:tc>
        <w:tc>
          <w:tcPr>
            <w:tcW w:w="416" w:type="pct"/>
          </w:tcPr>
          <w:p w:rsidR="00050236" w:rsidRPr="00962508" w:rsidRDefault="00050236" w:rsidP="00BA6957">
            <w:pPr>
              <w:pStyle w:val="TableTextEntries"/>
            </w:pPr>
          </w:p>
          <w:p w:rsidR="00050236" w:rsidRPr="00962508" w:rsidRDefault="00050236" w:rsidP="00BA6957">
            <w:pPr>
              <w:pStyle w:val="TableTextEntries"/>
            </w:pPr>
            <w:r w:rsidRPr="00962508">
              <w:t>2014 AQC</w:t>
            </w:r>
          </w:p>
        </w:tc>
        <w:tc>
          <w:tcPr>
            <w:tcW w:w="418" w:type="pct"/>
            <w:shd w:val="clear" w:color="auto" w:fill="669900"/>
            <w:noWrap/>
          </w:tcPr>
          <w:p w:rsidR="00050236" w:rsidRPr="00962508" w:rsidRDefault="00050236" w:rsidP="00BA6957">
            <w:pPr>
              <w:pStyle w:val="TableTextEntries"/>
            </w:pPr>
            <w:r w:rsidRPr="00962508">
              <w:t>5</w:t>
            </w:r>
          </w:p>
        </w:tc>
        <w:tc>
          <w:tcPr>
            <w:tcW w:w="415" w:type="pct"/>
            <w:shd w:val="clear" w:color="auto" w:fill="E36C0A" w:themeFill="accent6" w:themeFillShade="BF"/>
            <w:noWrap/>
          </w:tcPr>
          <w:p w:rsidR="00050236" w:rsidRPr="00962508" w:rsidRDefault="00050236" w:rsidP="00BA6957">
            <w:pPr>
              <w:pStyle w:val="TableTextEntries"/>
            </w:pPr>
            <w:r w:rsidRPr="00962508">
              <w:t>3</w:t>
            </w:r>
          </w:p>
        </w:tc>
        <w:tc>
          <w:tcPr>
            <w:tcW w:w="418" w:type="pct"/>
            <w:shd w:val="clear" w:color="auto" w:fill="E36C0A" w:themeFill="accent6" w:themeFillShade="BF"/>
            <w:noWrap/>
          </w:tcPr>
          <w:p w:rsidR="00050236" w:rsidRPr="00962508" w:rsidRDefault="00050236" w:rsidP="00BA6957">
            <w:pPr>
              <w:pStyle w:val="TableTextEntries"/>
            </w:pPr>
            <w:r w:rsidRPr="00962508">
              <w:t>3</w:t>
            </w:r>
          </w:p>
        </w:tc>
        <w:tc>
          <w:tcPr>
            <w:tcW w:w="415" w:type="pct"/>
            <w:shd w:val="clear" w:color="auto" w:fill="669900"/>
            <w:noWrap/>
          </w:tcPr>
          <w:p w:rsidR="00050236" w:rsidRPr="00962508" w:rsidRDefault="00050236" w:rsidP="00BA6957">
            <w:pPr>
              <w:pStyle w:val="TableTextEntries"/>
            </w:pPr>
            <w:r w:rsidRPr="00962508">
              <w:t>5</w:t>
            </w:r>
          </w:p>
        </w:tc>
        <w:tc>
          <w:tcPr>
            <w:tcW w:w="418" w:type="pct"/>
            <w:shd w:val="clear" w:color="auto" w:fill="FFFF00"/>
            <w:noWrap/>
          </w:tcPr>
          <w:p w:rsidR="00050236" w:rsidRPr="00962508" w:rsidRDefault="00050236" w:rsidP="00BA6957">
            <w:pPr>
              <w:pStyle w:val="TableTextEntries"/>
            </w:pPr>
            <w:r w:rsidRPr="00962508">
              <w:t>4</w:t>
            </w:r>
          </w:p>
        </w:tc>
        <w:tc>
          <w:tcPr>
            <w:tcW w:w="415" w:type="pct"/>
            <w:shd w:val="clear" w:color="auto" w:fill="FFFF00"/>
            <w:noWrap/>
          </w:tcPr>
          <w:p w:rsidR="00050236" w:rsidRPr="00962508" w:rsidRDefault="00050236" w:rsidP="00BA6957">
            <w:pPr>
              <w:pStyle w:val="TableTextEntries"/>
            </w:pPr>
            <w:r w:rsidRPr="00962508">
              <w:t>4</w:t>
            </w:r>
          </w:p>
        </w:tc>
        <w:tc>
          <w:tcPr>
            <w:tcW w:w="412" w:type="pct"/>
            <w:shd w:val="clear" w:color="auto" w:fill="FFFF00"/>
          </w:tcPr>
          <w:p w:rsidR="00050236" w:rsidRPr="00962508" w:rsidRDefault="00050236" w:rsidP="00BA6957">
            <w:pPr>
              <w:pStyle w:val="TableTextEntries"/>
            </w:pPr>
            <w:r w:rsidRPr="00962508">
              <w:t>4</w:t>
            </w:r>
          </w:p>
        </w:tc>
      </w:tr>
      <w:tr w:rsidR="00050236" w:rsidRPr="00962508" w:rsidTr="003C1438">
        <w:trPr>
          <w:cnfStyle w:val="000000010000" w:firstRow="0" w:lastRow="0" w:firstColumn="0" w:lastColumn="0" w:oddVBand="0" w:evenVBand="0" w:oddHBand="0" w:evenHBand="1" w:firstRowFirstColumn="0" w:firstRowLastColumn="0" w:lastRowFirstColumn="0" w:lastRowLastColumn="0"/>
          <w:trHeight w:val="284"/>
        </w:trPr>
        <w:tc>
          <w:tcPr>
            <w:tcW w:w="906" w:type="pct"/>
          </w:tcPr>
          <w:p w:rsidR="00050236" w:rsidRPr="00962508" w:rsidRDefault="00050236" w:rsidP="00BA6957">
            <w:pPr>
              <w:pStyle w:val="TableTextEntries"/>
            </w:pPr>
            <w:r w:rsidRPr="00962508">
              <w:t>Program</w:t>
            </w:r>
          </w:p>
        </w:tc>
        <w:tc>
          <w:tcPr>
            <w:tcW w:w="658" w:type="pct"/>
          </w:tcPr>
          <w:p w:rsidR="00050236" w:rsidRPr="00962508" w:rsidRDefault="00050236" w:rsidP="00BA6957">
            <w:pPr>
              <w:pStyle w:val="TableTextEntries"/>
            </w:pPr>
            <w:r w:rsidRPr="00962508">
              <w:t>(2012-2016)</w:t>
            </w:r>
          </w:p>
        </w:tc>
        <w:tc>
          <w:tcPr>
            <w:tcW w:w="416" w:type="pct"/>
          </w:tcPr>
          <w:p w:rsidR="00050236" w:rsidRPr="00962508" w:rsidRDefault="00050236" w:rsidP="00BA6957">
            <w:pPr>
              <w:pStyle w:val="TableTextEntries"/>
            </w:pPr>
            <w:r w:rsidRPr="00962508">
              <w:t>2013 QAI</w:t>
            </w:r>
          </w:p>
        </w:tc>
        <w:tc>
          <w:tcPr>
            <w:tcW w:w="418" w:type="pct"/>
            <w:shd w:val="clear" w:color="auto" w:fill="669900"/>
            <w:noWrap/>
          </w:tcPr>
          <w:p w:rsidR="00050236" w:rsidRPr="00962508" w:rsidRDefault="00050236" w:rsidP="00BA6957">
            <w:pPr>
              <w:pStyle w:val="TableTextEntries"/>
            </w:pPr>
            <w:r w:rsidRPr="00962508">
              <w:t>6</w:t>
            </w:r>
          </w:p>
        </w:tc>
        <w:tc>
          <w:tcPr>
            <w:tcW w:w="415" w:type="pct"/>
            <w:shd w:val="clear" w:color="auto" w:fill="FFFF00"/>
            <w:noWrap/>
          </w:tcPr>
          <w:p w:rsidR="00050236" w:rsidRPr="00962508" w:rsidRDefault="00050236" w:rsidP="00BA6957">
            <w:pPr>
              <w:pStyle w:val="TableTextEntries"/>
            </w:pPr>
            <w:r w:rsidRPr="00962508">
              <w:t>4</w:t>
            </w:r>
          </w:p>
        </w:tc>
        <w:tc>
          <w:tcPr>
            <w:tcW w:w="418" w:type="pct"/>
            <w:shd w:val="clear" w:color="auto" w:fill="FFFF00"/>
            <w:noWrap/>
          </w:tcPr>
          <w:p w:rsidR="00050236" w:rsidRPr="00962508" w:rsidRDefault="00050236" w:rsidP="00BA6957">
            <w:pPr>
              <w:pStyle w:val="TableTextEntries"/>
            </w:pPr>
            <w:r w:rsidRPr="00962508">
              <w:t>4</w:t>
            </w:r>
          </w:p>
        </w:tc>
        <w:tc>
          <w:tcPr>
            <w:tcW w:w="415" w:type="pct"/>
            <w:shd w:val="clear" w:color="auto" w:fill="669900"/>
            <w:noWrap/>
          </w:tcPr>
          <w:p w:rsidR="00050236" w:rsidRPr="00962508" w:rsidRDefault="00050236" w:rsidP="00BA6957">
            <w:pPr>
              <w:pStyle w:val="TableTextEntries"/>
            </w:pPr>
            <w:r w:rsidRPr="00962508">
              <w:t>5</w:t>
            </w:r>
          </w:p>
        </w:tc>
        <w:tc>
          <w:tcPr>
            <w:tcW w:w="418" w:type="pct"/>
            <w:shd w:val="clear" w:color="auto" w:fill="FFFF00"/>
            <w:noWrap/>
          </w:tcPr>
          <w:p w:rsidR="00050236" w:rsidRPr="00962508" w:rsidRDefault="00050236" w:rsidP="00BA6957">
            <w:pPr>
              <w:pStyle w:val="TableTextEntries"/>
            </w:pPr>
            <w:r w:rsidRPr="00962508">
              <w:t>4</w:t>
            </w:r>
          </w:p>
        </w:tc>
        <w:tc>
          <w:tcPr>
            <w:tcW w:w="415" w:type="pct"/>
            <w:shd w:val="clear" w:color="auto" w:fill="669900"/>
            <w:noWrap/>
          </w:tcPr>
          <w:p w:rsidR="00050236" w:rsidRPr="00962508" w:rsidRDefault="00050236" w:rsidP="00BA6957">
            <w:pPr>
              <w:pStyle w:val="TableTextEntries"/>
            </w:pPr>
            <w:r w:rsidRPr="00962508">
              <w:t>5</w:t>
            </w:r>
          </w:p>
        </w:tc>
        <w:tc>
          <w:tcPr>
            <w:tcW w:w="412" w:type="pct"/>
          </w:tcPr>
          <w:p w:rsidR="00050236" w:rsidRPr="00962508" w:rsidRDefault="00050236" w:rsidP="00BA6957">
            <w:pPr>
              <w:pStyle w:val="TableTextEntries"/>
            </w:pPr>
            <w:r w:rsidRPr="00962508">
              <w:t>n/a</w:t>
            </w:r>
          </w:p>
        </w:tc>
      </w:tr>
      <w:tr w:rsidR="00050236" w:rsidRPr="00962508" w:rsidTr="003C1438">
        <w:trPr>
          <w:cnfStyle w:val="000000010000" w:firstRow="0" w:lastRow="0" w:firstColumn="0" w:lastColumn="0" w:oddVBand="0" w:evenVBand="0" w:oddHBand="0" w:evenHBand="1" w:firstRowFirstColumn="0" w:firstRowLastColumn="0" w:lastRowFirstColumn="0" w:lastRowLastColumn="0"/>
          <w:trHeight w:val="284"/>
        </w:trPr>
        <w:tc>
          <w:tcPr>
            <w:tcW w:w="906" w:type="pct"/>
          </w:tcPr>
          <w:p w:rsidR="00050236" w:rsidRPr="00962508" w:rsidRDefault="00161715" w:rsidP="00BA6957">
            <w:pPr>
              <w:pStyle w:val="TableTextEntries"/>
            </w:pPr>
            <w:r w:rsidRPr="00962508">
              <w:t>–Laos Australia Institute (Including in-Australia Awards)</w:t>
            </w:r>
          </w:p>
        </w:tc>
        <w:tc>
          <w:tcPr>
            <w:tcW w:w="658" w:type="pct"/>
          </w:tcPr>
          <w:p w:rsidR="00050236" w:rsidRPr="00962508" w:rsidRDefault="00050236" w:rsidP="00BA6957">
            <w:pPr>
              <w:pStyle w:val="TableTextEntries"/>
            </w:pPr>
            <w:r w:rsidRPr="00962508">
              <w:t>$</w:t>
            </w:r>
            <w:r w:rsidR="00A45D1C" w:rsidRPr="00962508">
              <w:t>37</w:t>
            </w:r>
            <w:r w:rsidRPr="00962508">
              <w:t xml:space="preserve"> million       (2010-2015 )</w:t>
            </w:r>
          </w:p>
        </w:tc>
        <w:tc>
          <w:tcPr>
            <w:tcW w:w="416" w:type="pct"/>
          </w:tcPr>
          <w:p w:rsidR="00050236" w:rsidRPr="00962508" w:rsidRDefault="00050236" w:rsidP="00BA6957">
            <w:pPr>
              <w:pStyle w:val="TableTextEntries"/>
            </w:pPr>
            <w:r w:rsidRPr="00962508">
              <w:t>2014 AQC</w:t>
            </w:r>
          </w:p>
        </w:tc>
        <w:tc>
          <w:tcPr>
            <w:tcW w:w="418" w:type="pct"/>
            <w:shd w:val="clear" w:color="auto" w:fill="669900"/>
            <w:noWrap/>
          </w:tcPr>
          <w:p w:rsidR="00050236" w:rsidRPr="00962508" w:rsidRDefault="00050236" w:rsidP="00BA6957">
            <w:pPr>
              <w:pStyle w:val="TableTextEntries"/>
            </w:pPr>
            <w:r w:rsidRPr="00962508">
              <w:t>6</w:t>
            </w:r>
          </w:p>
        </w:tc>
        <w:tc>
          <w:tcPr>
            <w:tcW w:w="415" w:type="pct"/>
            <w:shd w:val="clear" w:color="auto" w:fill="FFFF00"/>
            <w:noWrap/>
          </w:tcPr>
          <w:p w:rsidR="00050236" w:rsidRPr="00962508" w:rsidRDefault="00050236" w:rsidP="00BA6957">
            <w:pPr>
              <w:pStyle w:val="TableTextEntries"/>
            </w:pPr>
            <w:r w:rsidRPr="00962508">
              <w:t>4</w:t>
            </w:r>
          </w:p>
        </w:tc>
        <w:tc>
          <w:tcPr>
            <w:tcW w:w="418" w:type="pct"/>
            <w:shd w:val="clear" w:color="auto" w:fill="FFFF00"/>
            <w:noWrap/>
          </w:tcPr>
          <w:p w:rsidR="00050236" w:rsidRPr="00962508" w:rsidRDefault="00050236" w:rsidP="00BA6957">
            <w:pPr>
              <w:pStyle w:val="TableTextEntries"/>
            </w:pPr>
            <w:r w:rsidRPr="00962508">
              <w:t>4</w:t>
            </w:r>
          </w:p>
        </w:tc>
        <w:tc>
          <w:tcPr>
            <w:tcW w:w="415" w:type="pct"/>
            <w:shd w:val="clear" w:color="auto" w:fill="669900"/>
            <w:noWrap/>
          </w:tcPr>
          <w:p w:rsidR="00050236" w:rsidRPr="00962508" w:rsidRDefault="00050236" w:rsidP="00BA6957">
            <w:pPr>
              <w:pStyle w:val="TableTextEntries"/>
            </w:pPr>
            <w:r w:rsidRPr="00962508">
              <w:t>5</w:t>
            </w:r>
          </w:p>
        </w:tc>
        <w:tc>
          <w:tcPr>
            <w:tcW w:w="418" w:type="pct"/>
            <w:shd w:val="clear" w:color="auto" w:fill="FFFF00"/>
            <w:noWrap/>
          </w:tcPr>
          <w:p w:rsidR="00050236" w:rsidRPr="00962508" w:rsidRDefault="00050236" w:rsidP="00BA6957">
            <w:pPr>
              <w:pStyle w:val="TableTextEntries"/>
            </w:pPr>
            <w:r w:rsidRPr="00962508">
              <w:t>4</w:t>
            </w:r>
          </w:p>
        </w:tc>
        <w:tc>
          <w:tcPr>
            <w:tcW w:w="415" w:type="pct"/>
            <w:shd w:val="clear" w:color="auto" w:fill="FFFF00"/>
            <w:noWrap/>
          </w:tcPr>
          <w:p w:rsidR="00050236" w:rsidRPr="00962508" w:rsidRDefault="00050236" w:rsidP="00BA6957">
            <w:pPr>
              <w:pStyle w:val="TableTextEntries"/>
            </w:pPr>
            <w:r w:rsidRPr="00962508">
              <w:t>4</w:t>
            </w:r>
          </w:p>
        </w:tc>
        <w:tc>
          <w:tcPr>
            <w:tcW w:w="412" w:type="pct"/>
            <w:shd w:val="clear" w:color="auto" w:fill="669900"/>
          </w:tcPr>
          <w:p w:rsidR="00050236" w:rsidRPr="00962508" w:rsidRDefault="00050236" w:rsidP="00BA6957">
            <w:pPr>
              <w:pStyle w:val="TableTextEntries"/>
            </w:pPr>
            <w:r w:rsidRPr="00962508">
              <w:t>5</w:t>
            </w:r>
          </w:p>
        </w:tc>
      </w:tr>
      <w:tr w:rsidR="003C1438" w:rsidRPr="00962508" w:rsidTr="003C1438">
        <w:trPr>
          <w:cnfStyle w:val="000000010000" w:firstRow="0" w:lastRow="0" w:firstColumn="0" w:lastColumn="0" w:oddVBand="0" w:evenVBand="0" w:oddHBand="0" w:evenHBand="1" w:firstRowFirstColumn="0" w:firstRowLastColumn="0" w:lastRowFirstColumn="0" w:lastRowLastColumn="0"/>
          <w:trHeight w:val="284"/>
        </w:trPr>
        <w:tc>
          <w:tcPr>
            <w:tcW w:w="906" w:type="pct"/>
          </w:tcPr>
          <w:p w:rsidR="003C1438" w:rsidRPr="00962508" w:rsidRDefault="003C1438" w:rsidP="00BA6957">
            <w:pPr>
              <w:pStyle w:val="TableTextEntries"/>
            </w:pPr>
          </w:p>
        </w:tc>
        <w:tc>
          <w:tcPr>
            <w:tcW w:w="658" w:type="pct"/>
          </w:tcPr>
          <w:p w:rsidR="003C1438" w:rsidRPr="00962508" w:rsidRDefault="003C1438" w:rsidP="00BA6957">
            <w:pPr>
              <w:pStyle w:val="TableTextEntries"/>
            </w:pPr>
          </w:p>
        </w:tc>
        <w:tc>
          <w:tcPr>
            <w:tcW w:w="416" w:type="pct"/>
          </w:tcPr>
          <w:p w:rsidR="003C1438" w:rsidRPr="00962508" w:rsidRDefault="003C1438" w:rsidP="00BA6957">
            <w:pPr>
              <w:pStyle w:val="TableTextEntries"/>
            </w:pPr>
            <w:r w:rsidRPr="00962508">
              <w:t>2013 QAI</w:t>
            </w:r>
          </w:p>
        </w:tc>
        <w:tc>
          <w:tcPr>
            <w:tcW w:w="418" w:type="pct"/>
            <w:shd w:val="clear" w:color="auto" w:fill="669900"/>
            <w:noWrap/>
          </w:tcPr>
          <w:p w:rsidR="003C1438" w:rsidRPr="00962508" w:rsidRDefault="003C1438" w:rsidP="00BA6957">
            <w:pPr>
              <w:pStyle w:val="TableTextEntries"/>
            </w:pPr>
            <w:r w:rsidRPr="00962508">
              <w:t>6</w:t>
            </w:r>
          </w:p>
        </w:tc>
        <w:tc>
          <w:tcPr>
            <w:tcW w:w="415" w:type="pct"/>
            <w:shd w:val="clear" w:color="auto" w:fill="669900"/>
            <w:noWrap/>
          </w:tcPr>
          <w:p w:rsidR="003C1438" w:rsidRPr="00962508" w:rsidRDefault="003C1438" w:rsidP="00BA6957">
            <w:pPr>
              <w:pStyle w:val="TableTextEntries"/>
            </w:pPr>
            <w:r w:rsidRPr="00962508">
              <w:t>5</w:t>
            </w:r>
          </w:p>
        </w:tc>
        <w:tc>
          <w:tcPr>
            <w:tcW w:w="418" w:type="pct"/>
            <w:shd w:val="clear" w:color="auto" w:fill="FFFF00"/>
            <w:noWrap/>
          </w:tcPr>
          <w:p w:rsidR="003C1438" w:rsidRPr="00962508" w:rsidRDefault="003C1438" w:rsidP="00BA6957">
            <w:pPr>
              <w:pStyle w:val="TableTextEntries"/>
            </w:pPr>
            <w:r w:rsidRPr="00962508">
              <w:t>4</w:t>
            </w:r>
          </w:p>
        </w:tc>
        <w:tc>
          <w:tcPr>
            <w:tcW w:w="415" w:type="pct"/>
            <w:shd w:val="clear" w:color="auto" w:fill="669900"/>
            <w:noWrap/>
          </w:tcPr>
          <w:p w:rsidR="003C1438" w:rsidRPr="00962508" w:rsidRDefault="003C1438" w:rsidP="00BA6957">
            <w:pPr>
              <w:pStyle w:val="TableTextEntries"/>
            </w:pPr>
            <w:r w:rsidRPr="00962508">
              <w:t>5</w:t>
            </w:r>
          </w:p>
        </w:tc>
        <w:tc>
          <w:tcPr>
            <w:tcW w:w="418" w:type="pct"/>
            <w:shd w:val="clear" w:color="auto" w:fill="669900"/>
            <w:noWrap/>
          </w:tcPr>
          <w:p w:rsidR="003C1438" w:rsidRPr="00962508" w:rsidRDefault="003C1438" w:rsidP="00BA6957">
            <w:pPr>
              <w:pStyle w:val="TableTextEntries"/>
            </w:pPr>
            <w:r w:rsidRPr="00962508">
              <w:t>5</w:t>
            </w:r>
          </w:p>
        </w:tc>
        <w:tc>
          <w:tcPr>
            <w:tcW w:w="415" w:type="pct"/>
            <w:shd w:val="clear" w:color="auto" w:fill="669900"/>
            <w:noWrap/>
          </w:tcPr>
          <w:p w:rsidR="003C1438" w:rsidRPr="00962508" w:rsidRDefault="003C1438" w:rsidP="00BA6957">
            <w:pPr>
              <w:pStyle w:val="TableTextEntries"/>
            </w:pPr>
            <w:r w:rsidRPr="00962508">
              <w:t>5</w:t>
            </w:r>
          </w:p>
        </w:tc>
        <w:tc>
          <w:tcPr>
            <w:tcW w:w="412" w:type="pct"/>
            <w:shd w:val="clear" w:color="auto" w:fill="auto"/>
          </w:tcPr>
          <w:p w:rsidR="003C1438" w:rsidRPr="00962508" w:rsidRDefault="003C1438" w:rsidP="00BA6957">
            <w:pPr>
              <w:pStyle w:val="TableTextEntries"/>
            </w:pPr>
            <w:r w:rsidRPr="00962508">
              <w:t>n/a</w:t>
            </w:r>
          </w:p>
        </w:tc>
      </w:tr>
      <w:tr w:rsidR="00050236" w:rsidRPr="00962508" w:rsidTr="003C1438">
        <w:trPr>
          <w:cnfStyle w:val="000000010000" w:firstRow="0" w:lastRow="0" w:firstColumn="0" w:lastColumn="0" w:oddVBand="0" w:evenVBand="0" w:oddHBand="0" w:evenHBand="1" w:firstRowFirstColumn="0" w:firstRowLastColumn="0" w:lastRowFirstColumn="0" w:lastRowLastColumn="0"/>
          <w:trHeight w:val="284"/>
        </w:trPr>
        <w:tc>
          <w:tcPr>
            <w:tcW w:w="906" w:type="pct"/>
          </w:tcPr>
          <w:p w:rsidR="00050236" w:rsidRPr="00962508" w:rsidRDefault="00050236" w:rsidP="00BA6957">
            <w:pPr>
              <w:pStyle w:val="TableTextEntries"/>
            </w:pPr>
          </w:p>
          <w:p w:rsidR="00440D6E" w:rsidRPr="00962508" w:rsidRDefault="00440D6E" w:rsidP="00BA6957">
            <w:pPr>
              <w:pStyle w:val="TableTextEntries"/>
            </w:pPr>
          </w:p>
        </w:tc>
        <w:tc>
          <w:tcPr>
            <w:tcW w:w="658" w:type="pct"/>
          </w:tcPr>
          <w:p w:rsidR="00050236" w:rsidRPr="00962508" w:rsidRDefault="00050236" w:rsidP="00BA6957">
            <w:pPr>
              <w:pStyle w:val="TableTextEntries"/>
            </w:pPr>
          </w:p>
        </w:tc>
        <w:tc>
          <w:tcPr>
            <w:tcW w:w="416" w:type="pct"/>
          </w:tcPr>
          <w:p w:rsidR="00050236" w:rsidRPr="00962508" w:rsidRDefault="00050236" w:rsidP="00BA6957">
            <w:pPr>
              <w:pStyle w:val="TableTextEntries"/>
            </w:pPr>
          </w:p>
        </w:tc>
        <w:tc>
          <w:tcPr>
            <w:tcW w:w="418" w:type="pct"/>
            <w:shd w:val="clear" w:color="auto" w:fill="FFFFFF" w:themeFill="background1"/>
            <w:noWrap/>
          </w:tcPr>
          <w:p w:rsidR="00050236" w:rsidRPr="00962508" w:rsidRDefault="00050236" w:rsidP="00BA6957">
            <w:pPr>
              <w:pStyle w:val="TableTextEntries"/>
            </w:pPr>
          </w:p>
        </w:tc>
        <w:tc>
          <w:tcPr>
            <w:tcW w:w="415" w:type="pct"/>
            <w:shd w:val="clear" w:color="auto" w:fill="FFFFFF" w:themeFill="background1"/>
            <w:noWrap/>
          </w:tcPr>
          <w:p w:rsidR="00050236" w:rsidRPr="00962508" w:rsidRDefault="00050236" w:rsidP="00BA6957">
            <w:pPr>
              <w:pStyle w:val="TableTextEntries"/>
            </w:pPr>
          </w:p>
        </w:tc>
        <w:tc>
          <w:tcPr>
            <w:tcW w:w="418" w:type="pct"/>
            <w:shd w:val="clear" w:color="auto" w:fill="FFFFFF" w:themeFill="background1"/>
            <w:noWrap/>
          </w:tcPr>
          <w:p w:rsidR="00050236" w:rsidRPr="00962508" w:rsidRDefault="00050236" w:rsidP="00BA6957">
            <w:pPr>
              <w:pStyle w:val="TableTextEntries"/>
            </w:pPr>
          </w:p>
        </w:tc>
        <w:tc>
          <w:tcPr>
            <w:tcW w:w="415" w:type="pct"/>
            <w:shd w:val="clear" w:color="auto" w:fill="FFFFFF" w:themeFill="background1"/>
            <w:noWrap/>
          </w:tcPr>
          <w:p w:rsidR="00050236" w:rsidRPr="00962508" w:rsidRDefault="00050236" w:rsidP="00BA6957">
            <w:pPr>
              <w:pStyle w:val="TableTextEntries"/>
            </w:pPr>
          </w:p>
        </w:tc>
        <w:tc>
          <w:tcPr>
            <w:tcW w:w="418" w:type="pct"/>
            <w:shd w:val="clear" w:color="auto" w:fill="FFFFFF" w:themeFill="background1"/>
            <w:noWrap/>
          </w:tcPr>
          <w:p w:rsidR="00050236" w:rsidRPr="00962508" w:rsidRDefault="00050236" w:rsidP="00BA6957">
            <w:pPr>
              <w:pStyle w:val="TableTextEntries"/>
            </w:pPr>
          </w:p>
        </w:tc>
        <w:tc>
          <w:tcPr>
            <w:tcW w:w="415" w:type="pct"/>
            <w:shd w:val="clear" w:color="auto" w:fill="FFFFFF" w:themeFill="background1"/>
            <w:noWrap/>
          </w:tcPr>
          <w:p w:rsidR="00050236" w:rsidRPr="00962508" w:rsidRDefault="00050236" w:rsidP="00BA6957">
            <w:pPr>
              <w:pStyle w:val="TableTextEntries"/>
            </w:pPr>
          </w:p>
        </w:tc>
        <w:tc>
          <w:tcPr>
            <w:tcW w:w="412" w:type="pct"/>
            <w:shd w:val="clear" w:color="auto" w:fill="FFFFFF" w:themeFill="background1"/>
          </w:tcPr>
          <w:p w:rsidR="00050236" w:rsidRPr="00962508" w:rsidRDefault="00050236" w:rsidP="00BA6957">
            <w:pPr>
              <w:pStyle w:val="TableTextEntries"/>
            </w:pPr>
          </w:p>
        </w:tc>
      </w:tr>
    </w:tbl>
    <w:p w:rsidR="003D3A38" w:rsidRDefault="003D3A38" w:rsidP="00C04471">
      <w:pPr>
        <w:pStyle w:val="BodyText"/>
      </w:pPr>
    </w:p>
    <w:p w:rsidR="00C04471" w:rsidRDefault="00C04471" w:rsidP="00C04471">
      <w:pPr>
        <w:pStyle w:val="BodyText"/>
      </w:pPr>
    </w:p>
    <w:p w:rsidR="00D24C1F" w:rsidRPr="00962508" w:rsidRDefault="00D24C1F" w:rsidP="00D24C1F">
      <w:pPr>
        <w:pStyle w:val="Heading3"/>
      </w:pPr>
      <w:r w:rsidRPr="00962508">
        <w:lastRenderedPageBreak/>
        <w:t>FAQC ratings</w:t>
      </w:r>
    </w:p>
    <w:p w:rsidR="00D24C1F" w:rsidRPr="00962508" w:rsidRDefault="00D24C1F" w:rsidP="00D24C1F">
      <w:pPr>
        <w:pStyle w:val="BodyText"/>
      </w:pPr>
      <w:r w:rsidRPr="00962508">
        <w:t>FAQC scores assess performance over the lifetime of the investment and should not be compared to the previous year’s QAI ratings.</w:t>
      </w:r>
    </w:p>
    <w:tbl>
      <w:tblPr>
        <w:tblStyle w:val="APPR"/>
        <w:tblW w:w="5000" w:type="pct"/>
        <w:tblLook w:val="0000" w:firstRow="0" w:lastRow="0" w:firstColumn="0" w:lastColumn="0" w:noHBand="0" w:noVBand="0"/>
        <w:tblCaption w:val="Final Aid Quality Check (FAQC) ratings"/>
        <w:tblDescription w:val="This table shows the Final Aid Quality Check (FAQC) ratings that concluding investments received based on their performance over the entire life of the  investment.  It shows  the investment name, the approved budget and duration, the overall rating, the relevance rating, the effectiveness rating, the efficiency rating, the monitoring and evaluation rating, the sustainability rating, the gender equality rating, and the risks and safeguards rating.  The rating scale is a 6 point scale.  6 = Very good; satisfies criteria in all or almost all areas,  5 = Good; satisfies criteria in most areas, 4 = Adequate; on balance, satisfies criteria; does not fail in any major area, 3 = Less than adequate; on balance does not satisfy criteria but does not fail in any major area, 2 = Poor; does not satisfy criteria in major areas, 1 = Very poor; does not satisfy criteria in many major areas. Ratings of 4,5 or 6 are regarded as satisfactory.  Ratings of 1,2 or 3 are regarded as unsatisfactory. "/>
      </w:tblPr>
      <w:tblGrid>
        <w:gridCol w:w="2619"/>
        <w:gridCol w:w="1900"/>
        <w:gridCol w:w="1215"/>
        <w:gridCol w:w="1213"/>
        <w:gridCol w:w="1215"/>
        <w:gridCol w:w="1213"/>
        <w:gridCol w:w="1215"/>
        <w:gridCol w:w="1213"/>
        <w:gridCol w:w="1215"/>
        <w:gridCol w:w="1214"/>
      </w:tblGrid>
      <w:tr w:rsidR="00D24C1F" w:rsidRPr="00962508" w:rsidTr="00D24C1F">
        <w:trPr>
          <w:cnfStyle w:val="000000010000" w:firstRow="0" w:lastRow="0" w:firstColumn="0" w:lastColumn="0" w:oddVBand="0" w:evenVBand="0" w:oddHBand="0" w:evenHBand="1" w:firstRowFirstColumn="0" w:firstRowLastColumn="0" w:lastRowFirstColumn="0" w:lastRowLastColumn="0"/>
          <w:trHeight w:val="1505"/>
        </w:trPr>
        <w:tc>
          <w:tcPr>
            <w:tcW w:w="903" w:type="pct"/>
          </w:tcPr>
          <w:p w:rsidR="00D24C1F" w:rsidRPr="00962508" w:rsidRDefault="00D24C1F" w:rsidP="00D24C1F">
            <w:pPr>
              <w:pStyle w:val="TableTextColumnHeading"/>
            </w:pPr>
            <w:r w:rsidRPr="00962508">
              <w:rPr>
                <w:noProof/>
                <w:lang w:eastAsia="en-AU"/>
              </w:rPr>
              <w:drawing>
                <wp:anchor distT="0" distB="0" distL="114300" distR="114300" simplePos="0" relativeHeight="251679744" behindDoc="0" locked="0" layoutInCell="1" allowOverlap="1" wp14:anchorId="27B93918" wp14:editId="07D00BB0">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508">
              <w:t>Investment name</w:t>
            </w:r>
          </w:p>
        </w:tc>
        <w:tc>
          <w:tcPr>
            <w:tcW w:w="656" w:type="pct"/>
            <w:textDirection w:val="btLr"/>
          </w:tcPr>
          <w:p w:rsidR="00D24C1F" w:rsidRPr="00962508" w:rsidRDefault="00D24C1F" w:rsidP="00D24C1F">
            <w:pPr>
              <w:pStyle w:val="TableTextColumnHeading"/>
            </w:pPr>
            <w:r w:rsidRPr="00962508">
              <w:t>Approved budget and duration</w:t>
            </w:r>
          </w:p>
        </w:tc>
        <w:tc>
          <w:tcPr>
            <w:tcW w:w="416" w:type="pct"/>
            <w:noWrap/>
            <w:textDirection w:val="btLr"/>
          </w:tcPr>
          <w:p w:rsidR="00D24C1F" w:rsidRPr="00962508" w:rsidRDefault="00D24C1F" w:rsidP="00D24C1F">
            <w:pPr>
              <w:pStyle w:val="TableTextColumnHeading"/>
            </w:pPr>
            <w:r w:rsidRPr="00962508">
              <w:t>Overall rating</w:t>
            </w:r>
          </w:p>
        </w:tc>
        <w:tc>
          <w:tcPr>
            <w:tcW w:w="415" w:type="pct"/>
            <w:noWrap/>
            <w:textDirection w:val="btLr"/>
          </w:tcPr>
          <w:p w:rsidR="00D24C1F" w:rsidRPr="00962508" w:rsidRDefault="00D24C1F" w:rsidP="00D24C1F">
            <w:pPr>
              <w:pStyle w:val="TableTextColumnHeading"/>
            </w:pPr>
            <w:r w:rsidRPr="00962508">
              <w:t>Relevance</w:t>
            </w:r>
          </w:p>
        </w:tc>
        <w:tc>
          <w:tcPr>
            <w:tcW w:w="416" w:type="pct"/>
            <w:noWrap/>
            <w:textDirection w:val="btLr"/>
          </w:tcPr>
          <w:p w:rsidR="00D24C1F" w:rsidRPr="00962508" w:rsidRDefault="00D24C1F" w:rsidP="00D24C1F">
            <w:pPr>
              <w:pStyle w:val="TableTextColumnHeading"/>
            </w:pPr>
            <w:r w:rsidRPr="00962508">
              <w:t>Effectiveness</w:t>
            </w:r>
          </w:p>
        </w:tc>
        <w:tc>
          <w:tcPr>
            <w:tcW w:w="415" w:type="pct"/>
            <w:noWrap/>
            <w:textDirection w:val="btLr"/>
          </w:tcPr>
          <w:p w:rsidR="00D24C1F" w:rsidRPr="00962508" w:rsidRDefault="00D24C1F" w:rsidP="00D24C1F">
            <w:pPr>
              <w:pStyle w:val="TableTextColumnHeading"/>
            </w:pPr>
            <w:r w:rsidRPr="00962508">
              <w:t>Efficiency</w:t>
            </w:r>
          </w:p>
        </w:tc>
        <w:tc>
          <w:tcPr>
            <w:tcW w:w="416" w:type="pct"/>
            <w:noWrap/>
            <w:textDirection w:val="btLr"/>
          </w:tcPr>
          <w:p w:rsidR="00D24C1F" w:rsidRPr="00962508" w:rsidRDefault="00D24C1F" w:rsidP="00D24C1F">
            <w:pPr>
              <w:pStyle w:val="TableTextColumnHeading"/>
            </w:pPr>
            <w:r w:rsidRPr="00962508">
              <w:t>Monitoring and Evaluation</w:t>
            </w:r>
          </w:p>
        </w:tc>
        <w:tc>
          <w:tcPr>
            <w:tcW w:w="415" w:type="pct"/>
            <w:noWrap/>
            <w:textDirection w:val="btLr"/>
          </w:tcPr>
          <w:p w:rsidR="00D24C1F" w:rsidRPr="00962508" w:rsidRDefault="00D24C1F" w:rsidP="00D24C1F">
            <w:pPr>
              <w:pStyle w:val="TableTextColumnHeading"/>
            </w:pPr>
            <w:r w:rsidRPr="00962508">
              <w:t>Sustainability</w:t>
            </w:r>
          </w:p>
        </w:tc>
        <w:tc>
          <w:tcPr>
            <w:tcW w:w="416" w:type="pct"/>
            <w:textDirection w:val="btLr"/>
          </w:tcPr>
          <w:p w:rsidR="00D24C1F" w:rsidRPr="00962508" w:rsidRDefault="00D24C1F" w:rsidP="00D24C1F">
            <w:pPr>
              <w:pStyle w:val="TableTextColumnHeading"/>
            </w:pPr>
            <w:r w:rsidRPr="00962508">
              <w:t>Gender equality</w:t>
            </w:r>
          </w:p>
        </w:tc>
        <w:tc>
          <w:tcPr>
            <w:tcW w:w="411" w:type="pct"/>
            <w:textDirection w:val="btLr"/>
          </w:tcPr>
          <w:p w:rsidR="00D24C1F" w:rsidRPr="00962508" w:rsidRDefault="00D24C1F" w:rsidP="00D24C1F">
            <w:pPr>
              <w:pStyle w:val="TableTextColumnHeading"/>
            </w:pPr>
            <w:r w:rsidRPr="00962508">
              <w:t>Risks  and Safeguards</w:t>
            </w:r>
          </w:p>
        </w:tc>
      </w:tr>
      <w:tr w:rsidR="00D24C1F" w:rsidRPr="00962508" w:rsidTr="00D24C1F">
        <w:trPr>
          <w:cnfStyle w:val="000000010000" w:firstRow="0" w:lastRow="0" w:firstColumn="0" w:lastColumn="0" w:oddVBand="0" w:evenVBand="0" w:oddHBand="0" w:evenHBand="1" w:firstRowFirstColumn="0" w:firstRowLastColumn="0" w:lastRowFirstColumn="0" w:lastRowLastColumn="0"/>
          <w:trHeight w:val="284"/>
        </w:trPr>
        <w:tc>
          <w:tcPr>
            <w:tcW w:w="903" w:type="pct"/>
          </w:tcPr>
          <w:p w:rsidR="00D24C1F" w:rsidRPr="00962508" w:rsidRDefault="00D24C1F" w:rsidP="00D24C1F">
            <w:pPr>
              <w:pStyle w:val="TableTextEntries"/>
            </w:pPr>
            <w:r w:rsidRPr="00962508">
              <w:t>Laos-NGO Cooperation Agreements (LANGOCA)</w:t>
            </w:r>
          </w:p>
        </w:tc>
        <w:tc>
          <w:tcPr>
            <w:tcW w:w="656" w:type="pct"/>
          </w:tcPr>
          <w:p w:rsidR="00D24C1F" w:rsidRPr="00962508" w:rsidRDefault="00D24C1F" w:rsidP="00D24C1F">
            <w:pPr>
              <w:pStyle w:val="TableTextEntries"/>
            </w:pPr>
            <w:r w:rsidRPr="00962508">
              <w:t>$12.8 million</w:t>
            </w:r>
          </w:p>
          <w:p w:rsidR="00D24C1F" w:rsidRPr="00962508" w:rsidRDefault="00D24C1F" w:rsidP="00D24C1F">
            <w:pPr>
              <w:pStyle w:val="TableTextEntries"/>
            </w:pPr>
            <w:r w:rsidRPr="00962508">
              <w:t>(2005-2014)</w:t>
            </w:r>
          </w:p>
        </w:tc>
        <w:tc>
          <w:tcPr>
            <w:tcW w:w="416" w:type="pct"/>
            <w:noWrap/>
          </w:tcPr>
          <w:p w:rsidR="00D24C1F" w:rsidRPr="00962508" w:rsidRDefault="00D24C1F" w:rsidP="00D24C1F">
            <w:pPr>
              <w:pStyle w:val="TableTextEntries"/>
            </w:pPr>
            <w:r w:rsidRPr="00962508">
              <w:t>5</w:t>
            </w:r>
          </w:p>
        </w:tc>
        <w:tc>
          <w:tcPr>
            <w:tcW w:w="415" w:type="pct"/>
            <w:shd w:val="clear" w:color="auto" w:fill="669900"/>
            <w:noWrap/>
          </w:tcPr>
          <w:p w:rsidR="00D24C1F" w:rsidRPr="00962508" w:rsidRDefault="00D24C1F" w:rsidP="00D24C1F">
            <w:pPr>
              <w:pStyle w:val="TableTextEntries"/>
            </w:pPr>
            <w:r w:rsidRPr="00962508">
              <w:t>5</w:t>
            </w:r>
          </w:p>
        </w:tc>
        <w:tc>
          <w:tcPr>
            <w:tcW w:w="416" w:type="pct"/>
            <w:shd w:val="clear" w:color="auto" w:fill="669900"/>
            <w:noWrap/>
          </w:tcPr>
          <w:p w:rsidR="00D24C1F" w:rsidRPr="00962508" w:rsidRDefault="00D24C1F" w:rsidP="00D24C1F">
            <w:pPr>
              <w:pStyle w:val="TableTextEntries"/>
            </w:pPr>
            <w:r w:rsidRPr="00962508">
              <w:t>5</w:t>
            </w:r>
          </w:p>
        </w:tc>
        <w:tc>
          <w:tcPr>
            <w:tcW w:w="415" w:type="pct"/>
            <w:shd w:val="clear" w:color="auto" w:fill="FFFF00"/>
            <w:noWrap/>
          </w:tcPr>
          <w:p w:rsidR="00D24C1F" w:rsidRPr="00962508" w:rsidRDefault="00D24C1F" w:rsidP="00D24C1F">
            <w:pPr>
              <w:pStyle w:val="TableTextEntries"/>
            </w:pPr>
            <w:r w:rsidRPr="00962508">
              <w:t>4</w:t>
            </w:r>
          </w:p>
        </w:tc>
        <w:tc>
          <w:tcPr>
            <w:tcW w:w="416" w:type="pct"/>
            <w:shd w:val="clear" w:color="auto" w:fill="669900"/>
            <w:noWrap/>
          </w:tcPr>
          <w:p w:rsidR="00D24C1F" w:rsidRPr="00962508" w:rsidRDefault="00D24C1F" w:rsidP="00D24C1F">
            <w:pPr>
              <w:pStyle w:val="TableTextEntries"/>
            </w:pPr>
            <w:r w:rsidRPr="00962508">
              <w:t>5</w:t>
            </w:r>
          </w:p>
        </w:tc>
        <w:tc>
          <w:tcPr>
            <w:tcW w:w="415" w:type="pct"/>
            <w:shd w:val="clear" w:color="auto" w:fill="FFFF00"/>
            <w:noWrap/>
          </w:tcPr>
          <w:p w:rsidR="00D24C1F" w:rsidRPr="00962508" w:rsidRDefault="00D24C1F" w:rsidP="00D24C1F">
            <w:pPr>
              <w:pStyle w:val="TableTextEntries"/>
            </w:pPr>
            <w:r w:rsidRPr="00962508">
              <w:t>4</w:t>
            </w:r>
          </w:p>
        </w:tc>
        <w:tc>
          <w:tcPr>
            <w:tcW w:w="416" w:type="pct"/>
            <w:shd w:val="clear" w:color="auto" w:fill="FFFF00"/>
          </w:tcPr>
          <w:p w:rsidR="00D24C1F" w:rsidRPr="00962508" w:rsidRDefault="00D24C1F" w:rsidP="00D24C1F">
            <w:pPr>
              <w:pStyle w:val="TableTextEntries"/>
            </w:pPr>
            <w:r w:rsidRPr="00962508">
              <w:t>4</w:t>
            </w:r>
          </w:p>
        </w:tc>
        <w:tc>
          <w:tcPr>
            <w:tcW w:w="411" w:type="pct"/>
            <w:shd w:val="clear" w:color="auto" w:fill="FFFF00"/>
          </w:tcPr>
          <w:p w:rsidR="00D24C1F" w:rsidRPr="00962508" w:rsidRDefault="00D24C1F" w:rsidP="00D24C1F">
            <w:pPr>
              <w:pStyle w:val="TableTextEntries"/>
            </w:pPr>
            <w:r w:rsidRPr="00962508">
              <w:t>4</w:t>
            </w:r>
          </w:p>
        </w:tc>
      </w:tr>
      <w:tr w:rsidR="00D24C1F" w:rsidRPr="00962508" w:rsidTr="00D24C1F">
        <w:trPr>
          <w:cnfStyle w:val="000000010000" w:firstRow="0" w:lastRow="0" w:firstColumn="0" w:lastColumn="0" w:oddVBand="0" w:evenVBand="0" w:oddHBand="0" w:evenHBand="1" w:firstRowFirstColumn="0" w:firstRowLastColumn="0" w:lastRowFirstColumn="0" w:lastRowLastColumn="0"/>
          <w:trHeight w:val="284"/>
        </w:trPr>
        <w:tc>
          <w:tcPr>
            <w:tcW w:w="903" w:type="pct"/>
          </w:tcPr>
          <w:p w:rsidR="00D24C1F" w:rsidRPr="00962508" w:rsidRDefault="00D24C1F" w:rsidP="00D24C1F">
            <w:pPr>
              <w:pStyle w:val="TableTextEntries"/>
            </w:pPr>
          </w:p>
          <w:p w:rsidR="00D24C1F" w:rsidRPr="00962508" w:rsidRDefault="00D24C1F" w:rsidP="00D24C1F">
            <w:pPr>
              <w:pStyle w:val="TableTextEntries"/>
            </w:pPr>
            <w:r w:rsidRPr="00962508">
              <w:t>Education for all Fast Track Initiative in Laos</w:t>
            </w:r>
          </w:p>
        </w:tc>
        <w:tc>
          <w:tcPr>
            <w:tcW w:w="656" w:type="pct"/>
          </w:tcPr>
          <w:p w:rsidR="00D24C1F" w:rsidRPr="00962508" w:rsidRDefault="00D24C1F" w:rsidP="00D24C1F">
            <w:pPr>
              <w:pStyle w:val="TableTextEntries"/>
            </w:pPr>
          </w:p>
          <w:p w:rsidR="00D24C1F" w:rsidRPr="00962508" w:rsidRDefault="00D24C1F" w:rsidP="00D24C1F">
            <w:pPr>
              <w:pStyle w:val="TableTextEntries"/>
            </w:pPr>
            <w:r w:rsidRPr="00962508">
              <w:t>$22.9 million</w:t>
            </w:r>
          </w:p>
          <w:p w:rsidR="00D24C1F" w:rsidRPr="00962508" w:rsidRDefault="00D24C1F" w:rsidP="00D24C1F">
            <w:pPr>
              <w:pStyle w:val="TableTextEntries"/>
            </w:pPr>
            <w:r w:rsidRPr="00962508">
              <w:t>(2010-2015)</w:t>
            </w:r>
          </w:p>
        </w:tc>
        <w:tc>
          <w:tcPr>
            <w:tcW w:w="416" w:type="pct"/>
            <w:noWrap/>
          </w:tcPr>
          <w:p w:rsidR="00D24C1F" w:rsidRPr="00962508" w:rsidRDefault="00D24C1F" w:rsidP="00D24C1F">
            <w:pPr>
              <w:pStyle w:val="TableTextEntries"/>
            </w:pPr>
          </w:p>
          <w:p w:rsidR="00D24C1F" w:rsidRPr="00962508" w:rsidRDefault="00D24C1F" w:rsidP="00D24C1F">
            <w:pPr>
              <w:pStyle w:val="TableTextEntries"/>
            </w:pPr>
            <w:r w:rsidRPr="00962508">
              <w:t>3</w:t>
            </w:r>
          </w:p>
        </w:tc>
        <w:tc>
          <w:tcPr>
            <w:tcW w:w="415" w:type="pct"/>
            <w:shd w:val="clear" w:color="auto" w:fill="669900"/>
            <w:noWrap/>
          </w:tcPr>
          <w:p w:rsidR="00D24C1F" w:rsidRPr="00962508" w:rsidRDefault="00D24C1F" w:rsidP="00D24C1F">
            <w:pPr>
              <w:pStyle w:val="TableTextEntries"/>
            </w:pPr>
          </w:p>
          <w:p w:rsidR="00D24C1F" w:rsidRPr="00962508" w:rsidRDefault="00D24C1F" w:rsidP="00D24C1F">
            <w:pPr>
              <w:pStyle w:val="TableTextEntries"/>
            </w:pPr>
            <w:r w:rsidRPr="00962508">
              <w:t>5</w:t>
            </w:r>
          </w:p>
        </w:tc>
        <w:tc>
          <w:tcPr>
            <w:tcW w:w="416" w:type="pct"/>
            <w:shd w:val="clear" w:color="auto" w:fill="E36C0A" w:themeFill="accent6" w:themeFillShade="BF"/>
            <w:noWrap/>
          </w:tcPr>
          <w:p w:rsidR="00D24C1F" w:rsidRPr="00962508" w:rsidRDefault="00D24C1F" w:rsidP="00D24C1F">
            <w:pPr>
              <w:pStyle w:val="TableTextEntries"/>
            </w:pPr>
          </w:p>
          <w:p w:rsidR="00D24C1F" w:rsidRPr="00962508" w:rsidRDefault="00D24C1F" w:rsidP="00D24C1F">
            <w:pPr>
              <w:pStyle w:val="TableTextEntries"/>
            </w:pPr>
            <w:r w:rsidRPr="00962508">
              <w:t>3</w:t>
            </w:r>
          </w:p>
        </w:tc>
        <w:tc>
          <w:tcPr>
            <w:tcW w:w="415" w:type="pct"/>
            <w:shd w:val="clear" w:color="auto" w:fill="E36C0A" w:themeFill="accent6" w:themeFillShade="BF"/>
            <w:noWrap/>
          </w:tcPr>
          <w:p w:rsidR="00D24C1F" w:rsidRPr="00962508" w:rsidRDefault="00D24C1F" w:rsidP="00D24C1F">
            <w:pPr>
              <w:pStyle w:val="TableTextEntries"/>
            </w:pPr>
          </w:p>
          <w:p w:rsidR="00D24C1F" w:rsidRPr="00962508" w:rsidRDefault="00D24C1F" w:rsidP="00D24C1F">
            <w:pPr>
              <w:pStyle w:val="TableTextEntries"/>
            </w:pPr>
            <w:r w:rsidRPr="00962508">
              <w:t>3</w:t>
            </w:r>
          </w:p>
        </w:tc>
        <w:tc>
          <w:tcPr>
            <w:tcW w:w="416" w:type="pct"/>
            <w:shd w:val="clear" w:color="auto" w:fill="E36C0A" w:themeFill="accent6" w:themeFillShade="BF"/>
            <w:noWrap/>
          </w:tcPr>
          <w:p w:rsidR="00D24C1F" w:rsidRPr="00962508" w:rsidRDefault="00D24C1F" w:rsidP="00D24C1F">
            <w:pPr>
              <w:pStyle w:val="TableTextEntries"/>
            </w:pPr>
          </w:p>
          <w:p w:rsidR="00D24C1F" w:rsidRPr="00962508" w:rsidRDefault="00D24C1F" w:rsidP="00D24C1F">
            <w:pPr>
              <w:pStyle w:val="TableTextEntries"/>
            </w:pPr>
            <w:r w:rsidRPr="00962508">
              <w:t>3</w:t>
            </w:r>
          </w:p>
        </w:tc>
        <w:tc>
          <w:tcPr>
            <w:tcW w:w="415" w:type="pct"/>
            <w:shd w:val="clear" w:color="auto" w:fill="E36C0A" w:themeFill="accent6" w:themeFillShade="BF"/>
            <w:noWrap/>
          </w:tcPr>
          <w:p w:rsidR="00D24C1F" w:rsidRPr="00962508" w:rsidRDefault="00D24C1F" w:rsidP="00D24C1F">
            <w:pPr>
              <w:pStyle w:val="TableTextEntries"/>
            </w:pPr>
          </w:p>
          <w:p w:rsidR="00D24C1F" w:rsidRPr="00962508" w:rsidRDefault="00D24C1F" w:rsidP="00D24C1F">
            <w:pPr>
              <w:pStyle w:val="TableTextEntries"/>
            </w:pPr>
            <w:r w:rsidRPr="00962508">
              <w:t>3</w:t>
            </w:r>
          </w:p>
        </w:tc>
        <w:tc>
          <w:tcPr>
            <w:tcW w:w="416" w:type="pct"/>
            <w:shd w:val="clear" w:color="auto" w:fill="E36C0A" w:themeFill="accent6" w:themeFillShade="BF"/>
          </w:tcPr>
          <w:p w:rsidR="00D24C1F" w:rsidRPr="00962508" w:rsidRDefault="00D24C1F" w:rsidP="00D24C1F">
            <w:pPr>
              <w:pStyle w:val="TableTextEntries"/>
            </w:pPr>
          </w:p>
          <w:p w:rsidR="00D24C1F" w:rsidRPr="00962508" w:rsidRDefault="00D24C1F" w:rsidP="00D24C1F">
            <w:pPr>
              <w:pStyle w:val="TableTextEntries"/>
            </w:pPr>
            <w:r w:rsidRPr="00962508">
              <w:t>3</w:t>
            </w:r>
          </w:p>
        </w:tc>
        <w:tc>
          <w:tcPr>
            <w:tcW w:w="411" w:type="pct"/>
            <w:shd w:val="clear" w:color="auto" w:fill="FF0000"/>
          </w:tcPr>
          <w:p w:rsidR="00D24C1F" w:rsidRPr="00962508" w:rsidRDefault="00D24C1F" w:rsidP="00D24C1F">
            <w:pPr>
              <w:pStyle w:val="TableTextEntries"/>
            </w:pPr>
          </w:p>
          <w:p w:rsidR="00D24C1F" w:rsidRPr="00962508" w:rsidRDefault="00D24C1F" w:rsidP="00D24C1F">
            <w:pPr>
              <w:pStyle w:val="TableTextEntries"/>
            </w:pPr>
            <w:r w:rsidRPr="00962508">
              <w:t>2</w:t>
            </w:r>
          </w:p>
        </w:tc>
      </w:tr>
      <w:tr w:rsidR="00D24C1F" w:rsidRPr="00962508" w:rsidTr="00D24C1F">
        <w:trPr>
          <w:cnfStyle w:val="000000010000" w:firstRow="0" w:lastRow="0" w:firstColumn="0" w:lastColumn="0" w:oddVBand="0" w:evenVBand="0" w:oddHBand="0" w:evenHBand="1" w:firstRowFirstColumn="0" w:firstRowLastColumn="0" w:lastRowFirstColumn="0" w:lastRowLastColumn="0"/>
          <w:trHeight w:val="284"/>
        </w:trPr>
        <w:tc>
          <w:tcPr>
            <w:tcW w:w="903" w:type="pct"/>
          </w:tcPr>
          <w:p w:rsidR="00D24C1F" w:rsidRPr="00962508" w:rsidRDefault="00D24C1F" w:rsidP="00D24C1F">
            <w:pPr>
              <w:pStyle w:val="TableTextEntries"/>
            </w:pPr>
            <w:r w:rsidRPr="00962508">
              <w:t>Laos Northern Transport Improvement project</w:t>
            </w:r>
          </w:p>
        </w:tc>
        <w:tc>
          <w:tcPr>
            <w:tcW w:w="656" w:type="pct"/>
          </w:tcPr>
          <w:p w:rsidR="00D24C1F" w:rsidRPr="00962508" w:rsidRDefault="00D24C1F" w:rsidP="00D24C1F">
            <w:pPr>
              <w:pStyle w:val="TableTextEntries"/>
            </w:pPr>
            <w:r w:rsidRPr="00962508">
              <w:t>$18.8 million</w:t>
            </w:r>
          </w:p>
          <w:p w:rsidR="00D24C1F" w:rsidRPr="00962508" w:rsidRDefault="00D24C1F" w:rsidP="00D24C1F">
            <w:pPr>
              <w:pStyle w:val="TableTextEntries"/>
            </w:pPr>
            <w:r w:rsidRPr="00962508">
              <w:t>(2007-2014)</w:t>
            </w:r>
          </w:p>
        </w:tc>
        <w:tc>
          <w:tcPr>
            <w:tcW w:w="416" w:type="pct"/>
            <w:noWrap/>
          </w:tcPr>
          <w:p w:rsidR="00D24C1F" w:rsidRPr="00962508" w:rsidRDefault="00D24C1F" w:rsidP="00D24C1F">
            <w:pPr>
              <w:pStyle w:val="TableTextEntries"/>
            </w:pPr>
            <w:r w:rsidRPr="00962508">
              <w:t>4</w:t>
            </w:r>
          </w:p>
        </w:tc>
        <w:tc>
          <w:tcPr>
            <w:tcW w:w="415" w:type="pct"/>
            <w:shd w:val="clear" w:color="auto" w:fill="669900"/>
            <w:noWrap/>
          </w:tcPr>
          <w:p w:rsidR="00D24C1F" w:rsidRPr="00962508" w:rsidRDefault="00D24C1F" w:rsidP="00D24C1F">
            <w:pPr>
              <w:pStyle w:val="TableTextEntries"/>
            </w:pPr>
            <w:r w:rsidRPr="00962508">
              <w:t>6</w:t>
            </w:r>
          </w:p>
        </w:tc>
        <w:tc>
          <w:tcPr>
            <w:tcW w:w="416" w:type="pct"/>
            <w:shd w:val="clear" w:color="auto" w:fill="FFFF00"/>
            <w:noWrap/>
          </w:tcPr>
          <w:p w:rsidR="00D24C1F" w:rsidRPr="00962508" w:rsidRDefault="00D24C1F" w:rsidP="00D24C1F">
            <w:pPr>
              <w:pStyle w:val="TableTextEntries"/>
            </w:pPr>
            <w:r w:rsidRPr="00962508">
              <w:t>4</w:t>
            </w:r>
          </w:p>
        </w:tc>
        <w:tc>
          <w:tcPr>
            <w:tcW w:w="415" w:type="pct"/>
            <w:shd w:val="clear" w:color="auto" w:fill="FFFF00"/>
            <w:noWrap/>
          </w:tcPr>
          <w:p w:rsidR="00D24C1F" w:rsidRPr="00962508" w:rsidRDefault="00D24C1F" w:rsidP="00D24C1F">
            <w:pPr>
              <w:pStyle w:val="TableTextEntries"/>
            </w:pPr>
            <w:r w:rsidRPr="00962508">
              <w:t>4</w:t>
            </w:r>
          </w:p>
        </w:tc>
        <w:tc>
          <w:tcPr>
            <w:tcW w:w="416" w:type="pct"/>
            <w:shd w:val="clear" w:color="auto" w:fill="FFFF00"/>
            <w:noWrap/>
          </w:tcPr>
          <w:p w:rsidR="00D24C1F" w:rsidRPr="00962508" w:rsidRDefault="00D24C1F" w:rsidP="00D24C1F">
            <w:pPr>
              <w:pStyle w:val="TableTextEntries"/>
            </w:pPr>
            <w:r w:rsidRPr="00962508">
              <w:t>4</w:t>
            </w:r>
          </w:p>
        </w:tc>
        <w:tc>
          <w:tcPr>
            <w:tcW w:w="415" w:type="pct"/>
            <w:shd w:val="clear" w:color="auto" w:fill="E36C0A" w:themeFill="accent6" w:themeFillShade="BF"/>
            <w:noWrap/>
          </w:tcPr>
          <w:p w:rsidR="00D24C1F" w:rsidRPr="00962508" w:rsidRDefault="00D24C1F" w:rsidP="00D24C1F">
            <w:pPr>
              <w:pStyle w:val="TableTextEntries"/>
            </w:pPr>
            <w:r w:rsidRPr="00962508">
              <w:t>3</w:t>
            </w:r>
          </w:p>
        </w:tc>
        <w:tc>
          <w:tcPr>
            <w:tcW w:w="416" w:type="pct"/>
            <w:shd w:val="clear" w:color="auto" w:fill="E36C0A" w:themeFill="accent6" w:themeFillShade="BF"/>
          </w:tcPr>
          <w:p w:rsidR="00D24C1F" w:rsidRPr="00962508" w:rsidRDefault="00D24C1F" w:rsidP="00D24C1F">
            <w:pPr>
              <w:pStyle w:val="TableTextEntries"/>
            </w:pPr>
            <w:r w:rsidRPr="00962508">
              <w:t>3</w:t>
            </w:r>
          </w:p>
        </w:tc>
        <w:tc>
          <w:tcPr>
            <w:tcW w:w="411" w:type="pct"/>
            <w:shd w:val="clear" w:color="auto" w:fill="FFFF00"/>
          </w:tcPr>
          <w:p w:rsidR="00D24C1F" w:rsidRPr="00962508" w:rsidRDefault="00D24C1F" w:rsidP="00D24C1F">
            <w:pPr>
              <w:pStyle w:val="TableTextEntries"/>
            </w:pPr>
            <w:r w:rsidRPr="00962508">
              <w:t>4</w:t>
            </w:r>
          </w:p>
        </w:tc>
      </w:tr>
    </w:tbl>
    <w:p w:rsidR="00D24C1F" w:rsidRPr="00962508" w:rsidRDefault="00D24C1F" w:rsidP="00D24C1F">
      <w:pPr>
        <w:pStyle w:val="Note"/>
        <w:jc w:val="left"/>
      </w:pPr>
    </w:p>
    <w:p w:rsidR="00D24C1F" w:rsidRPr="00962508" w:rsidRDefault="00D24C1F" w:rsidP="00D24C1F">
      <w:pPr>
        <w:pStyle w:val="Note"/>
        <w:jc w:val="left"/>
      </w:pPr>
    </w:p>
    <w:p w:rsidR="00D24C1F" w:rsidRPr="00962508" w:rsidRDefault="00D24C1F" w:rsidP="00D24C1F">
      <w:pPr>
        <w:pStyle w:val="Note"/>
        <w:jc w:val="left"/>
      </w:pPr>
      <w:r w:rsidRPr="00962508">
        <w:t>Definitions of rating scale:</w:t>
      </w:r>
      <w:r w:rsidRPr="00962508">
        <w:tab/>
      </w:r>
    </w:p>
    <w:p w:rsidR="00D24C1F" w:rsidRPr="00962508" w:rsidRDefault="00D24C1F" w:rsidP="00D24C1F">
      <w:pPr>
        <w:pStyle w:val="Note"/>
        <w:jc w:val="left"/>
      </w:pPr>
      <w:r w:rsidRPr="00962508">
        <w:t>Satisfactory (4, 5 and 6)</w:t>
      </w:r>
    </w:p>
    <w:p w:rsidR="00D24C1F" w:rsidRPr="00962508" w:rsidRDefault="00D24C1F" w:rsidP="00D24C1F">
      <w:pPr>
        <w:pStyle w:val="Note"/>
        <w:jc w:val="left"/>
      </w:pPr>
      <w:r w:rsidRPr="00962508">
        <w:rPr>
          <w:color w:val="72AF2F"/>
        </w:rPr>
        <w:sym w:font="Webdings" w:char="F067"/>
      </w:r>
      <w:r w:rsidRPr="00962508">
        <w:t xml:space="preserve"> = 6 = Very good; satisfies criteria in all or almost all areas</w:t>
      </w:r>
    </w:p>
    <w:p w:rsidR="00D24C1F" w:rsidRPr="00962508" w:rsidRDefault="00D24C1F" w:rsidP="00D24C1F">
      <w:pPr>
        <w:pStyle w:val="Note"/>
        <w:jc w:val="left"/>
      </w:pPr>
      <w:r w:rsidRPr="00962508">
        <w:rPr>
          <w:color w:val="72AF2F"/>
        </w:rPr>
        <w:sym w:font="Webdings" w:char="F067"/>
      </w:r>
      <w:r w:rsidRPr="00962508">
        <w:t xml:space="preserve"> = 5 = Good; satisfies criteria in most areas</w:t>
      </w:r>
    </w:p>
    <w:p w:rsidR="00D24C1F" w:rsidRPr="00962508" w:rsidRDefault="00D24C1F" w:rsidP="00D24C1F">
      <w:pPr>
        <w:pStyle w:val="Note"/>
        <w:jc w:val="left"/>
      </w:pPr>
      <w:r w:rsidRPr="00962508">
        <w:rPr>
          <w:color w:val="FFFF00"/>
        </w:rPr>
        <w:sym w:font="Webdings" w:char="F067"/>
      </w:r>
      <w:r w:rsidRPr="00962508">
        <w:t xml:space="preserve"> = 4 = Adequate; on balance, satisfies criteria; does not fail in any major area</w:t>
      </w:r>
    </w:p>
    <w:p w:rsidR="00D24C1F" w:rsidRPr="00962508" w:rsidRDefault="00D24C1F" w:rsidP="00D24C1F">
      <w:pPr>
        <w:pStyle w:val="Note"/>
        <w:jc w:val="left"/>
      </w:pPr>
      <w:r w:rsidRPr="00962508">
        <w:t>Less than satisfactory (1, 2 and 3)</w:t>
      </w:r>
    </w:p>
    <w:p w:rsidR="00D24C1F" w:rsidRPr="00962508" w:rsidRDefault="00D24C1F" w:rsidP="00D24C1F">
      <w:pPr>
        <w:pStyle w:val="Note"/>
        <w:jc w:val="left"/>
      </w:pPr>
      <w:r w:rsidRPr="00962508">
        <w:rPr>
          <w:color w:val="E36C0A"/>
        </w:rPr>
        <w:sym w:font="Webdings" w:char="F067"/>
      </w:r>
      <w:r w:rsidRPr="00962508">
        <w:rPr>
          <w:color w:val="E36C0A"/>
        </w:rPr>
        <w:t xml:space="preserve"> </w:t>
      </w:r>
      <w:r w:rsidRPr="00962508">
        <w:t>= 3 = Less than adequate; on balance does not satisfy criteria but does not fail in any major area</w:t>
      </w:r>
    </w:p>
    <w:p w:rsidR="00D24C1F" w:rsidRPr="00962508" w:rsidRDefault="00D24C1F" w:rsidP="00D24C1F">
      <w:pPr>
        <w:pStyle w:val="Note"/>
        <w:jc w:val="left"/>
      </w:pPr>
      <w:r w:rsidRPr="00962508">
        <w:rPr>
          <w:color w:val="FF0000"/>
        </w:rPr>
        <w:sym w:font="Webdings" w:char="F067"/>
      </w:r>
      <w:r w:rsidRPr="00962508">
        <w:t xml:space="preserve"> = 2 = Poor; does not satisfy criteria in major areas</w:t>
      </w:r>
    </w:p>
    <w:p w:rsidR="00D24C1F" w:rsidRPr="00962508" w:rsidRDefault="00D24C1F" w:rsidP="00D24C1F">
      <w:pPr>
        <w:pStyle w:val="Note"/>
        <w:jc w:val="left"/>
      </w:pPr>
      <w:r w:rsidRPr="00962508">
        <w:rPr>
          <w:color w:val="FF0000"/>
        </w:rPr>
        <w:sym w:font="Webdings" w:char="F067"/>
      </w:r>
      <w:r w:rsidRPr="00962508">
        <w:t xml:space="preserve"> = 1 = Very poor; does not satisfy criteria in many major areas</w:t>
      </w:r>
    </w:p>
    <w:p w:rsidR="00D24C1F" w:rsidRPr="00962508" w:rsidRDefault="00D24C1F" w:rsidP="00D24C1F">
      <w:pPr>
        <w:pStyle w:val="Note"/>
        <w:jc w:val="left"/>
      </w:pPr>
    </w:p>
    <w:p w:rsidR="00C04471" w:rsidRDefault="00C04471" w:rsidP="00C04471">
      <w:pPr>
        <w:pStyle w:val="BodyText"/>
      </w:pPr>
    </w:p>
    <w:sectPr w:rsidR="00C04471" w:rsidSect="00603A3B">
      <w:headerReference w:type="even" r:id="rId33"/>
      <w:footerReference w:type="first" r:id="rId34"/>
      <w:pgSz w:w="16840" w:h="11907" w:orient="landscape" w:code="9"/>
      <w:pgMar w:top="1440" w:right="1440" w:bottom="1440" w:left="1440"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C1F" w:rsidRDefault="00D24C1F" w:rsidP="0050529F">
      <w:r>
        <w:separator/>
      </w:r>
    </w:p>
    <w:p w:rsidR="00D24C1F" w:rsidRDefault="00D24C1F"/>
    <w:p w:rsidR="00D24C1F" w:rsidRDefault="00D24C1F"/>
    <w:p w:rsidR="00D24C1F" w:rsidRDefault="00D24C1F"/>
    <w:p w:rsidR="00D24C1F" w:rsidRDefault="00D24C1F"/>
    <w:p w:rsidR="00D24C1F" w:rsidRDefault="00D24C1F"/>
    <w:p w:rsidR="00D24C1F" w:rsidRDefault="00D24C1F"/>
  </w:endnote>
  <w:endnote w:type="continuationSeparator" w:id="0">
    <w:p w:rsidR="00D24C1F" w:rsidRDefault="00D24C1F" w:rsidP="0050529F">
      <w:r>
        <w:continuationSeparator/>
      </w:r>
    </w:p>
    <w:p w:rsidR="00D24C1F" w:rsidRDefault="00D24C1F"/>
    <w:p w:rsidR="00D24C1F" w:rsidRDefault="00D24C1F"/>
    <w:p w:rsidR="00D24C1F" w:rsidRDefault="00D24C1F"/>
    <w:p w:rsidR="00D24C1F" w:rsidRDefault="00D24C1F"/>
    <w:p w:rsidR="00D24C1F" w:rsidRDefault="00D24C1F"/>
    <w:p w:rsidR="00D24C1F" w:rsidRDefault="00D24C1F"/>
  </w:endnote>
  <w:endnote w:type="continuationNotice" w:id="1">
    <w:p w:rsidR="00D24C1F" w:rsidRDefault="00D24C1F"/>
  </w:endnote>
  <w:endnote w:id="2">
    <w:p w:rsidR="00D24C1F" w:rsidRDefault="00D24C1F">
      <w:pPr>
        <w:pStyle w:val="EndnoteText"/>
      </w:pPr>
      <w:r>
        <w:rPr>
          <w:rStyle w:val="EndnoteReference"/>
        </w:rPr>
        <w:endnoteRef/>
      </w:r>
      <w:r>
        <w:t xml:space="preserve"> </w:t>
      </w:r>
      <w:r w:rsidRPr="00785122">
        <w:rPr>
          <w:sz w:val="18"/>
          <w:szCs w:val="18"/>
        </w:rPr>
        <w:t>Calendar year (Jan – Dec).</w:t>
      </w:r>
    </w:p>
  </w:endnote>
  <w:endnote w:id="3">
    <w:p w:rsidR="00D24C1F" w:rsidRDefault="00D24C1F">
      <w:pPr>
        <w:pStyle w:val="EndnoteText"/>
      </w:pPr>
      <w:r>
        <w:rPr>
          <w:rStyle w:val="EndnoteReference"/>
        </w:rPr>
        <w:endnoteRef/>
      </w:r>
      <w:r>
        <w:t xml:space="preserve"> </w:t>
      </w:r>
      <w:r w:rsidRPr="00CA3874">
        <w:rPr>
          <w:sz w:val="18"/>
          <w:szCs w:val="18"/>
        </w:rPr>
        <w:t>OECD</w:t>
      </w:r>
      <w:r>
        <w:t xml:space="preserve"> </w:t>
      </w:r>
      <w:r w:rsidRPr="00E653A3">
        <w:rPr>
          <w:sz w:val="18"/>
          <w:szCs w:val="18"/>
        </w:rPr>
        <w:t>Development Assistance Committee</w:t>
      </w:r>
    </w:p>
  </w:endnote>
  <w:endnote w:id="4">
    <w:p w:rsidR="00D24C1F" w:rsidRPr="0006433F" w:rsidRDefault="00D24C1F" w:rsidP="004B263D">
      <w:pPr>
        <w:pStyle w:val="EndnoteText"/>
        <w:rPr>
          <w:sz w:val="18"/>
          <w:szCs w:val="18"/>
        </w:rPr>
      </w:pPr>
      <w:r w:rsidRPr="0006433F">
        <w:rPr>
          <w:rStyle w:val="EndnoteReference"/>
          <w:sz w:val="18"/>
          <w:szCs w:val="18"/>
        </w:rPr>
        <w:endnoteRef/>
      </w:r>
      <w:r w:rsidRPr="0006433F">
        <w:rPr>
          <w:sz w:val="18"/>
          <w:szCs w:val="18"/>
        </w:rPr>
        <w:t xml:space="preserve"> This objective replaces the previous education objectives of the Country Strategy, reflecting the new Delivery Strategy and new Investment – Basic Education Quality and Access in Lao PDR.</w:t>
      </w:r>
    </w:p>
  </w:endnote>
  <w:endnote w:id="5">
    <w:p w:rsidR="00D24C1F" w:rsidRPr="0006433F" w:rsidRDefault="00D24C1F">
      <w:pPr>
        <w:pStyle w:val="EndnoteText"/>
        <w:rPr>
          <w:sz w:val="18"/>
          <w:szCs w:val="18"/>
        </w:rPr>
      </w:pPr>
      <w:r w:rsidRPr="0006433F">
        <w:rPr>
          <w:rStyle w:val="EndnoteReference"/>
          <w:sz w:val="18"/>
          <w:szCs w:val="18"/>
        </w:rPr>
        <w:endnoteRef/>
      </w:r>
      <w:r w:rsidRPr="0006433F">
        <w:rPr>
          <w:sz w:val="18"/>
          <w:szCs w:val="18"/>
        </w:rPr>
        <w:t xml:space="preserve"> This objective replaces the first two objectives reported in previous APPRs, due to a change in strategy (as articulated in the Australia-Laos Education Delivery Strategy 2013-18).</w:t>
      </w:r>
    </w:p>
  </w:endnote>
  <w:endnote w:id="6">
    <w:p w:rsidR="00D24C1F" w:rsidRDefault="00D24C1F">
      <w:pPr>
        <w:pStyle w:val="EndnoteText"/>
      </w:pPr>
      <w:r>
        <w:rPr>
          <w:rStyle w:val="EndnoteReference"/>
        </w:rPr>
        <w:endnoteRef/>
      </w:r>
      <w:r>
        <w:t xml:space="preserve"> </w:t>
      </w:r>
      <w:r w:rsidRPr="006C5E1A">
        <w:rPr>
          <w:sz w:val="18"/>
          <w:szCs w:val="18"/>
        </w:rPr>
        <w:t>2012 Lao PDR EGRA Baseline report, p1.</w:t>
      </w:r>
    </w:p>
  </w:endnote>
  <w:endnote w:id="7">
    <w:p w:rsidR="00D24C1F" w:rsidRDefault="00D24C1F">
      <w:pPr>
        <w:pStyle w:val="EndnoteText"/>
      </w:pPr>
      <w:r>
        <w:rPr>
          <w:rStyle w:val="EndnoteReference"/>
        </w:rPr>
        <w:endnoteRef/>
      </w:r>
      <w:r>
        <w:t xml:space="preserve"> </w:t>
      </w:r>
      <w:r w:rsidRPr="00FB74BF">
        <w:rPr>
          <w:sz w:val="18"/>
          <w:szCs w:val="18"/>
        </w:rPr>
        <w:t>Note all</w:t>
      </w:r>
      <w:r>
        <w:rPr>
          <w:sz w:val="18"/>
          <w:szCs w:val="18"/>
        </w:rPr>
        <w:t xml:space="preserve"> statistics on the EFA-FTI are drawn from the Implementation Completion Report prepared by the World Bank, February 2015.</w:t>
      </w:r>
    </w:p>
  </w:endnote>
  <w:endnote w:id="8">
    <w:p w:rsidR="00D24C1F" w:rsidRPr="0006433F" w:rsidRDefault="00D24C1F">
      <w:pPr>
        <w:pStyle w:val="EndnoteText"/>
        <w:rPr>
          <w:sz w:val="18"/>
          <w:szCs w:val="18"/>
        </w:rPr>
      </w:pPr>
      <w:r w:rsidRPr="0006433F">
        <w:rPr>
          <w:rStyle w:val="EndnoteReference"/>
          <w:sz w:val="18"/>
          <w:szCs w:val="18"/>
        </w:rPr>
        <w:endnoteRef/>
      </w:r>
      <w:r w:rsidRPr="0006433F">
        <w:rPr>
          <w:sz w:val="18"/>
          <w:szCs w:val="18"/>
        </w:rPr>
        <w:t xml:space="preserve"> </w:t>
      </w:r>
      <w:r w:rsidRPr="00A45D1C">
        <w:rPr>
          <w:sz w:val="18"/>
          <w:szCs w:val="18"/>
        </w:rPr>
        <w:t>Due to anticipated budget cut, scope of services were revised and scaled down resulting in lower targets.</w:t>
      </w:r>
    </w:p>
  </w:endnote>
  <w:endnote w:id="9">
    <w:p w:rsidR="00D24C1F" w:rsidRPr="0006433F" w:rsidRDefault="00D24C1F" w:rsidP="00083A84">
      <w:pPr>
        <w:pStyle w:val="EndnoteText"/>
        <w:rPr>
          <w:sz w:val="18"/>
          <w:szCs w:val="18"/>
        </w:rPr>
      </w:pPr>
      <w:r w:rsidRPr="0006433F">
        <w:rPr>
          <w:rStyle w:val="EndnoteReference"/>
          <w:sz w:val="18"/>
          <w:szCs w:val="18"/>
        </w:rPr>
        <w:endnoteRef/>
      </w:r>
      <w:r w:rsidRPr="0006433F">
        <w:rPr>
          <w:sz w:val="18"/>
          <w:szCs w:val="18"/>
        </w:rPr>
        <w:t xml:space="preserve"> </w:t>
      </w:r>
      <w:r w:rsidRPr="00A45D1C">
        <w:rPr>
          <w:sz w:val="18"/>
          <w:szCs w:val="18"/>
        </w:rPr>
        <w:t>Includes savings, credit, leasing, payment transfers, insurance.</w:t>
      </w:r>
    </w:p>
  </w:endnote>
  <w:endnote w:id="10">
    <w:p w:rsidR="00D24C1F" w:rsidRPr="0006433F" w:rsidRDefault="00D24C1F" w:rsidP="00576918">
      <w:pPr>
        <w:pStyle w:val="EndnoteText"/>
        <w:rPr>
          <w:sz w:val="18"/>
          <w:szCs w:val="18"/>
        </w:rPr>
      </w:pPr>
      <w:r w:rsidRPr="0006433F">
        <w:rPr>
          <w:rStyle w:val="EndnoteReference"/>
          <w:sz w:val="18"/>
          <w:szCs w:val="18"/>
        </w:rPr>
        <w:endnoteRef/>
      </w:r>
      <w:r w:rsidRPr="0006433F">
        <w:rPr>
          <w:sz w:val="18"/>
          <w:szCs w:val="18"/>
        </w:rPr>
        <w:t xml:space="preserve"> </w:t>
      </w:r>
      <w:r w:rsidRPr="00A45D1C">
        <w:rPr>
          <w:sz w:val="18"/>
          <w:szCs w:val="18"/>
        </w:rPr>
        <w:t>FinMark Trust (2015) FinScope Consumer Survey Lao PDR – top line results. United Nations Capital Development Fund, Vientiane, Lao PDR.</w:t>
      </w:r>
    </w:p>
  </w:endnote>
  <w:endnote w:id="11">
    <w:p w:rsidR="00D24C1F" w:rsidRPr="0006433F" w:rsidRDefault="00D24C1F">
      <w:pPr>
        <w:pStyle w:val="EndnoteText"/>
        <w:rPr>
          <w:sz w:val="18"/>
          <w:szCs w:val="18"/>
        </w:rPr>
      </w:pPr>
      <w:r w:rsidRPr="0006433F">
        <w:rPr>
          <w:rStyle w:val="EndnoteReference"/>
          <w:sz w:val="18"/>
          <w:szCs w:val="18"/>
        </w:rPr>
        <w:endnoteRef/>
      </w:r>
      <w:r w:rsidRPr="0006433F">
        <w:rPr>
          <w:sz w:val="18"/>
          <w:szCs w:val="18"/>
        </w:rPr>
        <w:t xml:space="preserve"> </w:t>
      </w:r>
      <w:r w:rsidRPr="00A45D1C">
        <w:rPr>
          <w:sz w:val="18"/>
          <w:szCs w:val="18"/>
        </w:rPr>
        <w:t>Laos Australia Development Learning Facility (2015). Case study – value of commercial leverage.</w:t>
      </w:r>
    </w:p>
  </w:endnote>
  <w:endnote w:id="12">
    <w:p w:rsidR="00D24C1F" w:rsidRPr="0006433F" w:rsidRDefault="00D24C1F">
      <w:pPr>
        <w:pStyle w:val="EndnoteText"/>
        <w:rPr>
          <w:sz w:val="18"/>
          <w:szCs w:val="18"/>
        </w:rPr>
      </w:pPr>
      <w:r w:rsidRPr="0006433F">
        <w:rPr>
          <w:rStyle w:val="EndnoteReference"/>
          <w:sz w:val="18"/>
          <w:szCs w:val="18"/>
        </w:rPr>
        <w:endnoteRef/>
      </w:r>
      <w:r w:rsidRPr="0006433F">
        <w:rPr>
          <w:sz w:val="18"/>
          <w:szCs w:val="18"/>
        </w:rPr>
        <w:t xml:space="preserve"> </w:t>
      </w:r>
      <w:r w:rsidRPr="0006433F">
        <w:rPr>
          <w:rStyle w:val="FootnoteReference"/>
          <w:rFonts w:ascii="Franklin Gothic Book" w:hAnsi="Franklin Gothic Book"/>
          <w:sz w:val="18"/>
          <w:szCs w:val="18"/>
        </w:rPr>
        <w:endnoteRef/>
      </w:r>
      <w:r w:rsidRPr="0006433F">
        <w:rPr>
          <w:rStyle w:val="FootnoteReference"/>
          <w:rFonts w:ascii="Franklin Gothic Book" w:hAnsi="Franklin Gothic Book"/>
          <w:sz w:val="18"/>
          <w:szCs w:val="18"/>
        </w:rPr>
        <w:t xml:space="preserve"> </w:t>
      </w:r>
      <w:r w:rsidRPr="00A45D1C">
        <w:rPr>
          <w:sz w:val="18"/>
          <w:szCs w:val="18"/>
        </w:rPr>
        <w:t>Finally signed in May 2015.</w:t>
      </w:r>
    </w:p>
  </w:endnote>
  <w:endnote w:id="13">
    <w:p w:rsidR="00D24C1F" w:rsidRPr="0006433F" w:rsidRDefault="00D24C1F">
      <w:pPr>
        <w:pStyle w:val="EndnoteText"/>
        <w:rPr>
          <w:sz w:val="18"/>
          <w:szCs w:val="18"/>
        </w:rPr>
      </w:pPr>
      <w:r w:rsidRPr="0006433F">
        <w:rPr>
          <w:rStyle w:val="EndnoteReference"/>
          <w:sz w:val="18"/>
          <w:szCs w:val="18"/>
        </w:rPr>
        <w:endnoteRef/>
      </w:r>
      <w:r w:rsidRPr="0006433F">
        <w:rPr>
          <w:sz w:val="18"/>
          <w:szCs w:val="18"/>
        </w:rPr>
        <w:t xml:space="preserve"> </w:t>
      </w:r>
      <w:r w:rsidRPr="00A45D1C">
        <w:rPr>
          <w:sz w:val="18"/>
          <w:szCs w:val="18"/>
        </w:rPr>
        <w:t>Cash and asset transfers commenced in August 2015.</w:t>
      </w:r>
    </w:p>
  </w:endnote>
  <w:endnote w:id="14">
    <w:p w:rsidR="00D24C1F" w:rsidRPr="00B15145" w:rsidRDefault="00D24C1F">
      <w:pPr>
        <w:pStyle w:val="EndnoteText"/>
        <w:rPr>
          <w:color w:val="000000" w:themeColor="text1"/>
          <w:sz w:val="18"/>
          <w:szCs w:val="18"/>
        </w:rPr>
      </w:pPr>
      <w:r w:rsidRPr="00B15145">
        <w:rPr>
          <w:rStyle w:val="EndnoteReference"/>
          <w:color w:val="000000" w:themeColor="text1"/>
          <w:sz w:val="18"/>
          <w:szCs w:val="18"/>
        </w:rPr>
        <w:endnoteRef/>
      </w:r>
      <w:r w:rsidRPr="00B15145">
        <w:rPr>
          <w:color w:val="000000" w:themeColor="text1"/>
          <w:sz w:val="18"/>
          <w:szCs w:val="18"/>
        </w:rPr>
        <w:t xml:space="preserve"> At </w:t>
      </w:r>
      <w:hyperlink r:id="rId1" w:history="1">
        <w:r w:rsidRPr="00B15145">
          <w:rPr>
            <w:rStyle w:val="Hyperlink"/>
            <w:color w:val="000000" w:themeColor="text1"/>
            <w:sz w:val="18"/>
            <w:szCs w:val="18"/>
          </w:rPr>
          <w:t>http://rlp.spsl.la</w:t>
        </w:r>
      </w:hyperlink>
      <w:r w:rsidRPr="00B15145">
        <w:rPr>
          <w:color w:val="000000" w:themeColor="text1"/>
          <w:sz w:val="18"/>
          <w:szCs w:val="18"/>
        </w:rPr>
        <w:t xml:space="preserve">  </w:t>
      </w:r>
    </w:p>
  </w:endnote>
  <w:endnote w:id="15">
    <w:p w:rsidR="00D24C1F" w:rsidRPr="00B15145" w:rsidRDefault="00D24C1F" w:rsidP="000A5282">
      <w:pPr>
        <w:pStyle w:val="EndnoteText"/>
        <w:rPr>
          <w:color w:val="000000" w:themeColor="text1"/>
          <w:sz w:val="18"/>
          <w:szCs w:val="18"/>
        </w:rPr>
      </w:pPr>
      <w:r w:rsidRPr="00B15145">
        <w:rPr>
          <w:rStyle w:val="EndnoteReference"/>
          <w:color w:val="000000" w:themeColor="text1"/>
        </w:rPr>
        <w:endnoteRef/>
      </w:r>
      <w:r w:rsidRPr="00B15145">
        <w:rPr>
          <w:color w:val="000000" w:themeColor="text1"/>
        </w:rPr>
        <w:t xml:space="preserve"> </w:t>
      </w:r>
      <w:r w:rsidRPr="00B15145">
        <w:rPr>
          <w:color w:val="000000" w:themeColor="text1"/>
          <w:sz w:val="18"/>
          <w:szCs w:val="18"/>
        </w:rPr>
        <w:t>SIDA (2006) Determinants of poverty in Lao PDR. Country Economic Report 2005:10. Swedish International Development Agency, Stockholm, Sweden.</w:t>
      </w:r>
    </w:p>
  </w:endnote>
  <w:endnote w:id="16">
    <w:p w:rsidR="00D24C1F" w:rsidRPr="00B15145" w:rsidRDefault="00D24C1F" w:rsidP="004D394A">
      <w:pPr>
        <w:pStyle w:val="EndnoteText"/>
        <w:rPr>
          <w:color w:val="000000" w:themeColor="text1"/>
          <w:sz w:val="18"/>
          <w:szCs w:val="18"/>
        </w:rPr>
      </w:pPr>
      <w:r w:rsidRPr="00B15145">
        <w:rPr>
          <w:rStyle w:val="EndnoteReference"/>
          <w:color w:val="000000" w:themeColor="text1"/>
        </w:rPr>
        <w:endnoteRef/>
      </w:r>
      <w:r w:rsidRPr="00B15145">
        <w:rPr>
          <w:color w:val="000000" w:themeColor="text1"/>
        </w:rPr>
        <w:t xml:space="preserve"> </w:t>
      </w:r>
      <w:r w:rsidRPr="00B15145">
        <w:rPr>
          <w:color w:val="000000" w:themeColor="text1"/>
          <w:sz w:val="18"/>
          <w:szCs w:val="18"/>
        </w:rPr>
        <w:t>World Bank (2014) Lao Poverty Reduction Fund Phase II Impact Evaluation: Baseline Report. World Bank, Vientiane, Lao PDR. [p36]</w:t>
      </w:r>
    </w:p>
  </w:endnote>
  <w:endnote w:id="17">
    <w:p w:rsidR="00D24C1F" w:rsidRPr="0006433F" w:rsidRDefault="00D24C1F" w:rsidP="004D394A">
      <w:pPr>
        <w:pStyle w:val="EndnoteText"/>
        <w:rPr>
          <w:sz w:val="18"/>
          <w:szCs w:val="18"/>
        </w:rPr>
      </w:pPr>
      <w:r w:rsidRPr="0006433F">
        <w:rPr>
          <w:rStyle w:val="EndnoteReference"/>
          <w:sz w:val="18"/>
          <w:szCs w:val="18"/>
        </w:rPr>
        <w:endnoteRef/>
      </w:r>
      <w:r w:rsidRPr="0006433F">
        <w:rPr>
          <w:sz w:val="18"/>
          <w:szCs w:val="18"/>
        </w:rPr>
        <w:t xml:space="preserve"> International border, Thailand and Laos.</w:t>
      </w:r>
    </w:p>
  </w:endnote>
  <w:endnote w:id="18">
    <w:p w:rsidR="00D24C1F" w:rsidRPr="004874C7" w:rsidRDefault="00D24C1F" w:rsidP="008177C5">
      <w:pPr>
        <w:pStyle w:val="EndnoteText"/>
        <w:rPr>
          <w:sz w:val="18"/>
          <w:szCs w:val="18"/>
        </w:rPr>
      </w:pPr>
      <w:r w:rsidRPr="004874C7">
        <w:rPr>
          <w:rStyle w:val="EndnoteReference"/>
          <w:sz w:val="18"/>
          <w:szCs w:val="18"/>
        </w:rPr>
        <w:endnoteRef/>
      </w:r>
      <w:r w:rsidRPr="004874C7">
        <w:rPr>
          <w:sz w:val="18"/>
          <w:szCs w:val="18"/>
        </w:rPr>
        <w:t xml:space="preserve"> The figure for 2014/15 was provided by the Department of Finance and is likely to be revised up when officially gazetted. According to the budget estimate in the Gazette 13.3 per cent of the national budget was spent on education for 2013/14. There is a five year lag in publishing actual expenditure.</w:t>
      </w:r>
    </w:p>
  </w:endnote>
  <w:endnote w:id="19">
    <w:p w:rsidR="00D24C1F" w:rsidRPr="0006433F" w:rsidRDefault="00D24C1F">
      <w:pPr>
        <w:pStyle w:val="EndnoteText"/>
        <w:rPr>
          <w:sz w:val="18"/>
          <w:szCs w:val="18"/>
        </w:rPr>
      </w:pPr>
      <w:r w:rsidRPr="0006433F">
        <w:rPr>
          <w:rStyle w:val="EndnoteReference"/>
          <w:sz w:val="18"/>
          <w:szCs w:val="18"/>
        </w:rPr>
        <w:endnoteRef/>
      </w:r>
      <w:r w:rsidRPr="0006433F">
        <w:rPr>
          <w:sz w:val="18"/>
          <w:szCs w:val="18"/>
        </w:rPr>
        <w:t xml:space="preserve"> The 2014-15 quality results used in the comparative assessment exclude three concluding i</w:t>
      </w:r>
      <w:r>
        <w:rPr>
          <w:sz w:val="18"/>
          <w:szCs w:val="18"/>
        </w:rPr>
        <w:t>nvestments</w:t>
      </w:r>
      <w:r w:rsidRPr="0006433F">
        <w:rPr>
          <w:sz w:val="18"/>
          <w:szCs w:val="18"/>
        </w:rPr>
        <w:t xml:space="preserve"> that were the subject of FAQCs (whole-of-investment-life quality assessments) in 2014.</w:t>
      </w:r>
    </w:p>
  </w:endnote>
  <w:endnote w:id="20">
    <w:p w:rsidR="00D24C1F" w:rsidRDefault="00D24C1F">
      <w:pPr>
        <w:pStyle w:val="EndnoteText"/>
      </w:pPr>
      <w:r w:rsidRPr="0006433F">
        <w:rPr>
          <w:rStyle w:val="EndnoteReference"/>
          <w:sz w:val="18"/>
          <w:szCs w:val="18"/>
        </w:rPr>
        <w:endnoteRef/>
      </w:r>
      <w:r w:rsidRPr="0006433F">
        <w:rPr>
          <w:sz w:val="18"/>
          <w:szCs w:val="18"/>
        </w:rPr>
        <w:t xml:space="preserve"> No in</w:t>
      </w:r>
      <w:r>
        <w:rPr>
          <w:sz w:val="18"/>
          <w:szCs w:val="18"/>
        </w:rPr>
        <w:t>vestment</w:t>
      </w:r>
      <w:r w:rsidRPr="0006433F">
        <w:rPr>
          <w:sz w:val="18"/>
          <w:szCs w:val="18"/>
        </w:rPr>
        <w:t>s were assessed as unsatisfactory with respect to gender compared to 10 per cent for 2013-14.</w:t>
      </w:r>
    </w:p>
  </w:endnote>
  <w:endnote w:id="21">
    <w:p w:rsidR="00D24C1F" w:rsidRDefault="00D24C1F">
      <w:pPr>
        <w:pStyle w:val="EndnoteText"/>
      </w:pPr>
      <w:r>
        <w:rPr>
          <w:rStyle w:val="EndnoteReference"/>
        </w:rPr>
        <w:endnoteRef/>
      </w:r>
      <w:r>
        <w:t xml:space="preserve"> </w:t>
      </w:r>
      <w:r w:rsidRPr="00A615A5">
        <w:rPr>
          <w:sz w:val="18"/>
          <w:szCs w:val="18"/>
        </w:rPr>
        <w:t xml:space="preserve">Support for UXO action in Laos was integrated into the LARLP program in 2014, therefor the quality ratings for 2014 reflect the performance of LARLP </w:t>
      </w:r>
      <w:r>
        <w:rPr>
          <w:sz w:val="18"/>
          <w:szCs w:val="18"/>
        </w:rPr>
        <w:t xml:space="preserve">in its entirety rather than only UXO action activities. </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7C" w:rsidRDefault="00D63E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159190"/>
      <w:docPartObj>
        <w:docPartGallery w:val="Page Numbers (Bottom of Page)"/>
        <w:docPartUnique/>
      </w:docPartObj>
    </w:sdtPr>
    <w:sdtEndPr>
      <w:rPr>
        <w:noProof/>
      </w:rPr>
    </w:sdtEndPr>
    <w:sdtContent>
      <w:p w:rsidR="00D24C1F" w:rsidRDefault="00D24C1F">
        <w:pPr>
          <w:pStyle w:val="Footer"/>
          <w:jc w:val="right"/>
        </w:pPr>
        <w:r>
          <w:fldChar w:fldCharType="begin"/>
        </w:r>
        <w:r>
          <w:instrText xml:space="preserve"> PAGE   \* MERGEFORMAT </w:instrText>
        </w:r>
        <w:r>
          <w:fldChar w:fldCharType="separate"/>
        </w:r>
        <w:r w:rsidR="00D63E7C">
          <w:rPr>
            <w:noProof/>
          </w:rPr>
          <w:t>27</w:t>
        </w:r>
        <w:r>
          <w:rPr>
            <w:noProof/>
          </w:rPr>
          <w:fldChar w:fldCharType="end"/>
        </w:r>
      </w:p>
    </w:sdtContent>
  </w:sdt>
  <w:p w:rsidR="00D24C1F" w:rsidRDefault="00D24C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7C" w:rsidRDefault="00D63E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1F" w:rsidRPr="004C4A3E" w:rsidRDefault="00D24C1F"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5F8C99E0" wp14:editId="2FF802C3">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D63E7C">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sidR="00D63E7C">
      <w:rPr>
        <w:rFonts w:ascii="Franklin Gothic Medium" w:hAnsi="Franklin Gothic Medium"/>
        <w:noProof/>
        <w:color w:val="54534A"/>
        <w:sz w:val="14"/>
        <w:szCs w:val="14"/>
      </w:rPr>
      <w:t>17</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79186356" wp14:editId="37A7DB92">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3D9F3726" wp14:editId="20136EBE">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1F" w:rsidRPr="004C4A3E" w:rsidRDefault="00D24C1F"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8896" behindDoc="1" locked="1" layoutInCell="1" allowOverlap="1" wp14:anchorId="33EE224E" wp14:editId="51A6D424">
              <wp:simplePos x="0" y="0"/>
              <wp:positionH relativeFrom="page">
                <wp:posOffset>0</wp:posOffset>
              </wp:positionH>
              <wp:positionV relativeFrom="page">
                <wp:posOffset>8533130</wp:posOffset>
              </wp:positionV>
              <wp:extent cx="7380000" cy="2181600"/>
              <wp:effectExtent l="0" t="0" r="0" b="9525"/>
              <wp:wrapNone/>
              <wp:docPr id="6" name="Rectangle 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alt="AusAID web address graphic" style="position:absolute;margin-left:0;margin-top:671.9pt;width:581.1pt;height:171.8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kU1e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F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BkpFNX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3A3A7A">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26</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7872" behindDoc="1" locked="0" layoutInCell="1" allowOverlap="1" wp14:anchorId="1809689B" wp14:editId="3BFECD16">
              <wp:simplePos x="0" y="0"/>
              <wp:positionH relativeFrom="column">
                <wp:posOffset>0</wp:posOffset>
              </wp:positionH>
              <wp:positionV relativeFrom="paragraph">
                <wp:posOffset>8498840</wp:posOffset>
              </wp:positionV>
              <wp:extent cx="7379970" cy="2181860"/>
              <wp:effectExtent l="0" t="2540" r="1905" b="0"/>
              <wp:wrapNone/>
              <wp:docPr id="7" name="Rectangle 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AusAID web address graphic" style="position:absolute;margin-left:0;margin-top:669.2pt;width:581.1pt;height:171.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1RJC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y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BSNUSQ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6848" behindDoc="1" locked="0" layoutInCell="1" allowOverlap="1" wp14:anchorId="390EA979" wp14:editId="028850B1">
              <wp:simplePos x="0" y="0"/>
              <wp:positionH relativeFrom="column">
                <wp:posOffset>0</wp:posOffset>
              </wp:positionH>
              <wp:positionV relativeFrom="paragraph">
                <wp:posOffset>8498840</wp:posOffset>
              </wp:positionV>
              <wp:extent cx="7379970" cy="2181860"/>
              <wp:effectExtent l="0" t="2540" r="1905" b="0"/>
              <wp:wrapNone/>
              <wp:docPr id="8" name="Rectangle 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AusAID web address graphic" style="position:absolute;margin-left:0;margin-top:669.2pt;width:581.1pt;height:171.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aVq6q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gnFABRSZHqKMj&#10;1FFwFopMj1FGR6ii4C0UmR6ijIouAt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zfjT/AJBUX/XUfyNdJXN+NP8AkFRf9dR/I1y43/d5+h1YL/eIepwtFFFf&#10;JH1gVv6K2ii3/wBLC/asnBlzs9ulYFb+i/2L9m/0vb9qyf8AW52e1dOE/idPmcuM/hdfkaM8mseS&#10;39nCzMAH/Lrgn9a5BiS7FvvZ5+tdhOusmFv7OayEGOlrgcfjXHtncd3XPNbY7db/AD2+RjgNnt8t&#10;/mJWz4Wcrr8AH8QYH8jWNWv4Y/5GG2/4F/6Ca58L/Hh6o6cV/An6M9Hooor7A+Q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m/Gn/IKi/66j+RrpK5&#10;vxp/yCov+uo/ka5cb/u8/Q6sF/vEPU4Wiiivkj6wK2NN8P3GoW32nzUjgyRuOSePaset7RtM1GW2&#10;+1QXn2eDJ5yT09hXRhYKdSzjc58VNwp3UrD0XRdNY5urqeUdRGCgzWA5DOxGcE8ZrrbjV9PihaG9&#10;Y6hLjG4wBMVyLEFiQMDPArXGcqtGLXov6Zlg3J3lJO/d/pohK1/DH/Iw23/Av/QTWRWv4Y/5GG2/&#10;4F/6Caxwv8eHqjbFfwJ+jPR6KKK+wPk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5vxp/yCov+uo/ka6Sub8af8gqL/rqP5GuXG/7vP0OrBf7xD1OF&#10;ooor5I+sCrdlc30LgWckwP8Adjyf0qpW/o2uNZ232QWZkBJ+eLh+a3w6TnrKxhiG1DSNzRtW1m5j&#10;xe2Nu8eOWnUKf8/hXIyDEjDAGCeBXXT6MdShaf7XewcZ2XZyP51yDDDEZzg9a6MapJRT+99TmwLi&#10;3Jq3ougla/hj/kYbb/gX/oJrIrX8Mf8AIw23/Av/AEE1z4X+PD1R04r+BP0Z6PRRRX2B8g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N+NP+QVF/11&#10;H8jXSVzfjT/kFRf9dR/I1y43/d5+h1YL/eIepwtFFFfJH1gVv6Rrh06xML2jNESczRnDc++KwK3L&#10;OTVL3Q3sLa0EkAPL4565xXThZSjNuL1t2uc2LjGUEpLS/exNMNK1PLf2pcRSH+GcFh+dc8wwxAOc&#10;HrUv2WcyvF5L+YgJZccjHXNQ1Fao56uNmVRpqF1GV0Fa/hj/AJGG2/4F/wCgmsitfwx/yMNt/wAC&#10;/wDQTTwv8eHqg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p7OHUrrw/ajTmeMxSPvwdu/JyCD3xXMVuafpt9daeshvxbWwYhA8hAJ74rqwjfM0k3dd&#10;NPxOTGJcqbaVn11/A2xp94utW99IqrGYALliwAJxz/SuLm2+fJs+7uOPpmugbQ5mUg61bsCOQZDz&#10;XOsu12XIODjIrTGN2S5bdd7meDSu7SvstrCVr+GP+Rhtv+Bf+gmsitfwx/yMNt/wL/0E1hhf48PV&#10;HRiv4E/Rno9FFFfYHy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c340/5BUX/XUfyNdJXN+NP+QVF/11H8jXLjf93n6HVgv94h6nC0UUV8kfWBXR2t&#10;rDqPh+3invIbdoZG8vc3UE85Fc5WjNaQw6Ja3BBM87tjngKOK6MPLl5na6tqc2JjzcqvZ30Lh8P2&#10;wB/4nFof8/WsNl2sVznBxkV0q6FpqLBaT3Egv503LgfKD6VzckZileNuqsVP4VeJp8iXu2+dycLV&#10;521zX+Vhta/hj/kYbb/gX/oJrIrX8Mf8jDbf8C/9BNZ4X+PD1Rpiv4E/Rno9FFFfYHy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c340/5BUX/AF1H&#10;8jXSVzfjT/kFRf8AXUfyNcuN/wB3n6HVgv8AeIepwtFFFfJH1gVvaReB7MW9xpkl5FCxZDGpJUnq&#10;Kwa6eym1BfD9t/ZSncsj+ftXJJzx+FdeDvzt+Xa9zkxnwJefe1jOl1eWXXft5t8tH92Pn5QBWXI5&#10;kkZ26sSx/GuxSyujr0NybYrHNAPtHGACRzXHzKqzyKv3QxA+maeKhOKvJ7tk4WpCTtFbJf8ADDK1&#10;/DH/ACMNt/wL/wBBNZFa/hj/AJGG2/4F/wCgmssL/Hh6o2xX8Cfoz0eiiivsD5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af8AIKi/66j+RrpK&#10;5vxp/wAgqL/rqP5GuXG/7vP0OrBf7xD1OFooor5I+sCug0y21y402P7FOEtwx2jeFOc81z9bOmaW&#10;Z7Q3Vze/ZbUNtBJ5Y+1dOFu52V/k7fic2KsoXdvmr/gX5NL8SSRMj3W5COR5vWsX+yrn+zXvvk8p&#10;H2EZ5zWo+jw3ETnTtW8+VRnyicEj2rAMkgQxl225yVzxmtcQoxtzJ/fcxwzlJPla+6wytfwx/wAj&#10;Dbf8C/8AQTWRWv4Y/wCRhtv+Bf8AoJrDC/x4eqOj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ujtLe2v/D0NvPfQ27xyMyBm7H1Fc5Wkttpx0Qzm5P2&#10;0NxF+P8AhXRhnZy0TVuuhz4lXUdWnformxpum2NheLcHV7ZigO0Bsc4781nX2lWsMEtwuqW8r9di&#10;dT+tY1FVLEQcOXk/Fkxw81Pn5/wQVr+GP+Rhtv8AgX/oJrIrX8Mf8jDbf8C/9BNRhf40PVF4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ho6LaQ3eoAXA&#10;JhjRpHA7gdq0bW10vUlubl4mtY9yRRqpyFY55NZWlXw0++WZk3oQVdfUGr99qNj9hFnpcEqhpBI5&#10;frkdMV3UJU1TvK2l9Or7HBiI1XUtG+ttei7l0WOitdnSRDL9pA2/aNx+9j0zXMSIY5HQ9VJFdTa6&#10;9bNcxyXVikNyww1wRjt1rlpDukY5zkk59aWL9m4pxt12VtPMeE9opNTv03d9fIbWv4Y/5GG2/wCB&#10;f+gmsitfwx/yMNt/wL/0E1jhf48PVG+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dDa3H9j6HBeQW8ck9w7BpHXOwA8CuerT0zWLmwUwLGk8LnPlOMj&#10;PtXRhpqEnd28+xz4mDnBWV/LualhrE+s3S2V7bwyxSAgsqYKcda5uVQkzoDkKxANdej6teW7i3sI&#10;LCJh80h4OK4912uyk5IOM1ti78seZt+bVjDB25pcqSXZO42tfwx/yMNt/wAC/wDQTWRWv4Y/5GG2&#10;/wCBf+gmsML/AB4eqOjFfwJ+jPR6KKK+wPk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5vxp/yCov+uo/ka6Sub8af8gqL/rqP5GuXG/7vP0OrBf7x&#10;D1OFooor5I+sCuh0PWbKytTBLEYpiT/pCqGNc9WtFdpJob2UenmSbdkzKucc5/8ArV0YabhNyT1t&#10;6nNioKcFFrS/exfvNOutTUy22qLer12FtpH4VzZBUkHqOKcjPG+ULKw9OCKYTnmprVI1He1n6lUa&#10;cqa5W7rpoFa/hj/kYbb/AIF/6CayK1/DH/Iw23/Av/QTTwv8eHqgxX8Cfoz0eiiivsD5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ub8af8gqL/rqP&#10;5Gukrm/Gn/IKi/66j+Rrlxv+7z9DqwX+8Q9ThaKKK+SPrArprK6vbfQLZtLjDP5jCfCbjnPH6VzN&#10;b+lf29NYiPT/AJYEY/N8oyfqetdeEk1NpX26bnJjIpwTdtH12NGO0lbxBDP9kKxXMGZxt4Ukc1yU&#10;yhJ5FX7qsQPpmunktfFMkTI8pKkc4da5ZlKsVbqDg1eMei91rVvUzwa1b5k9EtBK1/DH/Iw23/Av&#10;/QTWRWv4Y/5GG2/4F/6Cawwv8eHqjoxX8Cfoz0eiiivsD5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ub8af8AIKi/66j+RrpK5vxp/wAgqL/rqP5G&#10;uXG/7vP0OrBf7xD1OFooor5I+sCumtbO81Lw3bJauYzDI2QW2iQE9fwrmaeJpAgQSOFByAGOK3oV&#10;VTb5lo0YV6UqiXK7NO5uHw/rIGfNX/v/AFgsCrMG6g4NO82T/no//fVMpVZwlblTXq7jpQnG/O0/&#10;RWCtjwuM+ILb23f+gmseuo8G2TPdy3jA7I12qfUmtMFBzrxS7kY2ahQk32O2ooor60+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m/Gf/ACCov+uo&#10;/ka6SmSRRyqBIiuB2YZrGvT9rTcL7mtCp7Kop22PJKMV6v8AYrX/AJ94v++BR9itf+feL/vgV5H9&#10;jy/n/A9f+2F/J+J5RijFer/YrX/n3i/74FH2K1/594v++BR/Y8v5/wAA/thfyfieUYpVVmOFUkns&#10;BXq32K1/594v++BTkt4Yj8kSL9FAoWTvrP8AAHnC/k/E4HTPDN7fOrSoYIe7MOT9BXeWlpDZWyW8&#10;CbY1HFT0V6WGwdPDr3d+55uJxdTEP3tuwUUUV1nK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" stroked="f" strokecolor="#4a7ebb" strokeweight="1.5pt">
              <v:fill r:id="rId2" o:title="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1F" w:rsidRPr="004C4A3E" w:rsidRDefault="00D24C1F"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4800" behindDoc="1" locked="1" layoutInCell="1" allowOverlap="1" wp14:anchorId="19703A8F" wp14:editId="01833AFF">
              <wp:simplePos x="0" y="0"/>
              <wp:positionH relativeFrom="page">
                <wp:posOffset>0</wp:posOffset>
              </wp:positionH>
              <wp:positionV relativeFrom="page">
                <wp:posOffset>8533130</wp:posOffset>
              </wp:positionV>
              <wp:extent cx="7380000" cy="2181600"/>
              <wp:effectExtent l="0" t="0" r="0" b="9525"/>
              <wp:wrapNone/>
              <wp:docPr id="3" name="Rectangle 3"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AusAID web address graphic" style="position:absolute;margin-left:0;margin-top:671.9pt;width:581.1pt;height:171.8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DcvS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Z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Aew3L0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3A3A7A">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3776" behindDoc="1" locked="0" layoutInCell="1" allowOverlap="1" wp14:anchorId="63EA2D6A" wp14:editId="29DD14B6">
              <wp:simplePos x="0" y="0"/>
              <wp:positionH relativeFrom="column">
                <wp:posOffset>0</wp:posOffset>
              </wp:positionH>
              <wp:positionV relativeFrom="paragraph">
                <wp:posOffset>8498840</wp:posOffset>
              </wp:positionV>
              <wp:extent cx="7379970" cy="2181860"/>
              <wp:effectExtent l="0" t="2540" r="1905" b="0"/>
              <wp:wrapNone/>
              <wp:docPr id="4" name="Rectangle 4"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AusAID web address graphic" style="position:absolute;margin-left:0;margin-top:669.2pt;width:581.1pt;height:17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XW/G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i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EF1vx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2752" behindDoc="1" locked="0" layoutInCell="1" allowOverlap="1" wp14:anchorId="21705A25" wp14:editId="6E3EF09D">
              <wp:simplePos x="0" y="0"/>
              <wp:positionH relativeFrom="column">
                <wp:posOffset>0</wp:posOffset>
              </wp:positionH>
              <wp:positionV relativeFrom="paragraph">
                <wp:posOffset>8498840</wp:posOffset>
              </wp:positionV>
              <wp:extent cx="7379970" cy="2181860"/>
              <wp:effectExtent l="0" t="2540" r="1905" b="0"/>
              <wp:wrapNone/>
              <wp:docPr id="5" name="Rectangle 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AusAID web address graphic" style="position:absolute;margin-left:0;margin-top:669.2pt;width:581.1pt;height:17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0fme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J9H5n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C1F" w:rsidRDefault="00D24C1F" w:rsidP="0050529F">
      <w:r>
        <w:separator/>
      </w:r>
    </w:p>
    <w:p w:rsidR="00D24C1F" w:rsidRDefault="00D24C1F"/>
    <w:p w:rsidR="00D24C1F" w:rsidRDefault="00D24C1F"/>
    <w:p w:rsidR="00D24C1F" w:rsidRDefault="00D24C1F"/>
    <w:p w:rsidR="00D24C1F" w:rsidRDefault="00D24C1F"/>
    <w:p w:rsidR="00D24C1F" w:rsidRDefault="00D24C1F"/>
    <w:p w:rsidR="00D24C1F" w:rsidRDefault="00D24C1F"/>
  </w:footnote>
  <w:footnote w:type="continuationSeparator" w:id="0">
    <w:p w:rsidR="00D24C1F" w:rsidRDefault="00D24C1F" w:rsidP="0050529F">
      <w:r>
        <w:continuationSeparator/>
      </w:r>
    </w:p>
    <w:p w:rsidR="00D24C1F" w:rsidRDefault="00D24C1F"/>
    <w:p w:rsidR="00D24C1F" w:rsidRDefault="00D24C1F"/>
    <w:p w:rsidR="00D24C1F" w:rsidRDefault="00D24C1F"/>
    <w:p w:rsidR="00D24C1F" w:rsidRDefault="00D24C1F"/>
    <w:p w:rsidR="00D24C1F" w:rsidRDefault="00D24C1F"/>
    <w:p w:rsidR="00D24C1F" w:rsidRDefault="00D24C1F"/>
  </w:footnote>
  <w:footnote w:type="continuationNotice" w:id="1">
    <w:p w:rsidR="00D24C1F" w:rsidRDefault="00D24C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7C" w:rsidRDefault="00D63E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7C" w:rsidRDefault="00D63E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7C" w:rsidRDefault="00D63E7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1F" w:rsidRDefault="00D24C1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1F" w:rsidRDefault="00D24C1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1F" w:rsidRDefault="00D24C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07C562B"/>
    <w:multiLevelType w:val="hybridMultilevel"/>
    <w:tmpl w:val="0F5A3168"/>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720"/>
        </w:tabs>
        <w:ind w:left="720" w:hanging="360"/>
      </w:pPr>
      <w:rPr>
        <w:rFonts w:ascii="Symbol" w:hAnsi="Symbol" w:hint="default"/>
      </w:rPr>
    </w:lvl>
    <w:lvl w:ilvl="2" w:tplc="0C09001B" w:tentative="1">
      <w:start w:val="1"/>
      <w:numFmt w:val="bullet"/>
      <w:lvlText w:val=""/>
      <w:lvlJc w:val="left"/>
      <w:pPr>
        <w:tabs>
          <w:tab w:val="num" w:pos="1440"/>
        </w:tabs>
        <w:ind w:left="1440" w:hanging="360"/>
      </w:pPr>
      <w:rPr>
        <w:rFonts w:ascii="Wingdings" w:hAnsi="Wingdings" w:hint="default"/>
      </w:rPr>
    </w:lvl>
    <w:lvl w:ilvl="3" w:tplc="0C09000F" w:tentative="1">
      <w:start w:val="1"/>
      <w:numFmt w:val="bullet"/>
      <w:lvlText w:val=""/>
      <w:lvlJc w:val="left"/>
      <w:pPr>
        <w:tabs>
          <w:tab w:val="num" w:pos="2160"/>
        </w:tabs>
        <w:ind w:left="2160" w:hanging="360"/>
      </w:pPr>
      <w:rPr>
        <w:rFonts w:ascii="Symbol" w:hAnsi="Symbol" w:hint="default"/>
      </w:rPr>
    </w:lvl>
    <w:lvl w:ilvl="4" w:tplc="0C090019" w:tentative="1">
      <w:start w:val="1"/>
      <w:numFmt w:val="bullet"/>
      <w:lvlText w:val="o"/>
      <w:lvlJc w:val="left"/>
      <w:pPr>
        <w:tabs>
          <w:tab w:val="num" w:pos="2880"/>
        </w:tabs>
        <w:ind w:left="2880" w:hanging="360"/>
      </w:pPr>
      <w:rPr>
        <w:rFonts w:ascii="Courier New" w:hAnsi="Courier New" w:hint="default"/>
      </w:rPr>
    </w:lvl>
    <w:lvl w:ilvl="5" w:tplc="0C09001B" w:tentative="1">
      <w:start w:val="1"/>
      <w:numFmt w:val="bullet"/>
      <w:lvlText w:val=""/>
      <w:lvlJc w:val="left"/>
      <w:pPr>
        <w:tabs>
          <w:tab w:val="num" w:pos="3600"/>
        </w:tabs>
        <w:ind w:left="3600" w:hanging="360"/>
      </w:pPr>
      <w:rPr>
        <w:rFonts w:ascii="Wingdings" w:hAnsi="Wingdings" w:hint="default"/>
      </w:rPr>
    </w:lvl>
    <w:lvl w:ilvl="6" w:tplc="0C09000F" w:tentative="1">
      <w:start w:val="1"/>
      <w:numFmt w:val="bullet"/>
      <w:lvlText w:val=""/>
      <w:lvlJc w:val="left"/>
      <w:pPr>
        <w:tabs>
          <w:tab w:val="num" w:pos="4320"/>
        </w:tabs>
        <w:ind w:left="4320" w:hanging="360"/>
      </w:pPr>
      <w:rPr>
        <w:rFonts w:ascii="Symbol" w:hAnsi="Symbol" w:hint="default"/>
      </w:rPr>
    </w:lvl>
    <w:lvl w:ilvl="7" w:tplc="0C090019" w:tentative="1">
      <w:start w:val="1"/>
      <w:numFmt w:val="bullet"/>
      <w:lvlText w:val="o"/>
      <w:lvlJc w:val="left"/>
      <w:pPr>
        <w:tabs>
          <w:tab w:val="num" w:pos="5040"/>
        </w:tabs>
        <w:ind w:left="5040" w:hanging="360"/>
      </w:pPr>
      <w:rPr>
        <w:rFonts w:ascii="Courier New" w:hAnsi="Courier New" w:hint="default"/>
      </w:rPr>
    </w:lvl>
    <w:lvl w:ilvl="8" w:tplc="0C09001B" w:tentative="1">
      <w:start w:val="1"/>
      <w:numFmt w:val="bullet"/>
      <w:lvlText w:val=""/>
      <w:lvlJc w:val="left"/>
      <w:pPr>
        <w:tabs>
          <w:tab w:val="num" w:pos="5760"/>
        </w:tabs>
        <w:ind w:left="5760" w:hanging="360"/>
      </w:pPr>
      <w:rPr>
        <w:rFonts w:ascii="Wingdings" w:hAnsi="Wingdings" w:hint="default"/>
      </w:rPr>
    </w:lvl>
  </w:abstractNum>
  <w:abstractNum w:abstractNumId="3">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7">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8">
    <w:nsid w:val="23AC44B2"/>
    <w:multiLevelType w:val="hybridMultilevel"/>
    <w:tmpl w:val="3E965DBA"/>
    <w:lvl w:ilvl="0" w:tplc="0C090001">
      <w:start w:val="1"/>
      <w:numFmt w:val="bullet"/>
      <w:lvlText w:val=""/>
      <w:lvlJc w:val="left"/>
      <w:pPr>
        <w:ind w:left="360" w:hanging="360"/>
      </w:pPr>
      <w:rPr>
        <w:rFonts w:ascii="Symbol" w:hAnsi="Symbol"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nsid w:val="275A6D3C"/>
    <w:multiLevelType w:val="hybridMultilevel"/>
    <w:tmpl w:val="D0468C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7DB51B4"/>
    <w:multiLevelType w:val="hybridMultilevel"/>
    <w:tmpl w:val="638A1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84D723B"/>
    <w:multiLevelType w:val="hybridMultilevel"/>
    <w:tmpl w:val="5980E99C"/>
    <w:lvl w:ilvl="0" w:tplc="AFEC86BC">
      <w:numFmt w:val="bullet"/>
      <w:lvlText w:val=""/>
      <w:lvlJc w:val="left"/>
      <w:pPr>
        <w:ind w:left="720" w:hanging="360"/>
      </w:pPr>
      <w:rPr>
        <w:rFonts w:ascii="Symbol" w:eastAsia="SimSu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7F7A528B"/>
    <w:multiLevelType w:val="hybridMultilevel"/>
    <w:tmpl w:val="99E42F1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5"/>
  </w:num>
  <w:num w:numId="4">
    <w:abstractNumId w:val="17"/>
  </w:num>
  <w:num w:numId="5">
    <w:abstractNumId w:val="14"/>
  </w:num>
  <w:num w:numId="6">
    <w:abstractNumId w:val="13"/>
  </w:num>
  <w:num w:numId="7">
    <w:abstractNumId w:val="21"/>
  </w:num>
  <w:num w:numId="8">
    <w:abstractNumId w:val="4"/>
  </w:num>
  <w:num w:numId="9">
    <w:abstractNumId w:val="7"/>
  </w:num>
  <w:num w:numId="10">
    <w:abstractNumId w:val="22"/>
  </w:num>
  <w:num w:numId="11">
    <w:abstractNumId w:val="23"/>
  </w:num>
  <w:num w:numId="12">
    <w:abstractNumId w:val="0"/>
  </w:num>
  <w:num w:numId="13">
    <w:abstractNumId w:val="3"/>
  </w:num>
  <w:num w:numId="14">
    <w:abstractNumId w:val="20"/>
  </w:num>
  <w:num w:numId="15">
    <w:abstractNumId w:val="1"/>
  </w:num>
  <w:num w:numId="16">
    <w:abstractNumId w:val="12"/>
  </w:num>
  <w:num w:numId="17">
    <w:abstractNumId w:val="9"/>
  </w:num>
  <w:num w:numId="18">
    <w:abstractNumId w:val="6"/>
  </w:num>
  <w:num w:numId="19">
    <w:abstractNumId w:val="16"/>
  </w:num>
  <w:num w:numId="20">
    <w:abstractNumId w:val="2"/>
  </w:num>
  <w:num w:numId="21">
    <w:abstractNumId w:val="23"/>
  </w:num>
  <w:num w:numId="22">
    <w:abstractNumId w:val="23"/>
  </w:num>
  <w:num w:numId="23">
    <w:abstractNumId w:val="23"/>
  </w:num>
  <w:num w:numId="24">
    <w:abstractNumId w:val="23"/>
  </w:num>
  <w:num w:numId="25">
    <w:abstractNumId w:val="23"/>
  </w:num>
  <w:num w:numId="26">
    <w:abstractNumId w:val="23"/>
  </w:num>
  <w:num w:numId="27">
    <w:abstractNumId w:val="23"/>
  </w:num>
  <w:num w:numId="28">
    <w:abstractNumId w:val="23"/>
  </w:num>
  <w:num w:numId="29">
    <w:abstractNumId w:val="23"/>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15"/>
  </w:num>
  <w:num w:numId="45">
    <w:abstractNumId w:val="8"/>
  </w:num>
  <w:num w:numId="46">
    <w:abstractNumId w:val="11"/>
  </w:num>
  <w:num w:numId="47">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2161"/>
    <w:rsid w:val="0000242A"/>
    <w:rsid w:val="00002A92"/>
    <w:rsid w:val="00002E28"/>
    <w:rsid w:val="0000303C"/>
    <w:rsid w:val="0000311E"/>
    <w:rsid w:val="000039CF"/>
    <w:rsid w:val="00004E18"/>
    <w:rsid w:val="00005CD1"/>
    <w:rsid w:val="000077FB"/>
    <w:rsid w:val="000079E7"/>
    <w:rsid w:val="00007E94"/>
    <w:rsid w:val="00013E23"/>
    <w:rsid w:val="000142A2"/>
    <w:rsid w:val="000143D9"/>
    <w:rsid w:val="00015660"/>
    <w:rsid w:val="00016E30"/>
    <w:rsid w:val="0001781D"/>
    <w:rsid w:val="00020121"/>
    <w:rsid w:val="00021651"/>
    <w:rsid w:val="00021A9E"/>
    <w:rsid w:val="000258E1"/>
    <w:rsid w:val="00025F9E"/>
    <w:rsid w:val="0002747F"/>
    <w:rsid w:val="00027629"/>
    <w:rsid w:val="00030111"/>
    <w:rsid w:val="000306DC"/>
    <w:rsid w:val="00031100"/>
    <w:rsid w:val="00031EB5"/>
    <w:rsid w:val="0003231A"/>
    <w:rsid w:val="00032C6F"/>
    <w:rsid w:val="00035CCE"/>
    <w:rsid w:val="00040AF6"/>
    <w:rsid w:val="00040F72"/>
    <w:rsid w:val="000426DF"/>
    <w:rsid w:val="000455FA"/>
    <w:rsid w:val="00046458"/>
    <w:rsid w:val="00050236"/>
    <w:rsid w:val="000529AD"/>
    <w:rsid w:val="0005506B"/>
    <w:rsid w:val="000550B0"/>
    <w:rsid w:val="00055E78"/>
    <w:rsid w:val="0005637C"/>
    <w:rsid w:val="00057589"/>
    <w:rsid w:val="00057D09"/>
    <w:rsid w:val="00057DB2"/>
    <w:rsid w:val="0006433F"/>
    <w:rsid w:val="00064A2C"/>
    <w:rsid w:val="000661E7"/>
    <w:rsid w:val="000677A9"/>
    <w:rsid w:val="00070D43"/>
    <w:rsid w:val="0007149C"/>
    <w:rsid w:val="00071B95"/>
    <w:rsid w:val="000737D1"/>
    <w:rsid w:val="0007395B"/>
    <w:rsid w:val="000745E2"/>
    <w:rsid w:val="00075109"/>
    <w:rsid w:val="000753AD"/>
    <w:rsid w:val="0007703B"/>
    <w:rsid w:val="000773B8"/>
    <w:rsid w:val="000774FD"/>
    <w:rsid w:val="0008043A"/>
    <w:rsid w:val="0008091A"/>
    <w:rsid w:val="000818C0"/>
    <w:rsid w:val="00081F4E"/>
    <w:rsid w:val="0008391F"/>
    <w:rsid w:val="00083A84"/>
    <w:rsid w:val="00085091"/>
    <w:rsid w:val="000863B7"/>
    <w:rsid w:val="000905A8"/>
    <w:rsid w:val="00091878"/>
    <w:rsid w:val="000957FC"/>
    <w:rsid w:val="00095CF5"/>
    <w:rsid w:val="000979A0"/>
    <w:rsid w:val="00097B02"/>
    <w:rsid w:val="000A1618"/>
    <w:rsid w:val="000A3B86"/>
    <w:rsid w:val="000A3D12"/>
    <w:rsid w:val="000A4247"/>
    <w:rsid w:val="000A5282"/>
    <w:rsid w:val="000A714B"/>
    <w:rsid w:val="000B0391"/>
    <w:rsid w:val="000B092C"/>
    <w:rsid w:val="000B3121"/>
    <w:rsid w:val="000B68F6"/>
    <w:rsid w:val="000B6BE5"/>
    <w:rsid w:val="000B6FEA"/>
    <w:rsid w:val="000B75E8"/>
    <w:rsid w:val="000B778C"/>
    <w:rsid w:val="000C1315"/>
    <w:rsid w:val="000C1E04"/>
    <w:rsid w:val="000C258A"/>
    <w:rsid w:val="000C29BF"/>
    <w:rsid w:val="000C4A7A"/>
    <w:rsid w:val="000C6080"/>
    <w:rsid w:val="000C60A8"/>
    <w:rsid w:val="000D151B"/>
    <w:rsid w:val="000D1993"/>
    <w:rsid w:val="000D2A2C"/>
    <w:rsid w:val="000D2CDD"/>
    <w:rsid w:val="000D3DF9"/>
    <w:rsid w:val="000D54F3"/>
    <w:rsid w:val="000D733F"/>
    <w:rsid w:val="000D7952"/>
    <w:rsid w:val="000E4573"/>
    <w:rsid w:val="000E7297"/>
    <w:rsid w:val="000E7A8D"/>
    <w:rsid w:val="000F25CD"/>
    <w:rsid w:val="000F2D94"/>
    <w:rsid w:val="000F3128"/>
    <w:rsid w:val="000F4357"/>
    <w:rsid w:val="00100485"/>
    <w:rsid w:val="00100635"/>
    <w:rsid w:val="00100AA2"/>
    <w:rsid w:val="00106185"/>
    <w:rsid w:val="00106BDC"/>
    <w:rsid w:val="0010729C"/>
    <w:rsid w:val="001119C0"/>
    <w:rsid w:val="001128B4"/>
    <w:rsid w:val="00112E97"/>
    <w:rsid w:val="001139DE"/>
    <w:rsid w:val="00114751"/>
    <w:rsid w:val="00115070"/>
    <w:rsid w:val="001154CA"/>
    <w:rsid w:val="001171DE"/>
    <w:rsid w:val="00120FC7"/>
    <w:rsid w:val="00122038"/>
    <w:rsid w:val="00122299"/>
    <w:rsid w:val="001227C3"/>
    <w:rsid w:val="001234D0"/>
    <w:rsid w:val="0012429A"/>
    <w:rsid w:val="00124446"/>
    <w:rsid w:val="00125002"/>
    <w:rsid w:val="001258C6"/>
    <w:rsid w:val="0012793C"/>
    <w:rsid w:val="00127C28"/>
    <w:rsid w:val="00131446"/>
    <w:rsid w:val="00131FF0"/>
    <w:rsid w:val="00132003"/>
    <w:rsid w:val="00132381"/>
    <w:rsid w:val="00132643"/>
    <w:rsid w:val="00133AAD"/>
    <w:rsid w:val="00134624"/>
    <w:rsid w:val="00135806"/>
    <w:rsid w:val="001366B4"/>
    <w:rsid w:val="00136CC1"/>
    <w:rsid w:val="001375E3"/>
    <w:rsid w:val="0013792C"/>
    <w:rsid w:val="00141A30"/>
    <w:rsid w:val="00142574"/>
    <w:rsid w:val="00143053"/>
    <w:rsid w:val="0014411B"/>
    <w:rsid w:val="001448E7"/>
    <w:rsid w:val="00147846"/>
    <w:rsid w:val="0015043E"/>
    <w:rsid w:val="0015151F"/>
    <w:rsid w:val="00152DFD"/>
    <w:rsid w:val="00153E8C"/>
    <w:rsid w:val="00154EF9"/>
    <w:rsid w:val="0015528A"/>
    <w:rsid w:val="00155450"/>
    <w:rsid w:val="00157605"/>
    <w:rsid w:val="00157858"/>
    <w:rsid w:val="00160EA8"/>
    <w:rsid w:val="001612CE"/>
    <w:rsid w:val="00161715"/>
    <w:rsid w:val="001624FB"/>
    <w:rsid w:val="001637BE"/>
    <w:rsid w:val="0016544D"/>
    <w:rsid w:val="001657F1"/>
    <w:rsid w:val="00167331"/>
    <w:rsid w:val="0016740F"/>
    <w:rsid w:val="00170ED9"/>
    <w:rsid w:val="00171779"/>
    <w:rsid w:val="00171BB2"/>
    <w:rsid w:val="00173C6E"/>
    <w:rsid w:val="00175E4C"/>
    <w:rsid w:val="001772FD"/>
    <w:rsid w:val="00177FF9"/>
    <w:rsid w:val="00180B19"/>
    <w:rsid w:val="00180F3A"/>
    <w:rsid w:val="0018101D"/>
    <w:rsid w:val="0018196F"/>
    <w:rsid w:val="001829BB"/>
    <w:rsid w:val="0018305E"/>
    <w:rsid w:val="0018353A"/>
    <w:rsid w:val="001849A3"/>
    <w:rsid w:val="001875A7"/>
    <w:rsid w:val="00192498"/>
    <w:rsid w:val="001943B6"/>
    <w:rsid w:val="00194806"/>
    <w:rsid w:val="001A374B"/>
    <w:rsid w:val="001B1741"/>
    <w:rsid w:val="001B1A0C"/>
    <w:rsid w:val="001B2948"/>
    <w:rsid w:val="001B41CD"/>
    <w:rsid w:val="001B4B51"/>
    <w:rsid w:val="001B650A"/>
    <w:rsid w:val="001B714C"/>
    <w:rsid w:val="001C12F2"/>
    <w:rsid w:val="001C1EA0"/>
    <w:rsid w:val="001C2ACC"/>
    <w:rsid w:val="001C31B9"/>
    <w:rsid w:val="001C507E"/>
    <w:rsid w:val="001C6D32"/>
    <w:rsid w:val="001C700E"/>
    <w:rsid w:val="001C7117"/>
    <w:rsid w:val="001C745A"/>
    <w:rsid w:val="001C7DDD"/>
    <w:rsid w:val="001D0E29"/>
    <w:rsid w:val="001D20FC"/>
    <w:rsid w:val="001D210A"/>
    <w:rsid w:val="001D2D62"/>
    <w:rsid w:val="001D33C6"/>
    <w:rsid w:val="001D6059"/>
    <w:rsid w:val="001D6515"/>
    <w:rsid w:val="001D6DD4"/>
    <w:rsid w:val="001D7078"/>
    <w:rsid w:val="001D7E98"/>
    <w:rsid w:val="001E1227"/>
    <w:rsid w:val="001E4BDE"/>
    <w:rsid w:val="001E6635"/>
    <w:rsid w:val="001E6C02"/>
    <w:rsid w:val="001F12A2"/>
    <w:rsid w:val="001F1963"/>
    <w:rsid w:val="001F21AB"/>
    <w:rsid w:val="001F5CB1"/>
    <w:rsid w:val="001F61A8"/>
    <w:rsid w:val="001F7480"/>
    <w:rsid w:val="001F7D24"/>
    <w:rsid w:val="00201174"/>
    <w:rsid w:val="00202880"/>
    <w:rsid w:val="00202E4E"/>
    <w:rsid w:val="00203BCC"/>
    <w:rsid w:val="00205BBC"/>
    <w:rsid w:val="00205E0B"/>
    <w:rsid w:val="00205F2B"/>
    <w:rsid w:val="002060B8"/>
    <w:rsid w:val="002115BD"/>
    <w:rsid w:val="002126BA"/>
    <w:rsid w:val="00212B27"/>
    <w:rsid w:val="0021515C"/>
    <w:rsid w:val="00216017"/>
    <w:rsid w:val="00217E89"/>
    <w:rsid w:val="002227A9"/>
    <w:rsid w:val="00222C75"/>
    <w:rsid w:val="00223901"/>
    <w:rsid w:val="00226DEE"/>
    <w:rsid w:val="00231D45"/>
    <w:rsid w:val="002335A9"/>
    <w:rsid w:val="002343CF"/>
    <w:rsid w:val="00235D29"/>
    <w:rsid w:val="002363D9"/>
    <w:rsid w:val="00236B8C"/>
    <w:rsid w:val="002373C6"/>
    <w:rsid w:val="00237C4B"/>
    <w:rsid w:val="0024009A"/>
    <w:rsid w:val="00240D59"/>
    <w:rsid w:val="002424AB"/>
    <w:rsid w:val="00242C0A"/>
    <w:rsid w:val="002441D5"/>
    <w:rsid w:val="00246E5F"/>
    <w:rsid w:val="00247844"/>
    <w:rsid w:val="002527D2"/>
    <w:rsid w:val="0025281F"/>
    <w:rsid w:val="00254374"/>
    <w:rsid w:val="00255C91"/>
    <w:rsid w:val="00256476"/>
    <w:rsid w:val="00261E78"/>
    <w:rsid w:val="00263F5F"/>
    <w:rsid w:val="002660AA"/>
    <w:rsid w:val="002667B5"/>
    <w:rsid w:val="002679DA"/>
    <w:rsid w:val="00270898"/>
    <w:rsid w:val="00272AF0"/>
    <w:rsid w:val="00273C6F"/>
    <w:rsid w:val="00273E9C"/>
    <w:rsid w:val="00275236"/>
    <w:rsid w:val="00275C42"/>
    <w:rsid w:val="00277737"/>
    <w:rsid w:val="00277FA9"/>
    <w:rsid w:val="00280909"/>
    <w:rsid w:val="00282FEF"/>
    <w:rsid w:val="00283E59"/>
    <w:rsid w:val="002849B4"/>
    <w:rsid w:val="00287220"/>
    <w:rsid w:val="0029055B"/>
    <w:rsid w:val="002911A4"/>
    <w:rsid w:val="00291F1C"/>
    <w:rsid w:val="00295FB7"/>
    <w:rsid w:val="00297FA7"/>
    <w:rsid w:val="002A0E43"/>
    <w:rsid w:val="002A15F4"/>
    <w:rsid w:val="002A1935"/>
    <w:rsid w:val="002A1A79"/>
    <w:rsid w:val="002A21D1"/>
    <w:rsid w:val="002A22F7"/>
    <w:rsid w:val="002A2EE3"/>
    <w:rsid w:val="002A3223"/>
    <w:rsid w:val="002A449A"/>
    <w:rsid w:val="002A4D70"/>
    <w:rsid w:val="002A69F5"/>
    <w:rsid w:val="002B1CB1"/>
    <w:rsid w:val="002B1F66"/>
    <w:rsid w:val="002B31B3"/>
    <w:rsid w:val="002B433A"/>
    <w:rsid w:val="002B61A8"/>
    <w:rsid w:val="002B6EBE"/>
    <w:rsid w:val="002B79D4"/>
    <w:rsid w:val="002C1E00"/>
    <w:rsid w:val="002C5722"/>
    <w:rsid w:val="002C639B"/>
    <w:rsid w:val="002C7FF5"/>
    <w:rsid w:val="002D1328"/>
    <w:rsid w:val="002D4717"/>
    <w:rsid w:val="002D4B23"/>
    <w:rsid w:val="002D527C"/>
    <w:rsid w:val="002D5D7B"/>
    <w:rsid w:val="002D6914"/>
    <w:rsid w:val="002D6DF0"/>
    <w:rsid w:val="002D7511"/>
    <w:rsid w:val="002D7FFA"/>
    <w:rsid w:val="002E3A9B"/>
    <w:rsid w:val="002E3B38"/>
    <w:rsid w:val="002E55EA"/>
    <w:rsid w:val="002E5604"/>
    <w:rsid w:val="002F2DE2"/>
    <w:rsid w:val="002F2E20"/>
    <w:rsid w:val="002F479A"/>
    <w:rsid w:val="002F54F3"/>
    <w:rsid w:val="002F5A14"/>
    <w:rsid w:val="00301EFE"/>
    <w:rsid w:val="00303038"/>
    <w:rsid w:val="0030318A"/>
    <w:rsid w:val="00304382"/>
    <w:rsid w:val="00306734"/>
    <w:rsid w:val="00310426"/>
    <w:rsid w:val="0031075D"/>
    <w:rsid w:val="00310974"/>
    <w:rsid w:val="0031330B"/>
    <w:rsid w:val="003135C2"/>
    <w:rsid w:val="00313E45"/>
    <w:rsid w:val="00315135"/>
    <w:rsid w:val="00315D13"/>
    <w:rsid w:val="003167E5"/>
    <w:rsid w:val="003205D1"/>
    <w:rsid w:val="0032075E"/>
    <w:rsid w:val="00320EAA"/>
    <w:rsid w:val="00320FCE"/>
    <w:rsid w:val="003223F8"/>
    <w:rsid w:val="0032292A"/>
    <w:rsid w:val="00322D92"/>
    <w:rsid w:val="00323D95"/>
    <w:rsid w:val="0032486D"/>
    <w:rsid w:val="003260C0"/>
    <w:rsid w:val="003266E1"/>
    <w:rsid w:val="00326B5A"/>
    <w:rsid w:val="003275D0"/>
    <w:rsid w:val="003279FD"/>
    <w:rsid w:val="003305E3"/>
    <w:rsid w:val="0033235F"/>
    <w:rsid w:val="003326BE"/>
    <w:rsid w:val="003327F8"/>
    <w:rsid w:val="00335C93"/>
    <w:rsid w:val="00335F19"/>
    <w:rsid w:val="003363C7"/>
    <w:rsid w:val="003401F9"/>
    <w:rsid w:val="00341177"/>
    <w:rsid w:val="00341311"/>
    <w:rsid w:val="00342BF7"/>
    <w:rsid w:val="00342E12"/>
    <w:rsid w:val="003431A2"/>
    <w:rsid w:val="00343B25"/>
    <w:rsid w:val="00345B8E"/>
    <w:rsid w:val="00346E5B"/>
    <w:rsid w:val="003516C4"/>
    <w:rsid w:val="00351ACA"/>
    <w:rsid w:val="0035214E"/>
    <w:rsid w:val="00352AE5"/>
    <w:rsid w:val="003554D5"/>
    <w:rsid w:val="00356AA1"/>
    <w:rsid w:val="00357648"/>
    <w:rsid w:val="00357AF7"/>
    <w:rsid w:val="00360662"/>
    <w:rsid w:val="003609ED"/>
    <w:rsid w:val="00361BB1"/>
    <w:rsid w:val="00363EE4"/>
    <w:rsid w:val="0036467C"/>
    <w:rsid w:val="00367E32"/>
    <w:rsid w:val="00370248"/>
    <w:rsid w:val="003712AB"/>
    <w:rsid w:val="00371F53"/>
    <w:rsid w:val="0037245B"/>
    <w:rsid w:val="00372D2E"/>
    <w:rsid w:val="00372E1B"/>
    <w:rsid w:val="003743C8"/>
    <w:rsid w:val="00376BB2"/>
    <w:rsid w:val="0038199A"/>
    <w:rsid w:val="00383294"/>
    <w:rsid w:val="00383F3F"/>
    <w:rsid w:val="00384342"/>
    <w:rsid w:val="003849ED"/>
    <w:rsid w:val="00385A4C"/>
    <w:rsid w:val="00392981"/>
    <w:rsid w:val="00395CFA"/>
    <w:rsid w:val="003A2059"/>
    <w:rsid w:val="003A27D2"/>
    <w:rsid w:val="003A27F7"/>
    <w:rsid w:val="003A2D7B"/>
    <w:rsid w:val="003A344F"/>
    <w:rsid w:val="003A3A7A"/>
    <w:rsid w:val="003A43AF"/>
    <w:rsid w:val="003A60CD"/>
    <w:rsid w:val="003A6C5D"/>
    <w:rsid w:val="003A74BF"/>
    <w:rsid w:val="003B05F7"/>
    <w:rsid w:val="003B08A9"/>
    <w:rsid w:val="003B0D97"/>
    <w:rsid w:val="003B122C"/>
    <w:rsid w:val="003B2756"/>
    <w:rsid w:val="003B5F7E"/>
    <w:rsid w:val="003B68AB"/>
    <w:rsid w:val="003B718F"/>
    <w:rsid w:val="003B77FC"/>
    <w:rsid w:val="003C1438"/>
    <w:rsid w:val="003C1FF5"/>
    <w:rsid w:val="003C288C"/>
    <w:rsid w:val="003C31EE"/>
    <w:rsid w:val="003C5696"/>
    <w:rsid w:val="003C7721"/>
    <w:rsid w:val="003C7DB3"/>
    <w:rsid w:val="003D081D"/>
    <w:rsid w:val="003D1CF9"/>
    <w:rsid w:val="003D2E2F"/>
    <w:rsid w:val="003D3087"/>
    <w:rsid w:val="003D3A38"/>
    <w:rsid w:val="003D3B14"/>
    <w:rsid w:val="003D44F4"/>
    <w:rsid w:val="003D6D2E"/>
    <w:rsid w:val="003D7AE7"/>
    <w:rsid w:val="003E0E66"/>
    <w:rsid w:val="003E4982"/>
    <w:rsid w:val="003E5445"/>
    <w:rsid w:val="003E63B3"/>
    <w:rsid w:val="003E6E05"/>
    <w:rsid w:val="003E7AA9"/>
    <w:rsid w:val="003F08DF"/>
    <w:rsid w:val="003F0DCA"/>
    <w:rsid w:val="003F2984"/>
    <w:rsid w:val="003F4D40"/>
    <w:rsid w:val="0040115A"/>
    <w:rsid w:val="00403152"/>
    <w:rsid w:val="00403AAA"/>
    <w:rsid w:val="00405098"/>
    <w:rsid w:val="00405831"/>
    <w:rsid w:val="00406000"/>
    <w:rsid w:val="00406B4A"/>
    <w:rsid w:val="00412707"/>
    <w:rsid w:val="00413539"/>
    <w:rsid w:val="0041396D"/>
    <w:rsid w:val="00414005"/>
    <w:rsid w:val="00415A92"/>
    <w:rsid w:val="00415FCB"/>
    <w:rsid w:val="00416B02"/>
    <w:rsid w:val="0041730D"/>
    <w:rsid w:val="00420E02"/>
    <w:rsid w:val="004228CD"/>
    <w:rsid w:val="0042527A"/>
    <w:rsid w:val="00426354"/>
    <w:rsid w:val="00426A50"/>
    <w:rsid w:val="00427996"/>
    <w:rsid w:val="0043030E"/>
    <w:rsid w:val="00430392"/>
    <w:rsid w:val="004309E9"/>
    <w:rsid w:val="004326F3"/>
    <w:rsid w:val="00433E26"/>
    <w:rsid w:val="00433E42"/>
    <w:rsid w:val="00436BA1"/>
    <w:rsid w:val="00436D3D"/>
    <w:rsid w:val="00437C95"/>
    <w:rsid w:val="00440D6E"/>
    <w:rsid w:val="00441E77"/>
    <w:rsid w:val="00442F35"/>
    <w:rsid w:val="00443639"/>
    <w:rsid w:val="004450BD"/>
    <w:rsid w:val="004453CE"/>
    <w:rsid w:val="00445A3B"/>
    <w:rsid w:val="00445C4E"/>
    <w:rsid w:val="00445FE0"/>
    <w:rsid w:val="00446742"/>
    <w:rsid w:val="004509C4"/>
    <w:rsid w:val="00451A9F"/>
    <w:rsid w:val="0045475F"/>
    <w:rsid w:val="0045669C"/>
    <w:rsid w:val="004566AA"/>
    <w:rsid w:val="00462000"/>
    <w:rsid w:val="00462F76"/>
    <w:rsid w:val="004638D9"/>
    <w:rsid w:val="00466C98"/>
    <w:rsid w:val="00467C3F"/>
    <w:rsid w:val="00467CE4"/>
    <w:rsid w:val="004759B1"/>
    <w:rsid w:val="00475E28"/>
    <w:rsid w:val="0047710F"/>
    <w:rsid w:val="004809A1"/>
    <w:rsid w:val="00481777"/>
    <w:rsid w:val="00490BDE"/>
    <w:rsid w:val="00494504"/>
    <w:rsid w:val="00495403"/>
    <w:rsid w:val="004957EC"/>
    <w:rsid w:val="00496F8D"/>
    <w:rsid w:val="0049718C"/>
    <w:rsid w:val="004A2EC3"/>
    <w:rsid w:val="004A3F10"/>
    <w:rsid w:val="004A568F"/>
    <w:rsid w:val="004A7400"/>
    <w:rsid w:val="004A7988"/>
    <w:rsid w:val="004B01E5"/>
    <w:rsid w:val="004B201A"/>
    <w:rsid w:val="004B263D"/>
    <w:rsid w:val="004B41B9"/>
    <w:rsid w:val="004B4A44"/>
    <w:rsid w:val="004B64F3"/>
    <w:rsid w:val="004C02B6"/>
    <w:rsid w:val="004C33EA"/>
    <w:rsid w:val="004C36CF"/>
    <w:rsid w:val="004C4A3E"/>
    <w:rsid w:val="004C59EA"/>
    <w:rsid w:val="004C65C6"/>
    <w:rsid w:val="004C660D"/>
    <w:rsid w:val="004C7E92"/>
    <w:rsid w:val="004C7FB6"/>
    <w:rsid w:val="004D0699"/>
    <w:rsid w:val="004D1529"/>
    <w:rsid w:val="004D19CE"/>
    <w:rsid w:val="004D23F6"/>
    <w:rsid w:val="004D29CE"/>
    <w:rsid w:val="004D2ED0"/>
    <w:rsid w:val="004D394A"/>
    <w:rsid w:val="004D4522"/>
    <w:rsid w:val="004D615F"/>
    <w:rsid w:val="004D740B"/>
    <w:rsid w:val="004E01E9"/>
    <w:rsid w:val="004E0EBB"/>
    <w:rsid w:val="004E1692"/>
    <w:rsid w:val="004E3E40"/>
    <w:rsid w:val="004E46C0"/>
    <w:rsid w:val="004E5124"/>
    <w:rsid w:val="004E570D"/>
    <w:rsid w:val="004E6400"/>
    <w:rsid w:val="004E642E"/>
    <w:rsid w:val="004E6924"/>
    <w:rsid w:val="004E6A61"/>
    <w:rsid w:val="004E6E33"/>
    <w:rsid w:val="004E702A"/>
    <w:rsid w:val="004F0C2D"/>
    <w:rsid w:val="004F202A"/>
    <w:rsid w:val="004F3C1F"/>
    <w:rsid w:val="004F3D7E"/>
    <w:rsid w:val="004F4630"/>
    <w:rsid w:val="004F521E"/>
    <w:rsid w:val="004F6FEE"/>
    <w:rsid w:val="00500D45"/>
    <w:rsid w:val="00500EB4"/>
    <w:rsid w:val="00501CD2"/>
    <w:rsid w:val="00502ACE"/>
    <w:rsid w:val="00503974"/>
    <w:rsid w:val="0050439B"/>
    <w:rsid w:val="0050529F"/>
    <w:rsid w:val="00506A51"/>
    <w:rsid w:val="00507C50"/>
    <w:rsid w:val="005110C3"/>
    <w:rsid w:val="00511A0F"/>
    <w:rsid w:val="00513A75"/>
    <w:rsid w:val="00514A27"/>
    <w:rsid w:val="00514B5E"/>
    <w:rsid w:val="005157C1"/>
    <w:rsid w:val="00515954"/>
    <w:rsid w:val="00515B83"/>
    <w:rsid w:val="00515E3D"/>
    <w:rsid w:val="00516D93"/>
    <w:rsid w:val="005173F4"/>
    <w:rsid w:val="005208AC"/>
    <w:rsid w:val="005226BE"/>
    <w:rsid w:val="0052286C"/>
    <w:rsid w:val="00522AB9"/>
    <w:rsid w:val="0052570B"/>
    <w:rsid w:val="005265B9"/>
    <w:rsid w:val="005307E8"/>
    <w:rsid w:val="00530DA7"/>
    <w:rsid w:val="0053175E"/>
    <w:rsid w:val="00533533"/>
    <w:rsid w:val="005347B5"/>
    <w:rsid w:val="00534AC3"/>
    <w:rsid w:val="00534CCB"/>
    <w:rsid w:val="00535C99"/>
    <w:rsid w:val="00535E24"/>
    <w:rsid w:val="00537E02"/>
    <w:rsid w:val="00542718"/>
    <w:rsid w:val="00543224"/>
    <w:rsid w:val="005440F6"/>
    <w:rsid w:val="00544CCD"/>
    <w:rsid w:val="0054557A"/>
    <w:rsid w:val="00546D60"/>
    <w:rsid w:val="00546DD6"/>
    <w:rsid w:val="00547869"/>
    <w:rsid w:val="0055172C"/>
    <w:rsid w:val="00553CE8"/>
    <w:rsid w:val="0055569F"/>
    <w:rsid w:val="00556D12"/>
    <w:rsid w:val="00556FB9"/>
    <w:rsid w:val="0055771D"/>
    <w:rsid w:val="005609A3"/>
    <w:rsid w:val="005609B0"/>
    <w:rsid w:val="00560D15"/>
    <w:rsid w:val="00560E3C"/>
    <w:rsid w:val="00561BC4"/>
    <w:rsid w:val="005629F1"/>
    <w:rsid w:val="005645CC"/>
    <w:rsid w:val="00565055"/>
    <w:rsid w:val="00565635"/>
    <w:rsid w:val="00567A9A"/>
    <w:rsid w:val="00567FCF"/>
    <w:rsid w:val="00570765"/>
    <w:rsid w:val="00570A53"/>
    <w:rsid w:val="00571521"/>
    <w:rsid w:val="005732BD"/>
    <w:rsid w:val="005733F9"/>
    <w:rsid w:val="00573E59"/>
    <w:rsid w:val="0057490F"/>
    <w:rsid w:val="00575295"/>
    <w:rsid w:val="0057564D"/>
    <w:rsid w:val="005764AE"/>
    <w:rsid w:val="00576918"/>
    <w:rsid w:val="00581979"/>
    <w:rsid w:val="00581C01"/>
    <w:rsid w:val="0058242D"/>
    <w:rsid w:val="00582C22"/>
    <w:rsid w:val="005833B9"/>
    <w:rsid w:val="005845CB"/>
    <w:rsid w:val="0058498A"/>
    <w:rsid w:val="00586350"/>
    <w:rsid w:val="00586CDB"/>
    <w:rsid w:val="00587998"/>
    <w:rsid w:val="005901D2"/>
    <w:rsid w:val="00593747"/>
    <w:rsid w:val="0059461A"/>
    <w:rsid w:val="00594C96"/>
    <w:rsid w:val="005965D7"/>
    <w:rsid w:val="00597520"/>
    <w:rsid w:val="00597655"/>
    <w:rsid w:val="005A18A7"/>
    <w:rsid w:val="005A18C5"/>
    <w:rsid w:val="005A1D9B"/>
    <w:rsid w:val="005A3ED5"/>
    <w:rsid w:val="005A5051"/>
    <w:rsid w:val="005A511C"/>
    <w:rsid w:val="005A7A10"/>
    <w:rsid w:val="005A7CF6"/>
    <w:rsid w:val="005B1635"/>
    <w:rsid w:val="005B22F1"/>
    <w:rsid w:val="005B2468"/>
    <w:rsid w:val="005B371E"/>
    <w:rsid w:val="005B42EE"/>
    <w:rsid w:val="005B4913"/>
    <w:rsid w:val="005B4F7A"/>
    <w:rsid w:val="005B537E"/>
    <w:rsid w:val="005B719F"/>
    <w:rsid w:val="005B7C71"/>
    <w:rsid w:val="005C310A"/>
    <w:rsid w:val="005C319D"/>
    <w:rsid w:val="005C4026"/>
    <w:rsid w:val="005C4A6B"/>
    <w:rsid w:val="005C661F"/>
    <w:rsid w:val="005C6926"/>
    <w:rsid w:val="005D196B"/>
    <w:rsid w:val="005D2A59"/>
    <w:rsid w:val="005E66E8"/>
    <w:rsid w:val="005F0C00"/>
    <w:rsid w:val="005F0CA3"/>
    <w:rsid w:val="005F15ED"/>
    <w:rsid w:val="005F1E83"/>
    <w:rsid w:val="005F2CB1"/>
    <w:rsid w:val="005F33F2"/>
    <w:rsid w:val="005F460C"/>
    <w:rsid w:val="005F51F6"/>
    <w:rsid w:val="005F54B0"/>
    <w:rsid w:val="005F5A4C"/>
    <w:rsid w:val="005F6D4F"/>
    <w:rsid w:val="005F70E0"/>
    <w:rsid w:val="005F74D0"/>
    <w:rsid w:val="005F7955"/>
    <w:rsid w:val="00600404"/>
    <w:rsid w:val="0060117A"/>
    <w:rsid w:val="00603A3B"/>
    <w:rsid w:val="00604388"/>
    <w:rsid w:val="0060440A"/>
    <w:rsid w:val="00606541"/>
    <w:rsid w:val="00612E14"/>
    <w:rsid w:val="00613536"/>
    <w:rsid w:val="00617F30"/>
    <w:rsid w:val="00622D18"/>
    <w:rsid w:val="006231CF"/>
    <w:rsid w:val="00624F9E"/>
    <w:rsid w:val="00625636"/>
    <w:rsid w:val="0062598A"/>
    <w:rsid w:val="00625A52"/>
    <w:rsid w:val="006260F6"/>
    <w:rsid w:val="0062686B"/>
    <w:rsid w:val="006337E8"/>
    <w:rsid w:val="00633A74"/>
    <w:rsid w:val="00633D7D"/>
    <w:rsid w:val="00637549"/>
    <w:rsid w:val="00641023"/>
    <w:rsid w:val="00642A6F"/>
    <w:rsid w:val="00642AD1"/>
    <w:rsid w:val="00642E50"/>
    <w:rsid w:val="00646049"/>
    <w:rsid w:val="006476D4"/>
    <w:rsid w:val="00647FBA"/>
    <w:rsid w:val="0065268F"/>
    <w:rsid w:val="0065389A"/>
    <w:rsid w:val="0065391A"/>
    <w:rsid w:val="00653F9C"/>
    <w:rsid w:val="006553D1"/>
    <w:rsid w:val="0065679C"/>
    <w:rsid w:val="00657108"/>
    <w:rsid w:val="006631D9"/>
    <w:rsid w:val="00663306"/>
    <w:rsid w:val="00663909"/>
    <w:rsid w:val="00663E95"/>
    <w:rsid w:val="006659FF"/>
    <w:rsid w:val="0066693D"/>
    <w:rsid w:val="006671BC"/>
    <w:rsid w:val="0067299B"/>
    <w:rsid w:val="00673287"/>
    <w:rsid w:val="00673566"/>
    <w:rsid w:val="00674A45"/>
    <w:rsid w:val="0067799A"/>
    <w:rsid w:val="0068030D"/>
    <w:rsid w:val="00680679"/>
    <w:rsid w:val="00680681"/>
    <w:rsid w:val="0068146D"/>
    <w:rsid w:val="00682DB1"/>
    <w:rsid w:val="00683FFB"/>
    <w:rsid w:val="0068768A"/>
    <w:rsid w:val="00687B2F"/>
    <w:rsid w:val="00690BEA"/>
    <w:rsid w:val="00695279"/>
    <w:rsid w:val="006965AB"/>
    <w:rsid w:val="00697C69"/>
    <w:rsid w:val="006A0A59"/>
    <w:rsid w:val="006A42E5"/>
    <w:rsid w:val="006A5742"/>
    <w:rsid w:val="006B0F12"/>
    <w:rsid w:val="006B20B5"/>
    <w:rsid w:val="006B33A7"/>
    <w:rsid w:val="006B5652"/>
    <w:rsid w:val="006B5C41"/>
    <w:rsid w:val="006C1260"/>
    <w:rsid w:val="006C2232"/>
    <w:rsid w:val="006C4107"/>
    <w:rsid w:val="006C4469"/>
    <w:rsid w:val="006C5E1A"/>
    <w:rsid w:val="006C6800"/>
    <w:rsid w:val="006D0BC5"/>
    <w:rsid w:val="006D2239"/>
    <w:rsid w:val="006D2CF2"/>
    <w:rsid w:val="006D2E37"/>
    <w:rsid w:val="006D34C3"/>
    <w:rsid w:val="006D4ED6"/>
    <w:rsid w:val="006E0699"/>
    <w:rsid w:val="006E327C"/>
    <w:rsid w:val="006E7795"/>
    <w:rsid w:val="006E7E9F"/>
    <w:rsid w:val="006E7FA8"/>
    <w:rsid w:val="006F00DB"/>
    <w:rsid w:val="006F4623"/>
    <w:rsid w:val="006F4B40"/>
    <w:rsid w:val="006F62B2"/>
    <w:rsid w:val="006F6FC0"/>
    <w:rsid w:val="00701FEA"/>
    <w:rsid w:val="007040D1"/>
    <w:rsid w:val="00705A00"/>
    <w:rsid w:val="00705B61"/>
    <w:rsid w:val="007069F7"/>
    <w:rsid w:val="00706B82"/>
    <w:rsid w:val="00706DE1"/>
    <w:rsid w:val="00710059"/>
    <w:rsid w:val="00710337"/>
    <w:rsid w:val="007110C9"/>
    <w:rsid w:val="00712349"/>
    <w:rsid w:val="00712FCE"/>
    <w:rsid w:val="007130DB"/>
    <w:rsid w:val="007131CA"/>
    <w:rsid w:val="00714A59"/>
    <w:rsid w:val="00714BA3"/>
    <w:rsid w:val="00715180"/>
    <w:rsid w:val="0071537B"/>
    <w:rsid w:val="007167AE"/>
    <w:rsid w:val="00720485"/>
    <w:rsid w:val="00721098"/>
    <w:rsid w:val="00721584"/>
    <w:rsid w:val="007236A3"/>
    <w:rsid w:val="0072495B"/>
    <w:rsid w:val="00726458"/>
    <w:rsid w:val="00726C18"/>
    <w:rsid w:val="007311E0"/>
    <w:rsid w:val="007360D3"/>
    <w:rsid w:val="0073644C"/>
    <w:rsid w:val="00736D2D"/>
    <w:rsid w:val="00737641"/>
    <w:rsid w:val="00737C72"/>
    <w:rsid w:val="0074036D"/>
    <w:rsid w:val="007431A3"/>
    <w:rsid w:val="007452F9"/>
    <w:rsid w:val="0074660C"/>
    <w:rsid w:val="00747B69"/>
    <w:rsid w:val="00750E77"/>
    <w:rsid w:val="00751449"/>
    <w:rsid w:val="00753EC8"/>
    <w:rsid w:val="00755D95"/>
    <w:rsid w:val="00756B0E"/>
    <w:rsid w:val="00757047"/>
    <w:rsid w:val="00757BAA"/>
    <w:rsid w:val="00762B9C"/>
    <w:rsid w:val="00763999"/>
    <w:rsid w:val="00765796"/>
    <w:rsid w:val="007662CC"/>
    <w:rsid w:val="00766491"/>
    <w:rsid w:val="00766BCF"/>
    <w:rsid w:val="00767F39"/>
    <w:rsid w:val="007705BC"/>
    <w:rsid w:val="007722F4"/>
    <w:rsid w:val="007726E1"/>
    <w:rsid w:val="00774F4B"/>
    <w:rsid w:val="00777BCA"/>
    <w:rsid w:val="00785122"/>
    <w:rsid w:val="0078779A"/>
    <w:rsid w:val="00787B5B"/>
    <w:rsid w:val="00790B3C"/>
    <w:rsid w:val="007910F1"/>
    <w:rsid w:val="00791508"/>
    <w:rsid w:val="0079256F"/>
    <w:rsid w:val="00792FC9"/>
    <w:rsid w:val="0079307B"/>
    <w:rsid w:val="007941CF"/>
    <w:rsid w:val="00796F48"/>
    <w:rsid w:val="007A2A5E"/>
    <w:rsid w:val="007A3C6A"/>
    <w:rsid w:val="007A5821"/>
    <w:rsid w:val="007A6B87"/>
    <w:rsid w:val="007B0EBF"/>
    <w:rsid w:val="007B12EF"/>
    <w:rsid w:val="007B51E2"/>
    <w:rsid w:val="007B6F81"/>
    <w:rsid w:val="007C08B4"/>
    <w:rsid w:val="007C3E2B"/>
    <w:rsid w:val="007C5460"/>
    <w:rsid w:val="007C5DAD"/>
    <w:rsid w:val="007C5E09"/>
    <w:rsid w:val="007D0A64"/>
    <w:rsid w:val="007D1769"/>
    <w:rsid w:val="007D59B6"/>
    <w:rsid w:val="007D5D8D"/>
    <w:rsid w:val="007D608D"/>
    <w:rsid w:val="007D798D"/>
    <w:rsid w:val="007D7EE0"/>
    <w:rsid w:val="007E039B"/>
    <w:rsid w:val="007E10A5"/>
    <w:rsid w:val="007E2A47"/>
    <w:rsid w:val="007E2A95"/>
    <w:rsid w:val="007E3D71"/>
    <w:rsid w:val="007E4EF7"/>
    <w:rsid w:val="007E7FF9"/>
    <w:rsid w:val="007F0036"/>
    <w:rsid w:val="007F2841"/>
    <w:rsid w:val="007F2DCF"/>
    <w:rsid w:val="007F3963"/>
    <w:rsid w:val="007F3E30"/>
    <w:rsid w:val="0080096B"/>
    <w:rsid w:val="00800B90"/>
    <w:rsid w:val="0080162B"/>
    <w:rsid w:val="008018BC"/>
    <w:rsid w:val="00802A66"/>
    <w:rsid w:val="00803F09"/>
    <w:rsid w:val="00804134"/>
    <w:rsid w:val="0080596F"/>
    <w:rsid w:val="00805ADD"/>
    <w:rsid w:val="008103A0"/>
    <w:rsid w:val="00810DE3"/>
    <w:rsid w:val="008111F8"/>
    <w:rsid w:val="00812293"/>
    <w:rsid w:val="00812E40"/>
    <w:rsid w:val="00815E3A"/>
    <w:rsid w:val="008177C5"/>
    <w:rsid w:val="00821541"/>
    <w:rsid w:val="00821A06"/>
    <w:rsid w:val="008220F3"/>
    <w:rsid w:val="00822273"/>
    <w:rsid w:val="008235DB"/>
    <w:rsid w:val="00823FCA"/>
    <w:rsid w:val="00826C22"/>
    <w:rsid w:val="00826FE4"/>
    <w:rsid w:val="00827103"/>
    <w:rsid w:val="0082780E"/>
    <w:rsid w:val="00830306"/>
    <w:rsid w:val="00830647"/>
    <w:rsid w:val="00830E80"/>
    <w:rsid w:val="00832911"/>
    <w:rsid w:val="00832C26"/>
    <w:rsid w:val="00833071"/>
    <w:rsid w:val="00833EB7"/>
    <w:rsid w:val="0084092F"/>
    <w:rsid w:val="00843333"/>
    <w:rsid w:val="0084385B"/>
    <w:rsid w:val="00844C87"/>
    <w:rsid w:val="00845E3F"/>
    <w:rsid w:val="00850A87"/>
    <w:rsid w:val="008532FB"/>
    <w:rsid w:val="00853E07"/>
    <w:rsid w:val="008540F0"/>
    <w:rsid w:val="00855731"/>
    <w:rsid w:val="008568C0"/>
    <w:rsid w:val="00857F26"/>
    <w:rsid w:val="00861E13"/>
    <w:rsid w:val="008629C8"/>
    <w:rsid w:val="00864874"/>
    <w:rsid w:val="00870368"/>
    <w:rsid w:val="00871CA1"/>
    <w:rsid w:val="00874F47"/>
    <w:rsid w:val="00875386"/>
    <w:rsid w:val="00877D87"/>
    <w:rsid w:val="00880255"/>
    <w:rsid w:val="008810FA"/>
    <w:rsid w:val="0088131D"/>
    <w:rsid w:val="00884878"/>
    <w:rsid w:val="00885B9C"/>
    <w:rsid w:val="00886D18"/>
    <w:rsid w:val="00887B22"/>
    <w:rsid w:val="008921AF"/>
    <w:rsid w:val="00892303"/>
    <w:rsid w:val="00893CC6"/>
    <w:rsid w:val="00893F51"/>
    <w:rsid w:val="00896927"/>
    <w:rsid w:val="00896DF2"/>
    <w:rsid w:val="00897E16"/>
    <w:rsid w:val="008A144E"/>
    <w:rsid w:val="008A310A"/>
    <w:rsid w:val="008A4E36"/>
    <w:rsid w:val="008A594D"/>
    <w:rsid w:val="008A5E22"/>
    <w:rsid w:val="008A6603"/>
    <w:rsid w:val="008B4C8F"/>
    <w:rsid w:val="008B5F65"/>
    <w:rsid w:val="008C0FBD"/>
    <w:rsid w:val="008C4903"/>
    <w:rsid w:val="008C4A65"/>
    <w:rsid w:val="008C5617"/>
    <w:rsid w:val="008C6687"/>
    <w:rsid w:val="008C70BD"/>
    <w:rsid w:val="008C79C7"/>
    <w:rsid w:val="008C7AC8"/>
    <w:rsid w:val="008D0242"/>
    <w:rsid w:val="008D23EE"/>
    <w:rsid w:val="008D27EF"/>
    <w:rsid w:val="008D280D"/>
    <w:rsid w:val="008D28DF"/>
    <w:rsid w:val="008D2DC8"/>
    <w:rsid w:val="008D33B5"/>
    <w:rsid w:val="008D34F9"/>
    <w:rsid w:val="008D3D46"/>
    <w:rsid w:val="008D745E"/>
    <w:rsid w:val="008E1C80"/>
    <w:rsid w:val="008E29AB"/>
    <w:rsid w:val="008E44A5"/>
    <w:rsid w:val="008E4EF2"/>
    <w:rsid w:val="008F06F2"/>
    <w:rsid w:val="008F1E28"/>
    <w:rsid w:val="008F4C4B"/>
    <w:rsid w:val="008F5D80"/>
    <w:rsid w:val="008F7B8C"/>
    <w:rsid w:val="009006D2"/>
    <w:rsid w:val="00900F10"/>
    <w:rsid w:val="00902DB8"/>
    <w:rsid w:val="00903809"/>
    <w:rsid w:val="00906A81"/>
    <w:rsid w:val="00907198"/>
    <w:rsid w:val="00910279"/>
    <w:rsid w:val="009103F3"/>
    <w:rsid w:val="009105FF"/>
    <w:rsid w:val="009126A4"/>
    <w:rsid w:val="00915D47"/>
    <w:rsid w:val="009163AF"/>
    <w:rsid w:val="00916D52"/>
    <w:rsid w:val="00923D3D"/>
    <w:rsid w:val="00924CCB"/>
    <w:rsid w:val="0092520A"/>
    <w:rsid w:val="00927978"/>
    <w:rsid w:val="009312B5"/>
    <w:rsid w:val="00931CF6"/>
    <w:rsid w:val="00932FAD"/>
    <w:rsid w:val="00936ECF"/>
    <w:rsid w:val="00937307"/>
    <w:rsid w:val="00941F34"/>
    <w:rsid w:val="009445BA"/>
    <w:rsid w:val="00945130"/>
    <w:rsid w:val="00945821"/>
    <w:rsid w:val="00945B0A"/>
    <w:rsid w:val="0094614B"/>
    <w:rsid w:val="00946D8F"/>
    <w:rsid w:val="00946F68"/>
    <w:rsid w:val="009475F3"/>
    <w:rsid w:val="0095031A"/>
    <w:rsid w:val="00951562"/>
    <w:rsid w:val="00951651"/>
    <w:rsid w:val="00953CAB"/>
    <w:rsid w:val="00954EF3"/>
    <w:rsid w:val="0095603B"/>
    <w:rsid w:val="00957948"/>
    <w:rsid w:val="00962508"/>
    <w:rsid w:val="009649EA"/>
    <w:rsid w:val="009668EF"/>
    <w:rsid w:val="00966F8D"/>
    <w:rsid w:val="009713CF"/>
    <w:rsid w:val="00972959"/>
    <w:rsid w:val="009729A9"/>
    <w:rsid w:val="009761F8"/>
    <w:rsid w:val="00976374"/>
    <w:rsid w:val="00976AF1"/>
    <w:rsid w:val="00976FB3"/>
    <w:rsid w:val="0098030D"/>
    <w:rsid w:val="0098133F"/>
    <w:rsid w:val="00981B13"/>
    <w:rsid w:val="00981E62"/>
    <w:rsid w:val="0098299A"/>
    <w:rsid w:val="009928E1"/>
    <w:rsid w:val="0099488A"/>
    <w:rsid w:val="00994D57"/>
    <w:rsid w:val="009951FD"/>
    <w:rsid w:val="00996460"/>
    <w:rsid w:val="0099677B"/>
    <w:rsid w:val="009A1E07"/>
    <w:rsid w:val="009A25EB"/>
    <w:rsid w:val="009A290D"/>
    <w:rsid w:val="009A64A3"/>
    <w:rsid w:val="009B5190"/>
    <w:rsid w:val="009B5381"/>
    <w:rsid w:val="009B654F"/>
    <w:rsid w:val="009C16DF"/>
    <w:rsid w:val="009C1FDC"/>
    <w:rsid w:val="009C2330"/>
    <w:rsid w:val="009C2407"/>
    <w:rsid w:val="009C4804"/>
    <w:rsid w:val="009C6D6B"/>
    <w:rsid w:val="009D104E"/>
    <w:rsid w:val="009D1FDF"/>
    <w:rsid w:val="009D3524"/>
    <w:rsid w:val="009D5236"/>
    <w:rsid w:val="009E1444"/>
    <w:rsid w:val="009E1667"/>
    <w:rsid w:val="009E1742"/>
    <w:rsid w:val="009E1CA8"/>
    <w:rsid w:val="009E28E1"/>
    <w:rsid w:val="009E38C1"/>
    <w:rsid w:val="009E47EA"/>
    <w:rsid w:val="009E5DCE"/>
    <w:rsid w:val="009E6780"/>
    <w:rsid w:val="009E79EC"/>
    <w:rsid w:val="009E7F61"/>
    <w:rsid w:val="009F1D76"/>
    <w:rsid w:val="009F3569"/>
    <w:rsid w:val="009F402A"/>
    <w:rsid w:val="009F4D99"/>
    <w:rsid w:val="009F50F0"/>
    <w:rsid w:val="00A0044D"/>
    <w:rsid w:val="00A01045"/>
    <w:rsid w:val="00A01327"/>
    <w:rsid w:val="00A018E7"/>
    <w:rsid w:val="00A01DD0"/>
    <w:rsid w:val="00A035C4"/>
    <w:rsid w:val="00A03911"/>
    <w:rsid w:val="00A045C7"/>
    <w:rsid w:val="00A05140"/>
    <w:rsid w:val="00A06B96"/>
    <w:rsid w:val="00A06FC9"/>
    <w:rsid w:val="00A10DE1"/>
    <w:rsid w:val="00A117B8"/>
    <w:rsid w:val="00A11D59"/>
    <w:rsid w:val="00A121E1"/>
    <w:rsid w:val="00A123C7"/>
    <w:rsid w:val="00A13029"/>
    <w:rsid w:val="00A14E44"/>
    <w:rsid w:val="00A14E66"/>
    <w:rsid w:val="00A16443"/>
    <w:rsid w:val="00A20730"/>
    <w:rsid w:val="00A20FE5"/>
    <w:rsid w:val="00A2123E"/>
    <w:rsid w:val="00A22538"/>
    <w:rsid w:val="00A22F4C"/>
    <w:rsid w:val="00A232AC"/>
    <w:rsid w:val="00A26482"/>
    <w:rsid w:val="00A27E2B"/>
    <w:rsid w:val="00A31F6D"/>
    <w:rsid w:val="00A33B7B"/>
    <w:rsid w:val="00A34039"/>
    <w:rsid w:val="00A3552E"/>
    <w:rsid w:val="00A35E94"/>
    <w:rsid w:val="00A36449"/>
    <w:rsid w:val="00A36BFF"/>
    <w:rsid w:val="00A414EE"/>
    <w:rsid w:val="00A417FA"/>
    <w:rsid w:val="00A42760"/>
    <w:rsid w:val="00A436F3"/>
    <w:rsid w:val="00A443C7"/>
    <w:rsid w:val="00A458B3"/>
    <w:rsid w:val="00A45B60"/>
    <w:rsid w:val="00A45D1C"/>
    <w:rsid w:val="00A45E73"/>
    <w:rsid w:val="00A5551F"/>
    <w:rsid w:val="00A61172"/>
    <w:rsid w:val="00A61449"/>
    <w:rsid w:val="00A615A5"/>
    <w:rsid w:val="00A61B0C"/>
    <w:rsid w:val="00A62E17"/>
    <w:rsid w:val="00A65CAA"/>
    <w:rsid w:val="00A65CD6"/>
    <w:rsid w:val="00A662CF"/>
    <w:rsid w:val="00A67A64"/>
    <w:rsid w:val="00A70AB5"/>
    <w:rsid w:val="00A743BF"/>
    <w:rsid w:val="00A766D0"/>
    <w:rsid w:val="00A766FD"/>
    <w:rsid w:val="00A80353"/>
    <w:rsid w:val="00A820E7"/>
    <w:rsid w:val="00A82DF8"/>
    <w:rsid w:val="00A83377"/>
    <w:rsid w:val="00A849D8"/>
    <w:rsid w:val="00A9333E"/>
    <w:rsid w:val="00A94A71"/>
    <w:rsid w:val="00A94EC5"/>
    <w:rsid w:val="00A9554E"/>
    <w:rsid w:val="00A96E4D"/>
    <w:rsid w:val="00AA1B57"/>
    <w:rsid w:val="00AA31F2"/>
    <w:rsid w:val="00AA406C"/>
    <w:rsid w:val="00AA4F9F"/>
    <w:rsid w:val="00AA5E1B"/>
    <w:rsid w:val="00AA6DFB"/>
    <w:rsid w:val="00AA7256"/>
    <w:rsid w:val="00AB0987"/>
    <w:rsid w:val="00AB0FD3"/>
    <w:rsid w:val="00AB350E"/>
    <w:rsid w:val="00AB3878"/>
    <w:rsid w:val="00AB3900"/>
    <w:rsid w:val="00AB7074"/>
    <w:rsid w:val="00AB7215"/>
    <w:rsid w:val="00AB763A"/>
    <w:rsid w:val="00AC005D"/>
    <w:rsid w:val="00AC0F9E"/>
    <w:rsid w:val="00AC14DE"/>
    <w:rsid w:val="00AC1EA4"/>
    <w:rsid w:val="00AC345B"/>
    <w:rsid w:val="00AC3974"/>
    <w:rsid w:val="00AC56C2"/>
    <w:rsid w:val="00AC5E19"/>
    <w:rsid w:val="00AC6F49"/>
    <w:rsid w:val="00AC7AB4"/>
    <w:rsid w:val="00AD1C7A"/>
    <w:rsid w:val="00AD2723"/>
    <w:rsid w:val="00AD2A0D"/>
    <w:rsid w:val="00AD445D"/>
    <w:rsid w:val="00AD6F47"/>
    <w:rsid w:val="00AE2781"/>
    <w:rsid w:val="00AE5582"/>
    <w:rsid w:val="00AE5C52"/>
    <w:rsid w:val="00AE6D76"/>
    <w:rsid w:val="00AE6E0A"/>
    <w:rsid w:val="00AE73C2"/>
    <w:rsid w:val="00AE7A7F"/>
    <w:rsid w:val="00AF045F"/>
    <w:rsid w:val="00AF0FA2"/>
    <w:rsid w:val="00AF0FDD"/>
    <w:rsid w:val="00AF2E14"/>
    <w:rsid w:val="00AF3CF1"/>
    <w:rsid w:val="00AF4014"/>
    <w:rsid w:val="00AF5A70"/>
    <w:rsid w:val="00AF5C5C"/>
    <w:rsid w:val="00B01634"/>
    <w:rsid w:val="00B038D4"/>
    <w:rsid w:val="00B03FB1"/>
    <w:rsid w:val="00B13A22"/>
    <w:rsid w:val="00B15145"/>
    <w:rsid w:val="00B15829"/>
    <w:rsid w:val="00B16BCA"/>
    <w:rsid w:val="00B17A9D"/>
    <w:rsid w:val="00B206FA"/>
    <w:rsid w:val="00B21C2F"/>
    <w:rsid w:val="00B24030"/>
    <w:rsid w:val="00B24765"/>
    <w:rsid w:val="00B249B7"/>
    <w:rsid w:val="00B24C98"/>
    <w:rsid w:val="00B2764E"/>
    <w:rsid w:val="00B2766C"/>
    <w:rsid w:val="00B300DD"/>
    <w:rsid w:val="00B305C5"/>
    <w:rsid w:val="00B30E6F"/>
    <w:rsid w:val="00B30E77"/>
    <w:rsid w:val="00B33F27"/>
    <w:rsid w:val="00B34B88"/>
    <w:rsid w:val="00B37A25"/>
    <w:rsid w:val="00B37DA6"/>
    <w:rsid w:val="00B44032"/>
    <w:rsid w:val="00B4420D"/>
    <w:rsid w:val="00B456CC"/>
    <w:rsid w:val="00B478EF"/>
    <w:rsid w:val="00B47CB9"/>
    <w:rsid w:val="00B51BAD"/>
    <w:rsid w:val="00B52EAC"/>
    <w:rsid w:val="00B53E4E"/>
    <w:rsid w:val="00B53ED0"/>
    <w:rsid w:val="00B55BE4"/>
    <w:rsid w:val="00B564A3"/>
    <w:rsid w:val="00B56514"/>
    <w:rsid w:val="00B56551"/>
    <w:rsid w:val="00B57AE9"/>
    <w:rsid w:val="00B57CA2"/>
    <w:rsid w:val="00B60AAA"/>
    <w:rsid w:val="00B638BD"/>
    <w:rsid w:val="00B65EB5"/>
    <w:rsid w:val="00B66555"/>
    <w:rsid w:val="00B67541"/>
    <w:rsid w:val="00B71672"/>
    <w:rsid w:val="00B72CEC"/>
    <w:rsid w:val="00B73156"/>
    <w:rsid w:val="00B73650"/>
    <w:rsid w:val="00B74128"/>
    <w:rsid w:val="00B74929"/>
    <w:rsid w:val="00B7716B"/>
    <w:rsid w:val="00B777E6"/>
    <w:rsid w:val="00B80134"/>
    <w:rsid w:val="00B80707"/>
    <w:rsid w:val="00B81C20"/>
    <w:rsid w:val="00B84442"/>
    <w:rsid w:val="00B84BDC"/>
    <w:rsid w:val="00B861D4"/>
    <w:rsid w:val="00B871A7"/>
    <w:rsid w:val="00B8737A"/>
    <w:rsid w:val="00B87675"/>
    <w:rsid w:val="00B87807"/>
    <w:rsid w:val="00B910DF"/>
    <w:rsid w:val="00B922B9"/>
    <w:rsid w:val="00B92B2F"/>
    <w:rsid w:val="00B92E60"/>
    <w:rsid w:val="00B9343A"/>
    <w:rsid w:val="00B95043"/>
    <w:rsid w:val="00B95F6F"/>
    <w:rsid w:val="00B96C36"/>
    <w:rsid w:val="00B9749F"/>
    <w:rsid w:val="00BA3026"/>
    <w:rsid w:val="00BA3EFF"/>
    <w:rsid w:val="00BA4972"/>
    <w:rsid w:val="00BA5FE7"/>
    <w:rsid w:val="00BA6957"/>
    <w:rsid w:val="00BA781E"/>
    <w:rsid w:val="00BB0EE3"/>
    <w:rsid w:val="00BB1C24"/>
    <w:rsid w:val="00BB2580"/>
    <w:rsid w:val="00BB27EC"/>
    <w:rsid w:val="00BB304E"/>
    <w:rsid w:val="00BB36D7"/>
    <w:rsid w:val="00BB37EE"/>
    <w:rsid w:val="00BB530B"/>
    <w:rsid w:val="00BB58D3"/>
    <w:rsid w:val="00BC179B"/>
    <w:rsid w:val="00BC3F81"/>
    <w:rsid w:val="00BC406C"/>
    <w:rsid w:val="00BC432E"/>
    <w:rsid w:val="00BC52B6"/>
    <w:rsid w:val="00BC5899"/>
    <w:rsid w:val="00BC6774"/>
    <w:rsid w:val="00BC6AD8"/>
    <w:rsid w:val="00BC6C8B"/>
    <w:rsid w:val="00BC6EEF"/>
    <w:rsid w:val="00BC7980"/>
    <w:rsid w:val="00BD0E6E"/>
    <w:rsid w:val="00BD114D"/>
    <w:rsid w:val="00BD28C5"/>
    <w:rsid w:val="00BD2FEE"/>
    <w:rsid w:val="00BD3969"/>
    <w:rsid w:val="00BD4D43"/>
    <w:rsid w:val="00BD63CA"/>
    <w:rsid w:val="00BD7695"/>
    <w:rsid w:val="00BE0585"/>
    <w:rsid w:val="00BE0D5C"/>
    <w:rsid w:val="00BE0E7A"/>
    <w:rsid w:val="00BE0EE1"/>
    <w:rsid w:val="00BE36E4"/>
    <w:rsid w:val="00BE4BDF"/>
    <w:rsid w:val="00BE5FED"/>
    <w:rsid w:val="00BE65E4"/>
    <w:rsid w:val="00BE7D81"/>
    <w:rsid w:val="00BF0AA7"/>
    <w:rsid w:val="00BF0C63"/>
    <w:rsid w:val="00BF1B43"/>
    <w:rsid w:val="00BF1C54"/>
    <w:rsid w:val="00BF2F97"/>
    <w:rsid w:val="00C002BC"/>
    <w:rsid w:val="00C00765"/>
    <w:rsid w:val="00C00E26"/>
    <w:rsid w:val="00C03A2E"/>
    <w:rsid w:val="00C04471"/>
    <w:rsid w:val="00C06287"/>
    <w:rsid w:val="00C12309"/>
    <w:rsid w:val="00C1548F"/>
    <w:rsid w:val="00C20D5E"/>
    <w:rsid w:val="00C23583"/>
    <w:rsid w:val="00C27B95"/>
    <w:rsid w:val="00C306C4"/>
    <w:rsid w:val="00C30D0B"/>
    <w:rsid w:val="00C312CC"/>
    <w:rsid w:val="00C36C67"/>
    <w:rsid w:val="00C4066A"/>
    <w:rsid w:val="00C40D0E"/>
    <w:rsid w:val="00C4292E"/>
    <w:rsid w:val="00C4328D"/>
    <w:rsid w:val="00C469FC"/>
    <w:rsid w:val="00C46B7B"/>
    <w:rsid w:val="00C51780"/>
    <w:rsid w:val="00C51DF7"/>
    <w:rsid w:val="00C5255D"/>
    <w:rsid w:val="00C56BAB"/>
    <w:rsid w:val="00C57E14"/>
    <w:rsid w:val="00C602B7"/>
    <w:rsid w:val="00C60D92"/>
    <w:rsid w:val="00C64EB7"/>
    <w:rsid w:val="00C65930"/>
    <w:rsid w:val="00C720B6"/>
    <w:rsid w:val="00C75AB0"/>
    <w:rsid w:val="00C80AD6"/>
    <w:rsid w:val="00C82468"/>
    <w:rsid w:val="00C82AA4"/>
    <w:rsid w:val="00C8305C"/>
    <w:rsid w:val="00C844D6"/>
    <w:rsid w:val="00C85FF6"/>
    <w:rsid w:val="00C8670E"/>
    <w:rsid w:val="00C8785C"/>
    <w:rsid w:val="00C9326B"/>
    <w:rsid w:val="00C94419"/>
    <w:rsid w:val="00C95691"/>
    <w:rsid w:val="00C96A47"/>
    <w:rsid w:val="00C970CE"/>
    <w:rsid w:val="00CA113C"/>
    <w:rsid w:val="00CA15DE"/>
    <w:rsid w:val="00CA1ECD"/>
    <w:rsid w:val="00CA26C6"/>
    <w:rsid w:val="00CA3874"/>
    <w:rsid w:val="00CA49A9"/>
    <w:rsid w:val="00CA4C7F"/>
    <w:rsid w:val="00CA70E2"/>
    <w:rsid w:val="00CA73B3"/>
    <w:rsid w:val="00CA7ABA"/>
    <w:rsid w:val="00CB0D95"/>
    <w:rsid w:val="00CB1255"/>
    <w:rsid w:val="00CB13B7"/>
    <w:rsid w:val="00CB1942"/>
    <w:rsid w:val="00CB694F"/>
    <w:rsid w:val="00CB7087"/>
    <w:rsid w:val="00CB723D"/>
    <w:rsid w:val="00CC0C05"/>
    <w:rsid w:val="00CC41EE"/>
    <w:rsid w:val="00CC5B13"/>
    <w:rsid w:val="00CD01CD"/>
    <w:rsid w:val="00CD0287"/>
    <w:rsid w:val="00CD061B"/>
    <w:rsid w:val="00CD0BF5"/>
    <w:rsid w:val="00CD0FA4"/>
    <w:rsid w:val="00CD1089"/>
    <w:rsid w:val="00CD113C"/>
    <w:rsid w:val="00CD1BCD"/>
    <w:rsid w:val="00CD2287"/>
    <w:rsid w:val="00CD41F8"/>
    <w:rsid w:val="00CD6D61"/>
    <w:rsid w:val="00CD7D66"/>
    <w:rsid w:val="00CD7FFC"/>
    <w:rsid w:val="00CE0B3A"/>
    <w:rsid w:val="00CE1DFB"/>
    <w:rsid w:val="00CE1F5C"/>
    <w:rsid w:val="00CE2C6E"/>
    <w:rsid w:val="00CE2D75"/>
    <w:rsid w:val="00CE30E7"/>
    <w:rsid w:val="00CE4C6D"/>
    <w:rsid w:val="00CE6C66"/>
    <w:rsid w:val="00CE7799"/>
    <w:rsid w:val="00CE799B"/>
    <w:rsid w:val="00CF0081"/>
    <w:rsid w:val="00CF046A"/>
    <w:rsid w:val="00CF321C"/>
    <w:rsid w:val="00CF4FE6"/>
    <w:rsid w:val="00CF556F"/>
    <w:rsid w:val="00CF589F"/>
    <w:rsid w:val="00CF5974"/>
    <w:rsid w:val="00D0030F"/>
    <w:rsid w:val="00D01639"/>
    <w:rsid w:val="00D0445F"/>
    <w:rsid w:val="00D0608D"/>
    <w:rsid w:val="00D061D5"/>
    <w:rsid w:val="00D06E87"/>
    <w:rsid w:val="00D06EFC"/>
    <w:rsid w:val="00D074BF"/>
    <w:rsid w:val="00D1197E"/>
    <w:rsid w:val="00D122E5"/>
    <w:rsid w:val="00D1241A"/>
    <w:rsid w:val="00D158F3"/>
    <w:rsid w:val="00D1619E"/>
    <w:rsid w:val="00D206B3"/>
    <w:rsid w:val="00D214C2"/>
    <w:rsid w:val="00D219C1"/>
    <w:rsid w:val="00D22C33"/>
    <w:rsid w:val="00D24C1F"/>
    <w:rsid w:val="00D27373"/>
    <w:rsid w:val="00D30C81"/>
    <w:rsid w:val="00D32833"/>
    <w:rsid w:val="00D33DA7"/>
    <w:rsid w:val="00D34B31"/>
    <w:rsid w:val="00D3507E"/>
    <w:rsid w:val="00D354D0"/>
    <w:rsid w:val="00D37D2F"/>
    <w:rsid w:val="00D40465"/>
    <w:rsid w:val="00D41D9A"/>
    <w:rsid w:val="00D439D3"/>
    <w:rsid w:val="00D43BA9"/>
    <w:rsid w:val="00D43CCB"/>
    <w:rsid w:val="00D44D1D"/>
    <w:rsid w:val="00D461E5"/>
    <w:rsid w:val="00D472D8"/>
    <w:rsid w:val="00D50B2B"/>
    <w:rsid w:val="00D5255B"/>
    <w:rsid w:val="00D5319E"/>
    <w:rsid w:val="00D538F6"/>
    <w:rsid w:val="00D5457D"/>
    <w:rsid w:val="00D54EF5"/>
    <w:rsid w:val="00D551E2"/>
    <w:rsid w:val="00D55D62"/>
    <w:rsid w:val="00D564B3"/>
    <w:rsid w:val="00D569EB"/>
    <w:rsid w:val="00D56FF4"/>
    <w:rsid w:val="00D61E55"/>
    <w:rsid w:val="00D6213A"/>
    <w:rsid w:val="00D63E7C"/>
    <w:rsid w:val="00D649DE"/>
    <w:rsid w:val="00D70223"/>
    <w:rsid w:val="00D72566"/>
    <w:rsid w:val="00D7338E"/>
    <w:rsid w:val="00D73760"/>
    <w:rsid w:val="00D74036"/>
    <w:rsid w:val="00D753D8"/>
    <w:rsid w:val="00D763C0"/>
    <w:rsid w:val="00D77D0D"/>
    <w:rsid w:val="00D77FB9"/>
    <w:rsid w:val="00D802BD"/>
    <w:rsid w:val="00D808EE"/>
    <w:rsid w:val="00D82E0F"/>
    <w:rsid w:val="00D85FC9"/>
    <w:rsid w:val="00D872D9"/>
    <w:rsid w:val="00D87A84"/>
    <w:rsid w:val="00D87FE7"/>
    <w:rsid w:val="00D91885"/>
    <w:rsid w:val="00D93663"/>
    <w:rsid w:val="00D94097"/>
    <w:rsid w:val="00D95DDC"/>
    <w:rsid w:val="00D96B60"/>
    <w:rsid w:val="00D97798"/>
    <w:rsid w:val="00DA0634"/>
    <w:rsid w:val="00DA157D"/>
    <w:rsid w:val="00DA3E6F"/>
    <w:rsid w:val="00DA5AB4"/>
    <w:rsid w:val="00DA62C5"/>
    <w:rsid w:val="00DA6813"/>
    <w:rsid w:val="00DA7CB8"/>
    <w:rsid w:val="00DA7DA7"/>
    <w:rsid w:val="00DA7E1E"/>
    <w:rsid w:val="00DB0410"/>
    <w:rsid w:val="00DB0871"/>
    <w:rsid w:val="00DB0CB2"/>
    <w:rsid w:val="00DB24F0"/>
    <w:rsid w:val="00DB2F1B"/>
    <w:rsid w:val="00DB4242"/>
    <w:rsid w:val="00DB43BB"/>
    <w:rsid w:val="00DB4D87"/>
    <w:rsid w:val="00DC08BC"/>
    <w:rsid w:val="00DC1F63"/>
    <w:rsid w:val="00DC231E"/>
    <w:rsid w:val="00DC50F4"/>
    <w:rsid w:val="00DC547B"/>
    <w:rsid w:val="00DD0C97"/>
    <w:rsid w:val="00DD1011"/>
    <w:rsid w:val="00DD36BB"/>
    <w:rsid w:val="00DD3C53"/>
    <w:rsid w:val="00DD4D2F"/>
    <w:rsid w:val="00DE21E6"/>
    <w:rsid w:val="00DE221F"/>
    <w:rsid w:val="00DE26AD"/>
    <w:rsid w:val="00DE3A2A"/>
    <w:rsid w:val="00DE4E4C"/>
    <w:rsid w:val="00DE55E6"/>
    <w:rsid w:val="00DE5DBB"/>
    <w:rsid w:val="00DE6B80"/>
    <w:rsid w:val="00DF169D"/>
    <w:rsid w:val="00DF16FE"/>
    <w:rsid w:val="00DF68A2"/>
    <w:rsid w:val="00DF7AE1"/>
    <w:rsid w:val="00E01E3B"/>
    <w:rsid w:val="00E0241F"/>
    <w:rsid w:val="00E04482"/>
    <w:rsid w:val="00E04D37"/>
    <w:rsid w:val="00E05840"/>
    <w:rsid w:val="00E07968"/>
    <w:rsid w:val="00E10BA8"/>
    <w:rsid w:val="00E11A1A"/>
    <w:rsid w:val="00E12448"/>
    <w:rsid w:val="00E14683"/>
    <w:rsid w:val="00E15678"/>
    <w:rsid w:val="00E15E67"/>
    <w:rsid w:val="00E161AC"/>
    <w:rsid w:val="00E207DB"/>
    <w:rsid w:val="00E21B4B"/>
    <w:rsid w:val="00E21EFB"/>
    <w:rsid w:val="00E2267F"/>
    <w:rsid w:val="00E22BCE"/>
    <w:rsid w:val="00E22BD8"/>
    <w:rsid w:val="00E235D4"/>
    <w:rsid w:val="00E24603"/>
    <w:rsid w:val="00E25FBA"/>
    <w:rsid w:val="00E26880"/>
    <w:rsid w:val="00E26E16"/>
    <w:rsid w:val="00E270B7"/>
    <w:rsid w:val="00E27C9F"/>
    <w:rsid w:val="00E321B5"/>
    <w:rsid w:val="00E327AB"/>
    <w:rsid w:val="00E36287"/>
    <w:rsid w:val="00E36A50"/>
    <w:rsid w:val="00E37852"/>
    <w:rsid w:val="00E40368"/>
    <w:rsid w:val="00E41B22"/>
    <w:rsid w:val="00E43C87"/>
    <w:rsid w:val="00E44BDB"/>
    <w:rsid w:val="00E44CD2"/>
    <w:rsid w:val="00E457BF"/>
    <w:rsid w:val="00E468D9"/>
    <w:rsid w:val="00E46E9F"/>
    <w:rsid w:val="00E504AD"/>
    <w:rsid w:val="00E507F1"/>
    <w:rsid w:val="00E528EB"/>
    <w:rsid w:val="00E5370B"/>
    <w:rsid w:val="00E53F9E"/>
    <w:rsid w:val="00E54EC7"/>
    <w:rsid w:val="00E56811"/>
    <w:rsid w:val="00E56A2C"/>
    <w:rsid w:val="00E56A3E"/>
    <w:rsid w:val="00E60FF1"/>
    <w:rsid w:val="00E6139F"/>
    <w:rsid w:val="00E61E1E"/>
    <w:rsid w:val="00E62387"/>
    <w:rsid w:val="00E639AF"/>
    <w:rsid w:val="00E64B3B"/>
    <w:rsid w:val="00E653A3"/>
    <w:rsid w:val="00E67D97"/>
    <w:rsid w:val="00E70C0E"/>
    <w:rsid w:val="00E71A05"/>
    <w:rsid w:val="00E72562"/>
    <w:rsid w:val="00E742BC"/>
    <w:rsid w:val="00E80AB0"/>
    <w:rsid w:val="00E830BB"/>
    <w:rsid w:val="00E8435E"/>
    <w:rsid w:val="00E90B9D"/>
    <w:rsid w:val="00E923F1"/>
    <w:rsid w:val="00E93762"/>
    <w:rsid w:val="00E96A6F"/>
    <w:rsid w:val="00EA1B79"/>
    <w:rsid w:val="00EA42B1"/>
    <w:rsid w:val="00EA4BDE"/>
    <w:rsid w:val="00EA6D03"/>
    <w:rsid w:val="00EB0D89"/>
    <w:rsid w:val="00EB1D3D"/>
    <w:rsid w:val="00EB24AD"/>
    <w:rsid w:val="00EB3A31"/>
    <w:rsid w:val="00EB3D8A"/>
    <w:rsid w:val="00EB4AF9"/>
    <w:rsid w:val="00EB6139"/>
    <w:rsid w:val="00EB711D"/>
    <w:rsid w:val="00EC0476"/>
    <w:rsid w:val="00EC169F"/>
    <w:rsid w:val="00EC1EC3"/>
    <w:rsid w:val="00EC71ED"/>
    <w:rsid w:val="00EC7486"/>
    <w:rsid w:val="00EC7E63"/>
    <w:rsid w:val="00ED00AC"/>
    <w:rsid w:val="00ED04F4"/>
    <w:rsid w:val="00ED2536"/>
    <w:rsid w:val="00ED27A5"/>
    <w:rsid w:val="00ED6790"/>
    <w:rsid w:val="00ED7B38"/>
    <w:rsid w:val="00EE0057"/>
    <w:rsid w:val="00EE0E84"/>
    <w:rsid w:val="00EE120A"/>
    <w:rsid w:val="00EE208F"/>
    <w:rsid w:val="00EE308D"/>
    <w:rsid w:val="00EE44C9"/>
    <w:rsid w:val="00EF03FE"/>
    <w:rsid w:val="00EF087C"/>
    <w:rsid w:val="00EF2713"/>
    <w:rsid w:val="00EF2769"/>
    <w:rsid w:val="00EF366A"/>
    <w:rsid w:val="00EF4DF3"/>
    <w:rsid w:val="00F02F28"/>
    <w:rsid w:val="00F0799D"/>
    <w:rsid w:val="00F12744"/>
    <w:rsid w:val="00F13F24"/>
    <w:rsid w:val="00F1419E"/>
    <w:rsid w:val="00F1472A"/>
    <w:rsid w:val="00F16EEB"/>
    <w:rsid w:val="00F201CE"/>
    <w:rsid w:val="00F209D8"/>
    <w:rsid w:val="00F24CBB"/>
    <w:rsid w:val="00F27ED1"/>
    <w:rsid w:val="00F30CF8"/>
    <w:rsid w:val="00F30E98"/>
    <w:rsid w:val="00F31315"/>
    <w:rsid w:val="00F33C53"/>
    <w:rsid w:val="00F3440F"/>
    <w:rsid w:val="00F35455"/>
    <w:rsid w:val="00F36BFC"/>
    <w:rsid w:val="00F40408"/>
    <w:rsid w:val="00F42301"/>
    <w:rsid w:val="00F42609"/>
    <w:rsid w:val="00F42F5E"/>
    <w:rsid w:val="00F4380C"/>
    <w:rsid w:val="00F43B6E"/>
    <w:rsid w:val="00F43BA3"/>
    <w:rsid w:val="00F45EA3"/>
    <w:rsid w:val="00F46297"/>
    <w:rsid w:val="00F46ABC"/>
    <w:rsid w:val="00F46AF5"/>
    <w:rsid w:val="00F47240"/>
    <w:rsid w:val="00F50EBD"/>
    <w:rsid w:val="00F5172B"/>
    <w:rsid w:val="00F53655"/>
    <w:rsid w:val="00F53C1E"/>
    <w:rsid w:val="00F55290"/>
    <w:rsid w:val="00F55956"/>
    <w:rsid w:val="00F56CA9"/>
    <w:rsid w:val="00F6071E"/>
    <w:rsid w:val="00F60D1A"/>
    <w:rsid w:val="00F614AD"/>
    <w:rsid w:val="00F616C5"/>
    <w:rsid w:val="00F6177A"/>
    <w:rsid w:val="00F62352"/>
    <w:rsid w:val="00F62CFC"/>
    <w:rsid w:val="00F639E2"/>
    <w:rsid w:val="00F64FC0"/>
    <w:rsid w:val="00F65284"/>
    <w:rsid w:val="00F6797D"/>
    <w:rsid w:val="00F711FF"/>
    <w:rsid w:val="00F71512"/>
    <w:rsid w:val="00F71D6D"/>
    <w:rsid w:val="00F726F9"/>
    <w:rsid w:val="00F74363"/>
    <w:rsid w:val="00F74FA5"/>
    <w:rsid w:val="00F75911"/>
    <w:rsid w:val="00F7658C"/>
    <w:rsid w:val="00F769FF"/>
    <w:rsid w:val="00F77E6A"/>
    <w:rsid w:val="00F815A6"/>
    <w:rsid w:val="00F81D93"/>
    <w:rsid w:val="00F831FB"/>
    <w:rsid w:val="00F86C62"/>
    <w:rsid w:val="00F87B17"/>
    <w:rsid w:val="00F907B5"/>
    <w:rsid w:val="00F93164"/>
    <w:rsid w:val="00F9322B"/>
    <w:rsid w:val="00F93332"/>
    <w:rsid w:val="00F93401"/>
    <w:rsid w:val="00F940A3"/>
    <w:rsid w:val="00F9413F"/>
    <w:rsid w:val="00F94A2D"/>
    <w:rsid w:val="00F94D21"/>
    <w:rsid w:val="00F94F18"/>
    <w:rsid w:val="00FA025A"/>
    <w:rsid w:val="00FA11D0"/>
    <w:rsid w:val="00FA14EB"/>
    <w:rsid w:val="00FA2E3E"/>
    <w:rsid w:val="00FA344A"/>
    <w:rsid w:val="00FA39DE"/>
    <w:rsid w:val="00FA406D"/>
    <w:rsid w:val="00FA44DE"/>
    <w:rsid w:val="00FA4570"/>
    <w:rsid w:val="00FA6174"/>
    <w:rsid w:val="00FA690F"/>
    <w:rsid w:val="00FB01DF"/>
    <w:rsid w:val="00FB1721"/>
    <w:rsid w:val="00FB28D6"/>
    <w:rsid w:val="00FB3748"/>
    <w:rsid w:val="00FB4F27"/>
    <w:rsid w:val="00FB5056"/>
    <w:rsid w:val="00FB5F19"/>
    <w:rsid w:val="00FB70A9"/>
    <w:rsid w:val="00FB74BF"/>
    <w:rsid w:val="00FB76D2"/>
    <w:rsid w:val="00FC015B"/>
    <w:rsid w:val="00FC019D"/>
    <w:rsid w:val="00FC19A6"/>
    <w:rsid w:val="00FC3C87"/>
    <w:rsid w:val="00FC5C5E"/>
    <w:rsid w:val="00FC7CE6"/>
    <w:rsid w:val="00FD0CB0"/>
    <w:rsid w:val="00FD1315"/>
    <w:rsid w:val="00FD19F3"/>
    <w:rsid w:val="00FD45E4"/>
    <w:rsid w:val="00FD5A07"/>
    <w:rsid w:val="00FD7BD8"/>
    <w:rsid w:val="00FE1536"/>
    <w:rsid w:val="00FE25EE"/>
    <w:rsid w:val="00FE321B"/>
    <w:rsid w:val="00FE3AEA"/>
    <w:rsid w:val="00FE4491"/>
    <w:rsid w:val="00FE5718"/>
    <w:rsid w:val="00FE68CD"/>
    <w:rsid w:val="00FE6AE9"/>
    <w:rsid w:val="00FF061A"/>
    <w:rsid w:val="00FF2137"/>
    <w:rsid w:val="00FF2D07"/>
    <w:rsid w:val="00FF3DA4"/>
    <w:rsid w:val="00FF557E"/>
    <w:rsid w:val="00FF586F"/>
    <w:rsid w:val="00FF6A90"/>
    <w:rsid w:val="00FF6B6F"/>
    <w:rsid w:val="00FF7B6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5764AE"/>
    <w:pPr>
      <w:spacing w:before="240" w:after="0"/>
      <w:outlineLvl w:val="2"/>
    </w:pPr>
    <w:rPr>
      <w:color w:val="124486"/>
      <w:sz w:val="22"/>
      <w:szCs w:val="22"/>
      <w:lang w:eastAsia="zh-CN"/>
    </w:rPr>
  </w:style>
  <w:style w:type="paragraph" w:styleId="Heading4">
    <w:name w:val="heading 4"/>
    <w:basedOn w:val="Normal"/>
    <w:next w:val="BodyText"/>
    <w:link w:val="Heading4Char"/>
    <w:qFormat/>
    <w:rsid w:val="009E79EC"/>
    <w:pPr>
      <w:numPr>
        <w:ilvl w:val="3"/>
        <w:numId w:val="1"/>
      </w:numPr>
      <w:spacing w:before="320"/>
      <w:outlineLvl w:val="3"/>
    </w:pPr>
    <w:rPr>
      <w:b/>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5764AE"/>
    <w:rPr>
      <w:rFonts w:ascii="Helvetica" w:eastAsia="Times New Roman" w:hAnsi="Helvetica" w:cs="Arial"/>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714A59"/>
    <w:pPr>
      <w:keepNext/>
      <w:keepLines/>
      <w:spacing w:before="80" w:after="80" w:line="280" w:lineRule="atLeast"/>
    </w:pPr>
    <w:rPr>
      <w:rFonts w:ascii="Franklin Gothic Book" w:eastAsia="Times New Roman" w:hAnsi="Franklin Gothic Book" w:cs="Arial"/>
      <w:sz w:val="16"/>
      <w:szCs w:val="16"/>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uiPriority w:val="99"/>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714A59"/>
    <w:rPr>
      <w:rFonts w:ascii="Franklin Gothic Book" w:eastAsia="Times New Roman" w:hAnsi="Franklin Gothic Book" w:cs="Arial"/>
      <w:sz w:val="16"/>
      <w:szCs w:val="16"/>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styleId="Emphasis">
    <w:name w:val="Emphasis"/>
    <w:basedOn w:val="DefaultParagraphFont"/>
    <w:uiPriority w:val="20"/>
    <w:qFormat/>
    <w:rsid w:val="00A0044D"/>
    <w:rPr>
      <w:i/>
      <w:iCs/>
    </w:rPr>
  </w:style>
  <w:style w:type="paragraph" w:customStyle="1" w:styleId="Default">
    <w:name w:val="Default"/>
    <w:rsid w:val="00567A9A"/>
    <w:pPr>
      <w:autoSpaceDE w:val="0"/>
      <w:autoSpaceDN w:val="0"/>
      <w:adjustRightInd w:val="0"/>
      <w:spacing w:after="0" w:line="240" w:lineRule="auto"/>
    </w:pPr>
    <w:rPr>
      <w:rFonts w:ascii="Franklin Gothic Book" w:eastAsia="Times New Roman" w:hAnsi="Franklin Gothic Book" w:cs="Franklin Gothic Book"/>
      <w:color w:val="000000"/>
      <w:sz w:val="24"/>
      <w:szCs w:val="24"/>
    </w:rPr>
  </w:style>
  <w:style w:type="table" w:customStyle="1" w:styleId="APPR1">
    <w:name w:val="APPR1"/>
    <w:basedOn w:val="TableNormal"/>
    <w:uiPriority w:val="99"/>
    <w:rsid w:val="0049718C"/>
    <w:pPr>
      <w:spacing w:after="0" w:line="240" w:lineRule="auto"/>
    </w:pPr>
    <w:rPr>
      <w:rFonts w:ascii="Franklin Gothic Book" w:eastAsia="Calibri" w:hAnsi="Franklin Gothic Book" w:cs="Times New Roman"/>
      <w:sz w:val="17"/>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normalchar1">
    <w:name w:val="normal__char1"/>
    <w:basedOn w:val="DefaultParagraphFont"/>
    <w:rsid w:val="003554D5"/>
    <w:rPr>
      <w:rFonts w:ascii="Times New Roman" w:hAnsi="Times New Roman" w:cs="Times New Roman" w:hint="default"/>
      <w:sz w:val="24"/>
      <w:szCs w:val="24"/>
    </w:rPr>
  </w:style>
  <w:style w:type="paragraph" w:customStyle="1" w:styleId="Normal1">
    <w:name w:val="Normal1"/>
    <w:basedOn w:val="Normal"/>
    <w:rsid w:val="00F71D6D"/>
    <w:pPr>
      <w:spacing w:line="240" w:lineRule="atLeast"/>
    </w:pPr>
    <w:rPr>
      <w:rFonts w:eastAsia="Times New Roman"/>
      <w:sz w:val="24"/>
    </w:rPr>
  </w:style>
  <w:style w:type="paragraph" w:customStyle="1" w:styleId="Pa2">
    <w:name w:val="Pa2"/>
    <w:basedOn w:val="Default"/>
    <w:next w:val="Default"/>
    <w:uiPriority w:val="99"/>
    <w:rsid w:val="00405098"/>
    <w:pPr>
      <w:spacing w:line="191" w:lineRule="atLeast"/>
    </w:pPr>
    <w:rPr>
      <w:rFonts w:ascii="Helvetica 45 Light" w:eastAsiaTheme="minorHAnsi" w:hAnsi="Helvetica 45 Light" w:cstheme="minorBidi"/>
      <w:color w:val="auto"/>
    </w:rPr>
  </w:style>
  <w:style w:type="character" w:customStyle="1" w:styleId="A5">
    <w:name w:val="A5"/>
    <w:uiPriority w:val="99"/>
    <w:rsid w:val="00405098"/>
    <w:rPr>
      <w:rFonts w:cs="Helvetica 45 Light"/>
      <w:color w:val="000000"/>
      <w:sz w:val="11"/>
      <w:szCs w:val="11"/>
    </w:rPr>
  </w:style>
  <w:style w:type="paragraph" w:customStyle="1" w:styleId="BriefBackground">
    <w:name w:val="Brief Background"/>
    <w:basedOn w:val="ListBullet"/>
    <w:qFormat/>
    <w:rsid w:val="007F2DCF"/>
    <w:pPr>
      <w:numPr>
        <w:numId w:val="0"/>
      </w:numPr>
      <w:tabs>
        <w:tab w:val="clear" w:pos="284"/>
      </w:tabs>
      <w:spacing w:line="240" w:lineRule="auto"/>
      <w:ind w:left="360" w:hanging="360"/>
    </w:pPr>
    <w:rPr>
      <w:rFonts w:asciiTheme="minorHAnsi" w:eastAsia="Calibri" w:hAnsiTheme="minorHAnsi" w:cstheme="minorHAnsi"/>
      <w:color w:val="000000" w:themeColor="text1"/>
      <w:sz w:val="24"/>
      <w:lang w:eastAsia="en-US"/>
    </w:rPr>
  </w:style>
  <w:style w:type="character" w:customStyle="1" w:styleId="Heading3Char1">
    <w:name w:val="Heading 3 Char1"/>
    <w:basedOn w:val="DefaultParagraphFont"/>
    <w:semiHidden/>
    <w:rsid w:val="000D3DF9"/>
    <w:rPr>
      <w:rFonts w:asciiTheme="majorHAnsi" w:eastAsiaTheme="majorEastAsia" w:hAnsiTheme="majorHAnsi" w:cstheme="majorBidi"/>
      <w:b/>
      <w:bCs/>
      <w:color w:val="4F81BD" w:themeColor="accent1"/>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5764AE"/>
    <w:pPr>
      <w:spacing w:before="240" w:after="0"/>
      <w:outlineLvl w:val="2"/>
    </w:pPr>
    <w:rPr>
      <w:color w:val="124486"/>
      <w:sz w:val="22"/>
      <w:szCs w:val="22"/>
      <w:lang w:eastAsia="zh-CN"/>
    </w:rPr>
  </w:style>
  <w:style w:type="paragraph" w:styleId="Heading4">
    <w:name w:val="heading 4"/>
    <w:basedOn w:val="Normal"/>
    <w:next w:val="BodyText"/>
    <w:link w:val="Heading4Char"/>
    <w:qFormat/>
    <w:rsid w:val="009E79EC"/>
    <w:pPr>
      <w:numPr>
        <w:ilvl w:val="3"/>
        <w:numId w:val="1"/>
      </w:numPr>
      <w:spacing w:before="320"/>
      <w:outlineLvl w:val="3"/>
    </w:pPr>
    <w:rPr>
      <w:b/>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5764AE"/>
    <w:rPr>
      <w:rFonts w:ascii="Helvetica" w:eastAsia="Times New Roman" w:hAnsi="Helvetica" w:cs="Arial"/>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714A59"/>
    <w:pPr>
      <w:keepNext/>
      <w:keepLines/>
      <w:spacing w:before="80" w:after="80" w:line="280" w:lineRule="atLeast"/>
    </w:pPr>
    <w:rPr>
      <w:rFonts w:ascii="Franklin Gothic Book" w:eastAsia="Times New Roman" w:hAnsi="Franklin Gothic Book" w:cs="Arial"/>
      <w:sz w:val="16"/>
      <w:szCs w:val="16"/>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uiPriority w:val="99"/>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714A59"/>
    <w:rPr>
      <w:rFonts w:ascii="Franklin Gothic Book" w:eastAsia="Times New Roman" w:hAnsi="Franklin Gothic Book" w:cs="Arial"/>
      <w:sz w:val="16"/>
      <w:szCs w:val="16"/>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styleId="Emphasis">
    <w:name w:val="Emphasis"/>
    <w:basedOn w:val="DefaultParagraphFont"/>
    <w:uiPriority w:val="20"/>
    <w:qFormat/>
    <w:rsid w:val="00A0044D"/>
    <w:rPr>
      <w:i/>
      <w:iCs/>
    </w:rPr>
  </w:style>
  <w:style w:type="paragraph" w:customStyle="1" w:styleId="Default">
    <w:name w:val="Default"/>
    <w:rsid w:val="00567A9A"/>
    <w:pPr>
      <w:autoSpaceDE w:val="0"/>
      <w:autoSpaceDN w:val="0"/>
      <w:adjustRightInd w:val="0"/>
      <w:spacing w:after="0" w:line="240" w:lineRule="auto"/>
    </w:pPr>
    <w:rPr>
      <w:rFonts w:ascii="Franklin Gothic Book" w:eastAsia="Times New Roman" w:hAnsi="Franklin Gothic Book" w:cs="Franklin Gothic Book"/>
      <w:color w:val="000000"/>
      <w:sz w:val="24"/>
      <w:szCs w:val="24"/>
    </w:rPr>
  </w:style>
  <w:style w:type="table" w:customStyle="1" w:styleId="APPR1">
    <w:name w:val="APPR1"/>
    <w:basedOn w:val="TableNormal"/>
    <w:uiPriority w:val="99"/>
    <w:rsid w:val="0049718C"/>
    <w:pPr>
      <w:spacing w:after="0" w:line="240" w:lineRule="auto"/>
    </w:pPr>
    <w:rPr>
      <w:rFonts w:ascii="Franklin Gothic Book" w:eastAsia="Calibri" w:hAnsi="Franklin Gothic Book" w:cs="Times New Roman"/>
      <w:sz w:val="17"/>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normalchar1">
    <w:name w:val="normal__char1"/>
    <w:basedOn w:val="DefaultParagraphFont"/>
    <w:rsid w:val="003554D5"/>
    <w:rPr>
      <w:rFonts w:ascii="Times New Roman" w:hAnsi="Times New Roman" w:cs="Times New Roman" w:hint="default"/>
      <w:sz w:val="24"/>
      <w:szCs w:val="24"/>
    </w:rPr>
  </w:style>
  <w:style w:type="paragraph" w:customStyle="1" w:styleId="Normal1">
    <w:name w:val="Normal1"/>
    <w:basedOn w:val="Normal"/>
    <w:rsid w:val="00F71D6D"/>
    <w:pPr>
      <w:spacing w:line="240" w:lineRule="atLeast"/>
    </w:pPr>
    <w:rPr>
      <w:rFonts w:eastAsia="Times New Roman"/>
      <w:sz w:val="24"/>
    </w:rPr>
  </w:style>
  <w:style w:type="paragraph" w:customStyle="1" w:styleId="Pa2">
    <w:name w:val="Pa2"/>
    <w:basedOn w:val="Default"/>
    <w:next w:val="Default"/>
    <w:uiPriority w:val="99"/>
    <w:rsid w:val="00405098"/>
    <w:pPr>
      <w:spacing w:line="191" w:lineRule="atLeast"/>
    </w:pPr>
    <w:rPr>
      <w:rFonts w:ascii="Helvetica 45 Light" w:eastAsiaTheme="minorHAnsi" w:hAnsi="Helvetica 45 Light" w:cstheme="minorBidi"/>
      <w:color w:val="auto"/>
    </w:rPr>
  </w:style>
  <w:style w:type="character" w:customStyle="1" w:styleId="A5">
    <w:name w:val="A5"/>
    <w:uiPriority w:val="99"/>
    <w:rsid w:val="00405098"/>
    <w:rPr>
      <w:rFonts w:cs="Helvetica 45 Light"/>
      <w:color w:val="000000"/>
      <w:sz w:val="11"/>
      <w:szCs w:val="11"/>
    </w:rPr>
  </w:style>
  <w:style w:type="paragraph" w:customStyle="1" w:styleId="BriefBackground">
    <w:name w:val="Brief Background"/>
    <w:basedOn w:val="ListBullet"/>
    <w:qFormat/>
    <w:rsid w:val="007F2DCF"/>
    <w:pPr>
      <w:numPr>
        <w:numId w:val="0"/>
      </w:numPr>
      <w:tabs>
        <w:tab w:val="clear" w:pos="284"/>
      </w:tabs>
      <w:spacing w:line="240" w:lineRule="auto"/>
      <w:ind w:left="360" w:hanging="360"/>
    </w:pPr>
    <w:rPr>
      <w:rFonts w:asciiTheme="minorHAnsi" w:eastAsia="Calibri" w:hAnsiTheme="minorHAnsi" w:cstheme="minorHAnsi"/>
      <w:color w:val="000000" w:themeColor="text1"/>
      <w:sz w:val="24"/>
      <w:lang w:eastAsia="en-US"/>
    </w:rPr>
  </w:style>
  <w:style w:type="character" w:customStyle="1" w:styleId="Heading3Char1">
    <w:name w:val="Heading 3 Char1"/>
    <w:basedOn w:val="DefaultParagraphFont"/>
    <w:semiHidden/>
    <w:rsid w:val="000D3DF9"/>
    <w:rPr>
      <w:rFonts w:asciiTheme="majorHAnsi" w:eastAsiaTheme="majorEastAsia" w:hAnsiTheme="majorHAnsi" w:cstheme="majorBidi"/>
      <w:b/>
      <w:bCs/>
      <w:color w:val="4F81BD" w:themeColor="accen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0270">
      <w:bodyDiv w:val="1"/>
      <w:marLeft w:val="0"/>
      <w:marRight w:val="0"/>
      <w:marTop w:val="0"/>
      <w:marBottom w:val="0"/>
      <w:divBdr>
        <w:top w:val="none" w:sz="0" w:space="0" w:color="auto"/>
        <w:left w:val="none" w:sz="0" w:space="0" w:color="auto"/>
        <w:bottom w:val="none" w:sz="0" w:space="0" w:color="auto"/>
        <w:right w:val="none" w:sz="0" w:space="0" w:color="auto"/>
      </w:divBdr>
    </w:div>
    <w:div w:id="124785168">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244455603">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507792985">
      <w:bodyDiv w:val="1"/>
      <w:marLeft w:val="1440"/>
      <w:marRight w:val="1440"/>
      <w:marTop w:val="1440"/>
      <w:marBottom w:val="1440"/>
      <w:divBdr>
        <w:top w:val="none" w:sz="0" w:space="0" w:color="auto"/>
        <w:left w:val="none" w:sz="0" w:space="0" w:color="auto"/>
        <w:bottom w:val="none" w:sz="0" w:space="0" w:color="auto"/>
        <w:right w:val="none" w:sz="0" w:space="0" w:color="auto"/>
      </w:divBdr>
    </w:div>
    <w:div w:id="558173868">
      <w:bodyDiv w:val="1"/>
      <w:marLeft w:val="0"/>
      <w:marRight w:val="0"/>
      <w:marTop w:val="0"/>
      <w:marBottom w:val="0"/>
      <w:divBdr>
        <w:top w:val="none" w:sz="0" w:space="0" w:color="auto"/>
        <w:left w:val="none" w:sz="0" w:space="0" w:color="auto"/>
        <w:bottom w:val="none" w:sz="0" w:space="0" w:color="auto"/>
        <w:right w:val="none" w:sz="0" w:space="0" w:color="auto"/>
      </w:divBdr>
    </w:div>
    <w:div w:id="594288887">
      <w:bodyDiv w:val="1"/>
      <w:marLeft w:val="0"/>
      <w:marRight w:val="0"/>
      <w:marTop w:val="0"/>
      <w:marBottom w:val="0"/>
      <w:divBdr>
        <w:top w:val="none" w:sz="0" w:space="0" w:color="auto"/>
        <w:left w:val="none" w:sz="0" w:space="0" w:color="auto"/>
        <w:bottom w:val="none" w:sz="0" w:space="0" w:color="auto"/>
        <w:right w:val="none" w:sz="0" w:space="0" w:color="auto"/>
      </w:divBdr>
    </w:div>
    <w:div w:id="595793084">
      <w:bodyDiv w:val="1"/>
      <w:marLeft w:val="0"/>
      <w:marRight w:val="0"/>
      <w:marTop w:val="0"/>
      <w:marBottom w:val="0"/>
      <w:divBdr>
        <w:top w:val="none" w:sz="0" w:space="0" w:color="auto"/>
        <w:left w:val="none" w:sz="0" w:space="0" w:color="auto"/>
        <w:bottom w:val="none" w:sz="0" w:space="0" w:color="auto"/>
        <w:right w:val="none" w:sz="0" w:space="0" w:color="auto"/>
      </w:divBdr>
    </w:div>
    <w:div w:id="773289168">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3053651">
      <w:bodyDiv w:val="1"/>
      <w:marLeft w:val="0"/>
      <w:marRight w:val="0"/>
      <w:marTop w:val="0"/>
      <w:marBottom w:val="0"/>
      <w:divBdr>
        <w:top w:val="none" w:sz="0" w:space="0" w:color="auto"/>
        <w:left w:val="none" w:sz="0" w:space="0" w:color="auto"/>
        <w:bottom w:val="none" w:sz="0" w:space="0" w:color="auto"/>
        <w:right w:val="none" w:sz="0" w:space="0" w:color="auto"/>
      </w:divBdr>
    </w:div>
    <w:div w:id="1003554424">
      <w:bodyDiv w:val="1"/>
      <w:marLeft w:val="0"/>
      <w:marRight w:val="0"/>
      <w:marTop w:val="0"/>
      <w:marBottom w:val="0"/>
      <w:divBdr>
        <w:top w:val="none" w:sz="0" w:space="0" w:color="auto"/>
        <w:left w:val="none" w:sz="0" w:space="0" w:color="auto"/>
        <w:bottom w:val="none" w:sz="0" w:space="0" w:color="auto"/>
        <w:right w:val="none" w:sz="0" w:space="0" w:color="auto"/>
      </w:divBdr>
    </w:div>
    <w:div w:id="1016887870">
      <w:bodyDiv w:val="1"/>
      <w:marLeft w:val="0"/>
      <w:marRight w:val="0"/>
      <w:marTop w:val="0"/>
      <w:marBottom w:val="0"/>
      <w:divBdr>
        <w:top w:val="none" w:sz="0" w:space="0" w:color="auto"/>
        <w:left w:val="none" w:sz="0" w:space="0" w:color="auto"/>
        <w:bottom w:val="none" w:sz="0" w:space="0" w:color="auto"/>
        <w:right w:val="none" w:sz="0" w:space="0" w:color="auto"/>
      </w:divBdr>
    </w:div>
    <w:div w:id="1064834017">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81129156">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480271456">
      <w:bodyDiv w:val="1"/>
      <w:marLeft w:val="0"/>
      <w:marRight w:val="0"/>
      <w:marTop w:val="0"/>
      <w:marBottom w:val="0"/>
      <w:divBdr>
        <w:top w:val="none" w:sz="0" w:space="0" w:color="auto"/>
        <w:left w:val="none" w:sz="0" w:space="0" w:color="auto"/>
        <w:bottom w:val="none" w:sz="0" w:space="0" w:color="auto"/>
        <w:right w:val="none" w:sz="0" w:space="0" w:color="auto"/>
      </w:divBdr>
    </w:div>
    <w:div w:id="148087962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038808">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45903201">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footer" Target="footer2.xml"/><Relationship Id="rId39" Type="http://schemas.openxmlformats.org/officeDocument/2006/relationships/customXml" Target="../customXml/item9.xml"/><Relationship Id="rId21" Type="http://schemas.openxmlformats.org/officeDocument/2006/relationships/hyperlink" Target="http://dfat.gov.au/geo/laos/development-assistance/Pages/australia-awards-in-laos.aspx" TargetMode="Externa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dfat.gov.au/geo/east-asia/development-assistance/Pages/development-assistance-in-east-asia.aspx" TargetMode="External"/><Relationship Id="rId25" Type="http://schemas.openxmlformats.org/officeDocument/2006/relationships/footer" Target="footer1.xml"/><Relationship Id="rId33" Type="http://schemas.openxmlformats.org/officeDocument/2006/relationships/header" Target="header6.xml"/><Relationship Id="rId38"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hyperlink" Target="http://dfat.gov.au/about-us/publications/Pages/aid-investment-plan-aip-laos-2015-16-to-2019-20.aspx" TargetMode="External"/><Relationship Id="rId20" Type="http://schemas.openxmlformats.org/officeDocument/2006/relationships/hyperlink" Target="http://dfat.gov.au/geo/laos/development-assistance/Pages/australia-awards-in-laos.aspx"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footer" Target="footer5.xml"/><Relationship Id="rId37" Type="http://schemas.openxmlformats.org/officeDocument/2006/relationships/customXml" Target="../customXml/item7.xml"/><Relationship Id="rId5" Type="http://schemas.openxmlformats.org/officeDocument/2006/relationships/customXml" Target="../customXml/item5.xml"/><Relationship Id="rId15" Type="http://schemas.openxmlformats.org/officeDocument/2006/relationships/hyperlink" Target="http://dfat.gov.au/about-us/publications/Pages/australia-laos-development-cooperation-strategy-2009-15.aspx"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dfat.gov.au/geo/laos/development-assistance/Pages/human-resource-development-in-laos.aspx" TargetMode="External"/><Relationship Id="rId31" Type="http://schemas.openxmlformats.org/officeDocument/2006/relationships/header" Target="head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 Id="rId22" Type="http://schemas.openxmlformats.org/officeDocument/2006/relationships/hyperlink" Target="http://dfat.gov.au/geo/laos/development-assistance/Pages/volunteers-laos.aspx" TargetMode="Externa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1" Type="http://schemas.openxmlformats.org/officeDocument/2006/relationships/hyperlink" Target="http://rlp.spsl.la"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FA8CFD-14F6-436D-A9FA-46B66764554B}"/>
</file>

<file path=customXml/itemProps2.xml><?xml version="1.0" encoding="utf-8"?>
<ds:datastoreItem xmlns:ds="http://schemas.openxmlformats.org/officeDocument/2006/customXml" ds:itemID="{B3388906-0595-437E-A1B8-11E16F806FB4}"/>
</file>

<file path=customXml/itemProps3.xml><?xml version="1.0" encoding="utf-8"?>
<ds:datastoreItem xmlns:ds="http://schemas.openxmlformats.org/officeDocument/2006/customXml" ds:itemID="{06A4636F-280E-4E41-9A32-7C4D6AED350F}"/>
</file>

<file path=customXml/itemProps4.xml><?xml version="1.0" encoding="utf-8"?>
<ds:datastoreItem xmlns:ds="http://schemas.openxmlformats.org/officeDocument/2006/customXml" ds:itemID="{D3CDE2DB-BDD8-4CA8-955A-594C3A26DE96}"/>
</file>

<file path=customXml/itemProps5.xml><?xml version="1.0" encoding="utf-8"?>
<ds:datastoreItem xmlns:ds="http://schemas.openxmlformats.org/officeDocument/2006/customXml" ds:itemID="{1A5D521B-7D68-477C-8319-0A676082E9C4}"/>
</file>

<file path=customXml/itemProps6.xml><?xml version="1.0" encoding="utf-8"?>
<ds:datastoreItem xmlns:ds="http://schemas.openxmlformats.org/officeDocument/2006/customXml" ds:itemID="{387BEF67-5C52-4D23-89D6-293FF6C843CC}"/>
</file>

<file path=customXml/itemProps7.xml><?xml version="1.0" encoding="utf-8"?>
<ds:datastoreItem xmlns:ds="http://schemas.openxmlformats.org/officeDocument/2006/customXml" ds:itemID="{DCC0B55E-73D9-4682-8498-CA7356ADB8DE}"/>
</file>

<file path=customXml/itemProps8.xml><?xml version="1.0" encoding="utf-8"?>
<ds:datastoreItem xmlns:ds="http://schemas.openxmlformats.org/officeDocument/2006/customXml" ds:itemID="{B94F544D-3D52-40FC-B01B-6689BF12657D}"/>
</file>

<file path=customXml/itemProps9.xml><?xml version="1.0" encoding="utf-8"?>
<ds:datastoreItem xmlns:ds="http://schemas.openxmlformats.org/officeDocument/2006/customXml" ds:itemID="{C4AD5C87-DD0B-4A73-BEE4-6524B0746DD1}"/>
</file>

<file path=docProps/app.xml><?xml version="1.0" encoding="utf-8"?>
<Properties xmlns="http://schemas.openxmlformats.org/officeDocument/2006/extended-properties" xmlns:vt="http://schemas.openxmlformats.org/officeDocument/2006/docPropsVTypes">
  <Template>29BB843E</Template>
  <TotalTime>0</TotalTime>
  <Pages>27</Pages>
  <Words>11198</Words>
  <Characters>67748</Characters>
  <Application>Microsoft Office Word</Application>
  <DocSecurity>0</DocSecurity>
  <Lines>1992</Lines>
  <Paragraphs>559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2015-10-29T04:42:00Z</dcterms:created>
  <dcterms:modified xsi:type="dcterms:W3CDTF">2015-10-29T04:42:00Z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979400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