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5.xml" ContentType="application/vnd.openxmlformats-officedocument.wordprocessingml.header+xml"/>
  <Override PartName="/word/endnotes.xml" ContentType="application/vnd.openxmlformats-officedocument.wordprocessingml.endnotes+xml"/>
  <Override PartName="/word/header4.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3F" w:rsidRPr="00EF494A" w:rsidRDefault="000D733F">
      <w:pPr>
        <w:spacing w:after="200" w:line="276" w:lineRule="auto"/>
      </w:pPr>
      <w:bookmarkStart w:id="0" w:name="_GoBack"/>
      <w:bookmarkEnd w:id="0"/>
    </w:p>
    <w:p w:rsidR="000D733F" w:rsidRPr="00EF494A" w:rsidRDefault="000D733F" w:rsidP="009E79EC"/>
    <w:p w:rsidR="000D733F" w:rsidRPr="00EF494A" w:rsidRDefault="000D733F">
      <w:pPr>
        <w:spacing w:after="200" w:line="276" w:lineRule="auto"/>
      </w:pPr>
    </w:p>
    <w:p w:rsidR="000D733F" w:rsidRPr="00EF494A" w:rsidRDefault="000D733F">
      <w:pPr>
        <w:spacing w:after="200" w:line="276" w:lineRule="auto"/>
      </w:pPr>
    </w:p>
    <w:p w:rsidR="001227C3" w:rsidRPr="00EF494A" w:rsidRDefault="001227C3" w:rsidP="000D733F">
      <w:pPr>
        <w:pStyle w:val="Title"/>
        <w:ind w:left="2694" w:right="-624"/>
        <w:rPr>
          <w:color w:val="FFFFFF"/>
          <w:spacing w:val="0"/>
          <w:sz w:val="50"/>
          <w:szCs w:val="50"/>
          <w:lang w:eastAsia="en-US"/>
        </w:rPr>
      </w:pPr>
    </w:p>
    <w:p w:rsidR="001227C3" w:rsidRPr="00EF494A" w:rsidRDefault="001227C3" w:rsidP="000D733F">
      <w:pPr>
        <w:pStyle w:val="Title"/>
        <w:ind w:left="2694" w:right="-624"/>
        <w:rPr>
          <w:color w:val="FFFFFF"/>
          <w:spacing w:val="0"/>
          <w:sz w:val="50"/>
          <w:szCs w:val="50"/>
          <w:lang w:eastAsia="en-US"/>
        </w:rPr>
      </w:pPr>
    </w:p>
    <w:p w:rsidR="001227C3" w:rsidRPr="00EF494A" w:rsidRDefault="001227C3" w:rsidP="000D733F">
      <w:pPr>
        <w:pStyle w:val="Title"/>
        <w:ind w:left="2694" w:right="-624"/>
        <w:rPr>
          <w:color w:val="FFFFFF"/>
          <w:spacing w:val="0"/>
          <w:sz w:val="50"/>
          <w:szCs w:val="50"/>
          <w:lang w:eastAsia="en-US"/>
        </w:rPr>
      </w:pPr>
    </w:p>
    <w:p w:rsidR="001227C3" w:rsidRPr="00EF494A" w:rsidRDefault="001227C3" w:rsidP="000D733F">
      <w:pPr>
        <w:pStyle w:val="Title"/>
        <w:ind w:left="2694" w:right="-624"/>
        <w:rPr>
          <w:color w:val="FFFFFF"/>
          <w:spacing w:val="0"/>
          <w:sz w:val="50"/>
          <w:szCs w:val="50"/>
          <w:lang w:eastAsia="en-US"/>
        </w:rPr>
      </w:pPr>
    </w:p>
    <w:p w:rsidR="001227C3" w:rsidRPr="00EF494A" w:rsidRDefault="001227C3" w:rsidP="000D733F">
      <w:pPr>
        <w:pStyle w:val="Title"/>
        <w:ind w:left="2694" w:right="-624"/>
        <w:rPr>
          <w:color w:val="FFFFFF"/>
          <w:spacing w:val="0"/>
          <w:sz w:val="50"/>
          <w:szCs w:val="50"/>
          <w:lang w:eastAsia="en-US"/>
        </w:rPr>
      </w:pPr>
    </w:p>
    <w:p w:rsidR="001227C3" w:rsidRPr="00EF494A" w:rsidRDefault="001227C3" w:rsidP="000D733F">
      <w:pPr>
        <w:pStyle w:val="Title"/>
        <w:ind w:left="2694" w:right="-624"/>
        <w:rPr>
          <w:color w:val="FFFFFF"/>
          <w:spacing w:val="0"/>
          <w:sz w:val="50"/>
          <w:szCs w:val="50"/>
          <w:lang w:eastAsia="en-US"/>
        </w:rPr>
      </w:pPr>
    </w:p>
    <w:p w:rsidR="001227C3" w:rsidRPr="00EF494A" w:rsidRDefault="001227C3" w:rsidP="000D733F">
      <w:pPr>
        <w:pStyle w:val="Title"/>
        <w:ind w:left="2694" w:right="-624"/>
        <w:rPr>
          <w:color w:val="FFFFFF"/>
          <w:spacing w:val="0"/>
          <w:sz w:val="50"/>
          <w:szCs w:val="50"/>
          <w:lang w:eastAsia="en-US"/>
        </w:rPr>
      </w:pPr>
    </w:p>
    <w:p w:rsidR="001227C3" w:rsidRPr="00EF494A" w:rsidRDefault="001227C3" w:rsidP="000D733F">
      <w:pPr>
        <w:pStyle w:val="Title"/>
        <w:ind w:left="2694" w:right="-624"/>
        <w:rPr>
          <w:color w:val="FFFFFF"/>
          <w:spacing w:val="0"/>
          <w:sz w:val="50"/>
          <w:szCs w:val="50"/>
          <w:lang w:eastAsia="en-US"/>
        </w:rPr>
      </w:pPr>
    </w:p>
    <w:p w:rsidR="001227C3" w:rsidRPr="00EF494A" w:rsidRDefault="001227C3" w:rsidP="000D733F">
      <w:pPr>
        <w:pStyle w:val="Title"/>
        <w:ind w:left="2694" w:right="-624"/>
        <w:rPr>
          <w:color w:val="FFFFFF"/>
          <w:spacing w:val="0"/>
          <w:sz w:val="50"/>
          <w:szCs w:val="50"/>
          <w:lang w:eastAsia="en-US"/>
        </w:rPr>
      </w:pPr>
    </w:p>
    <w:p w:rsidR="001227C3" w:rsidRPr="00EF494A" w:rsidRDefault="001227C3" w:rsidP="000D733F">
      <w:pPr>
        <w:pStyle w:val="Title"/>
        <w:ind w:left="2694" w:right="-624"/>
        <w:rPr>
          <w:color w:val="FFFFFF"/>
          <w:spacing w:val="0"/>
          <w:sz w:val="50"/>
          <w:szCs w:val="50"/>
          <w:lang w:eastAsia="en-US"/>
        </w:rPr>
      </w:pPr>
    </w:p>
    <w:p w:rsidR="000D733F" w:rsidRPr="00EF494A" w:rsidRDefault="000D733F" w:rsidP="000D733F">
      <w:pPr>
        <w:pStyle w:val="Title"/>
        <w:ind w:left="2694" w:right="-624"/>
        <w:rPr>
          <w:color w:val="FFFFFF"/>
          <w:spacing w:val="0"/>
          <w:sz w:val="50"/>
          <w:szCs w:val="50"/>
          <w:lang w:eastAsia="en-US"/>
        </w:rPr>
      </w:pPr>
      <w:r w:rsidRPr="00EF494A">
        <w:rPr>
          <w:color w:val="FFFFFF"/>
          <w:spacing w:val="0"/>
          <w:sz w:val="50"/>
          <w:szCs w:val="50"/>
          <w:lang w:eastAsia="en-US"/>
        </w:rPr>
        <w:t xml:space="preserve">Aid Program Performance Report 2013-14 </w:t>
      </w:r>
      <w:r w:rsidRPr="00EF494A">
        <w:rPr>
          <w:noProof/>
          <w:color w:val="FFFFFF"/>
          <w:spacing w:val="0"/>
          <w:sz w:val="50"/>
          <w:szCs w:val="50"/>
        </w:rPr>
        <w:drawing>
          <wp:anchor distT="0" distB="0" distL="114300" distR="114300" simplePos="0" relativeHeight="251662336" behindDoc="1" locked="1" layoutInCell="1" allowOverlap="1" wp14:anchorId="071680C1" wp14:editId="05560F2F">
            <wp:simplePos x="0" y="0"/>
            <wp:positionH relativeFrom="page">
              <wp:align>left</wp:align>
            </wp:positionH>
            <wp:positionV relativeFrom="page">
              <wp:posOffset>7315</wp:posOffset>
            </wp:positionV>
            <wp:extent cx="7558405" cy="10691495"/>
            <wp:effectExtent l="0" t="0" r="4445" b="0"/>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D733F" w:rsidRPr="00EF494A" w:rsidRDefault="00F3794B" w:rsidP="000D733F">
      <w:pPr>
        <w:pStyle w:val="Subtitle"/>
        <w:ind w:left="2694" w:right="-624"/>
        <w:rPr>
          <w:color w:val="FFFFFF"/>
          <w:spacing w:val="0"/>
          <w:sz w:val="32"/>
          <w:szCs w:val="32"/>
          <w:lang w:eastAsia="en-US"/>
        </w:rPr>
      </w:pPr>
      <w:r w:rsidRPr="00EF494A">
        <w:rPr>
          <w:color w:val="FFFFFF"/>
          <w:spacing w:val="0"/>
          <w:sz w:val="32"/>
          <w:szCs w:val="32"/>
          <w:lang w:eastAsia="en-US"/>
        </w:rPr>
        <w:t>Lao</w:t>
      </w:r>
      <w:r w:rsidR="00463F96" w:rsidRPr="00EF494A">
        <w:rPr>
          <w:color w:val="FFFFFF"/>
          <w:spacing w:val="0"/>
          <w:sz w:val="32"/>
          <w:szCs w:val="32"/>
          <w:lang w:eastAsia="en-US"/>
        </w:rPr>
        <w:t>s</w:t>
      </w:r>
      <w:r w:rsidR="000D733F" w:rsidRPr="00EF494A">
        <w:rPr>
          <w:color w:val="FFFFFF"/>
          <w:spacing w:val="0"/>
          <w:sz w:val="32"/>
          <w:szCs w:val="32"/>
          <w:lang w:eastAsia="en-US"/>
        </w:rPr>
        <w:t xml:space="preserve"> Country Program </w:t>
      </w:r>
    </w:p>
    <w:p w:rsidR="000D733F" w:rsidRPr="00EF494A" w:rsidRDefault="009F38F7" w:rsidP="00F3794B">
      <w:pPr>
        <w:pStyle w:val="Date"/>
        <w:tabs>
          <w:tab w:val="center" w:pos="5741"/>
        </w:tabs>
        <w:spacing w:before="200" w:after="600" w:line="380" w:lineRule="atLeast"/>
        <w:ind w:left="2694" w:right="-624"/>
        <w:rPr>
          <w:rFonts w:ascii="Helvetica" w:eastAsia="Times New Roman" w:hAnsi="Helvetica"/>
          <w:color w:val="FFFFFF"/>
          <w:kern w:val="28"/>
          <w:sz w:val="24"/>
          <w:lang w:eastAsia="en-US"/>
        </w:rPr>
      </w:pPr>
      <w:r>
        <w:rPr>
          <w:rFonts w:ascii="Helvetica" w:eastAsia="Times New Roman" w:hAnsi="Helvetica"/>
          <w:color w:val="FFFFFF"/>
          <w:kern w:val="28"/>
          <w:sz w:val="24"/>
          <w:lang w:eastAsia="en-US"/>
        </w:rPr>
        <w:t>October</w:t>
      </w:r>
      <w:r w:rsidR="000D733F" w:rsidRPr="00EF494A">
        <w:rPr>
          <w:rFonts w:ascii="Helvetica" w:eastAsia="Times New Roman" w:hAnsi="Helvetica"/>
          <w:color w:val="FFFFFF"/>
          <w:kern w:val="28"/>
          <w:sz w:val="24"/>
          <w:lang w:eastAsia="en-US"/>
        </w:rPr>
        <w:t xml:space="preserve"> 2014</w:t>
      </w:r>
      <w:r w:rsidR="00F3794B" w:rsidRPr="00EF494A">
        <w:rPr>
          <w:rFonts w:ascii="Helvetica" w:eastAsia="Times New Roman" w:hAnsi="Helvetica"/>
          <w:color w:val="FFFFFF"/>
          <w:kern w:val="28"/>
          <w:sz w:val="24"/>
          <w:lang w:eastAsia="en-US"/>
        </w:rPr>
        <w:tab/>
      </w:r>
    </w:p>
    <w:p w:rsidR="001D6059" w:rsidRPr="00EF494A" w:rsidRDefault="001D6059" w:rsidP="00CD061B">
      <w:pPr>
        <w:rPr>
          <w:lang w:eastAsia="en-US"/>
        </w:rPr>
      </w:pPr>
    </w:p>
    <w:p w:rsidR="00AC6F49" w:rsidRPr="00EF494A" w:rsidRDefault="00AC6F49">
      <w:pPr>
        <w:spacing w:after="200" w:line="276" w:lineRule="auto"/>
        <w:rPr>
          <w:lang w:eastAsia="en-US"/>
        </w:rPr>
      </w:pPr>
      <w:r w:rsidRPr="00EF494A">
        <w:rPr>
          <w:lang w:eastAsia="en-US"/>
        </w:rPr>
        <w:br w:type="page"/>
      </w:r>
    </w:p>
    <w:p w:rsidR="005B42EE" w:rsidRPr="00EF494A" w:rsidRDefault="005B42EE" w:rsidP="00CD061B">
      <w:pPr>
        <w:rPr>
          <w:lang w:eastAsia="en-US"/>
        </w:rPr>
        <w:sectPr w:rsidR="005B42EE" w:rsidRPr="00EF494A" w:rsidSect="00E02595">
          <w:headerReference w:type="even" r:id="rId10"/>
          <w:headerReference w:type="default" r:id="rId11"/>
          <w:footerReference w:type="even" r:id="rId12"/>
          <w:footerReference w:type="default" r:id="rId13"/>
          <w:headerReference w:type="first" r:id="rId14"/>
          <w:footerReference w:type="first" r:id="rId15"/>
          <w:pgSz w:w="11907" w:h="16840" w:code="9"/>
          <w:pgMar w:top="2268" w:right="1871" w:bottom="907" w:left="1871" w:header="851" w:footer="454" w:gutter="0"/>
          <w:cols w:space="720"/>
          <w:docGrid w:linePitch="272"/>
        </w:sectPr>
      </w:pPr>
    </w:p>
    <w:p w:rsidR="000D733F" w:rsidRPr="00EF494A" w:rsidRDefault="000D733F" w:rsidP="000D733F">
      <w:pPr>
        <w:pStyle w:val="Heading2"/>
        <w:rPr>
          <w:rStyle w:val="BodyTextChar"/>
          <w:color w:val="auto"/>
        </w:rPr>
      </w:pPr>
      <w:bookmarkStart w:id="1" w:name="_Toc373853205"/>
      <w:r w:rsidRPr="00EF494A">
        <w:rPr>
          <w:sz w:val="28"/>
        </w:rPr>
        <w:lastRenderedPageBreak/>
        <w:t>Key Messages</w:t>
      </w:r>
      <w:bookmarkEnd w:id="1"/>
    </w:p>
    <w:p w:rsidR="00687461" w:rsidRPr="00EF494A" w:rsidRDefault="001B7FB0" w:rsidP="00687461">
      <w:pPr>
        <w:pStyle w:val="ListBullet"/>
        <w:numPr>
          <w:ilvl w:val="0"/>
          <w:numId w:val="0"/>
        </w:numPr>
        <w:tabs>
          <w:tab w:val="clear" w:pos="284"/>
        </w:tabs>
      </w:pPr>
      <w:r w:rsidRPr="00EF494A">
        <w:t xml:space="preserve">This report summarises the progress </w:t>
      </w:r>
      <w:r w:rsidR="00687461" w:rsidRPr="00EF494A">
        <w:t xml:space="preserve">and performance </w:t>
      </w:r>
      <w:r w:rsidRPr="00EF494A">
        <w:t>of Australia’s aid progra</w:t>
      </w:r>
      <w:r w:rsidR="00E93DC8" w:rsidRPr="00EF494A">
        <w:t>m to</w:t>
      </w:r>
      <w:r w:rsidR="00E551E8" w:rsidRPr="00EF494A">
        <w:t xml:space="preserve"> </w:t>
      </w:r>
      <w:r w:rsidR="00216179" w:rsidRPr="00EF494A">
        <w:t>Lao PDR</w:t>
      </w:r>
      <w:r w:rsidR="00687461" w:rsidRPr="00EF494A">
        <w:t xml:space="preserve"> in 2013-14 (until mid</w:t>
      </w:r>
      <w:r w:rsidR="00E551E8" w:rsidRPr="00EF494A">
        <w:t>-</w:t>
      </w:r>
      <w:r w:rsidRPr="00EF494A">
        <w:t>2014)</w:t>
      </w:r>
      <w:r w:rsidR="00FD5FA5" w:rsidRPr="00EF494A">
        <w:t>.</w:t>
      </w:r>
    </w:p>
    <w:p w:rsidR="00687461" w:rsidRPr="00EF494A" w:rsidRDefault="00687461" w:rsidP="00687461">
      <w:pPr>
        <w:pStyle w:val="ListBullet"/>
        <w:numPr>
          <w:ilvl w:val="0"/>
          <w:numId w:val="0"/>
        </w:numPr>
        <w:tabs>
          <w:tab w:val="clear" w:pos="284"/>
        </w:tabs>
      </w:pPr>
      <w:r w:rsidRPr="00EF494A">
        <w:t>Australia’</w:t>
      </w:r>
      <w:r w:rsidR="00216179" w:rsidRPr="00EF494A">
        <w:t>s aid program to Lao PDR</w:t>
      </w:r>
      <w:r w:rsidRPr="00EF494A">
        <w:t xml:space="preserve"> continued to make positive improvements to the lives of poor and disadvantag</w:t>
      </w:r>
      <w:r w:rsidR="001B7DF4" w:rsidRPr="00EF494A">
        <w:t>ed people.  This work was under</w:t>
      </w:r>
      <w:r w:rsidRPr="00EF494A">
        <w:t xml:space="preserve">pinned by efforts to </w:t>
      </w:r>
      <w:r w:rsidR="00081BBB" w:rsidRPr="00EF494A">
        <w:t>address</w:t>
      </w:r>
      <w:r w:rsidRPr="00EF494A">
        <w:t xml:space="preserve"> social and economic </w:t>
      </w:r>
      <w:r w:rsidR="001466EE">
        <w:t>inequality</w:t>
      </w:r>
      <w:r w:rsidRPr="00EF494A">
        <w:t xml:space="preserve"> in the country.  Under Australia’s flagship basic education progra</w:t>
      </w:r>
      <w:r w:rsidR="00216179" w:rsidRPr="00EF494A">
        <w:t>m more children</w:t>
      </w:r>
      <w:r w:rsidRPr="00EF494A">
        <w:t xml:space="preserve"> gain</w:t>
      </w:r>
      <w:r w:rsidR="00216179" w:rsidRPr="00EF494A">
        <w:t>ed</w:t>
      </w:r>
      <w:r w:rsidRPr="00EF494A">
        <w:t xml:space="preserve"> access to a better quality education in the most educationa</w:t>
      </w:r>
      <w:r w:rsidR="00216179" w:rsidRPr="00EF494A">
        <w:t>lly disadvantaged areas</w:t>
      </w:r>
      <w:r w:rsidR="00081BBB" w:rsidRPr="00EF494A">
        <w:t>.</w:t>
      </w:r>
      <w:r w:rsidRPr="00EF494A">
        <w:t xml:space="preserve"> </w:t>
      </w:r>
      <w:r w:rsidR="00081BBB" w:rsidRPr="00EF494A">
        <w:t xml:space="preserve"> S</w:t>
      </w:r>
      <w:r w:rsidRPr="00EF494A">
        <w:t xml:space="preserve">chool </w:t>
      </w:r>
      <w:r w:rsidR="00216179" w:rsidRPr="00EF494A">
        <w:t>net enrolment rates</w:t>
      </w:r>
      <w:r w:rsidRPr="00EF494A">
        <w:t xml:space="preserve"> in our ta</w:t>
      </w:r>
      <w:r w:rsidR="00216179" w:rsidRPr="00EF494A">
        <w:t>rget districts improv</w:t>
      </w:r>
      <w:r w:rsidR="00081BBB" w:rsidRPr="00EF494A">
        <w:t>ed</w:t>
      </w:r>
      <w:r w:rsidR="00216179" w:rsidRPr="00EF494A">
        <w:t xml:space="preserve"> from 81 per cent in 2008-09 to 96</w:t>
      </w:r>
      <w:r w:rsidRPr="00EF494A">
        <w:t xml:space="preserve"> per cent in 2012-13.</w:t>
      </w:r>
      <w:r w:rsidR="00216179" w:rsidRPr="00EF494A">
        <w:t xml:space="preserve">  </w:t>
      </w:r>
      <w:r w:rsidR="00081BBB" w:rsidRPr="00EF494A">
        <w:t>F</w:t>
      </w:r>
      <w:r w:rsidR="00216179" w:rsidRPr="00EF494A">
        <w:t>or the first time ever, the national primary net enrolment rate reached 98</w:t>
      </w:r>
      <w:r w:rsidR="00BF3ACD" w:rsidRPr="00EF494A">
        <w:t xml:space="preserve"> per cent, realising the country’s Millennium Development Goal (MDG) target.</w:t>
      </w:r>
    </w:p>
    <w:p w:rsidR="00BF3ACD" w:rsidRPr="00EF494A" w:rsidRDefault="00BF3ACD" w:rsidP="00687461">
      <w:pPr>
        <w:pStyle w:val="ListBullet"/>
        <w:numPr>
          <w:ilvl w:val="0"/>
          <w:numId w:val="0"/>
        </w:numPr>
        <w:tabs>
          <w:tab w:val="clear" w:pos="284"/>
        </w:tabs>
      </w:pPr>
      <w:r w:rsidRPr="00EF494A">
        <w:t>In the trade sector</w:t>
      </w:r>
      <w:r w:rsidR="00081BBB" w:rsidRPr="00EF494A">
        <w:t>,</w:t>
      </w:r>
      <w:r w:rsidRPr="00EF494A">
        <w:t xml:space="preserve"> we continued to sup</w:t>
      </w:r>
      <w:r w:rsidR="0076734F" w:rsidRPr="00EF494A">
        <w:t>port Lao PDR</w:t>
      </w:r>
      <w:r w:rsidRPr="00EF494A">
        <w:t xml:space="preserve"> </w:t>
      </w:r>
      <w:r w:rsidR="00081BBB" w:rsidRPr="00EF494A">
        <w:t xml:space="preserve">to implement its </w:t>
      </w:r>
      <w:r w:rsidRPr="00EF494A">
        <w:t>World Trade Organisat</w:t>
      </w:r>
      <w:r w:rsidR="0076734F" w:rsidRPr="00EF494A">
        <w:t xml:space="preserve">ion (WTO) </w:t>
      </w:r>
      <w:r w:rsidR="00081BBB" w:rsidRPr="00EF494A">
        <w:t>commitments</w:t>
      </w:r>
      <w:r w:rsidR="0076734F" w:rsidRPr="00EF494A">
        <w:t xml:space="preserve">, to remove barriers to both domestic and international trade, and to </w:t>
      </w:r>
      <w:r w:rsidR="007C2AA1" w:rsidRPr="00EF494A">
        <w:t xml:space="preserve">support </w:t>
      </w:r>
      <w:r w:rsidR="00DF7DDA" w:rsidRPr="00EF494A">
        <w:t>readiness for Lao PDR’s participation in the A</w:t>
      </w:r>
      <w:r w:rsidR="001B7DF4" w:rsidRPr="00EF494A">
        <w:t>S</w:t>
      </w:r>
      <w:r w:rsidR="00DF7DDA" w:rsidRPr="00EF494A">
        <w:t>EAN Economic Community</w:t>
      </w:r>
      <w:r w:rsidR="00081BBB" w:rsidRPr="00EF494A">
        <w:t xml:space="preserve"> (AEC)</w:t>
      </w:r>
      <w:r w:rsidR="00DF7DDA" w:rsidRPr="00EF494A">
        <w:t xml:space="preserve"> in 2015.</w:t>
      </w:r>
    </w:p>
    <w:p w:rsidR="0076734F" w:rsidRPr="00EF494A" w:rsidRDefault="00DF7DDA" w:rsidP="00687461">
      <w:pPr>
        <w:pStyle w:val="ListBullet"/>
        <w:numPr>
          <w:ilvl w:val="0"/>
          <w:numId w:val="0"/>
        </w:numPr>
        <w:tabs>
          <w:tab w:val="clear" w:pos="284"/>
        </w:tabs>
      </w:pPr>
      <w:r w:rsidRPr="00EF494A">
        <w:t>Australia’</w:t>
      </w:r>
      <w:r w:rsidR="001B7DF4" w:rsidRPr="00EF494A">
        <w:t>s aid</w:t>
      </w:r>
      <w:r w:rsidR="00BF3ACD" w:rsidRPr="00EF494A">
        <w:t xml:space="preserve"> in rural development </w:t>
      </w:r>
      <w:r w:rsidRPr="00EF494A">
        <w:t xml:space="preserve">continued to improve </w:t>
      </w:r>
      <w:r w:rsidR="00BF3ACD" w:rsidRPr="00EF494A">
        <w:t>the lives and livelihoods of thousa</w:t>
      </w:r>
      <w:r w:rsidRPr="00EF494A">
        <w:t>nds of rural poor.  O</w:t>
      </w:r>
      <w:r w:rsidR="0076734F" w:rsidRPr="00EF494A">
        <w:t xml:space="preserve">ver 9,500 people </w:t>
      </w:r>
      <w:r w:rsidR="001B7DF4" w:rsidRPr="00EF494A">
        <w:t xml:space="preserve">were </w:t>
      </w:r>
      <w:r w:rsidR="0076734F" w:rsidRPr="00EF494A">
        <w:t xml:space="preserve">assisted </w:t>
      </w:r>
      <w:r w:rsidR="00081BBB" w:rsidRPr="00EF494A">
        <w:t>to</w:t>
      </w:r>
      <w:r w:rsidR="0076734F" w:rsidRPr="00EF494A">
        <w:t xml:space="preserve"> increas</w:t>
      </w:r>
      <w:r w:rsidR="00081BBB" w:rsidRPr="00EF494A">
        <w:t xml:space="preserve">e </w:t>
      </w:r>
      <w:r w:rsidR="0076734F" w:rsidRPr="00EF494A">
        <w:t xml:space="preserve">their production of, and access to, food.  An estimated 70,000 </w:t>
      </w:r>
      <w:r w:rsidRPr="00EF494A">
        <w:t xml:space="preserve">people </w:t>
      </w:r>
      <w:r w:rsidR="0076734F" w:rsidRPr="00EF494A">
        <w:t>benefitted from the clear</w:t>
      </w:r>
      <w:r w:rsidR="00081BBB" w:rsidRPr="00EF494A">
        <w:t>ance</w:t>
      </w:r>
      <w:r w:rsidR="0076734F" w:rsidRPr="00EF494A">
        <w:t xml:space="preserve"> of productive land </w:t>
      </w:r>
      <w:r w:rsidR="00081BBB" w:rsidRPr="00EF494A">
        <w:t>of</w:t>
      </w:r>
      <w:r w:rsidR="0076734F" w:rsidRPr="00EF494A">
        <w:t xml:space="preserve"> unexploded ordnance</w:t>
      </w:r>
      <w:r w:rsidR="00081BBB" w:rsidRPr="00EF494A">
        <w:t xml:space="preserve">. </w:t>
      </w:r>
      <w:r w:rsidR="0076734F" w:rsidRPr="00EF494A">
        <w:t>10,900 men and women in rural areas were given access to finance</w:t>
      </w:r>
      <w:r w:rsidRPr="00EF494A">
        <w:t>, essential for building livelih</w:t>
      </w:r>
      <w:r w:rsidR="001B7DF4" w:rsidRPr="00EF494A">
        <w:t>oods and small businesses</w:t>
      </w:r>
      <w:r w:rsidR="0076734F" w:rsidRPr="00EF494A">
        <w:t>.  Through Australia’s support, 205</w:t>
      </w:r>
      <w:r w:rsidRPr="00EF494A">
        <w:t xml:space="preserve">km of rural roads </w:t>
      </w:r>
      <w:r w:rsidR="008B2D7B">
        <w:t>were</w:t>
      </w:r>
      <w:r w:rsidR="008B2D7B" w:rsidRPr="00EF494A">
        <w:t xml:space="preserve"> </w:t>
      </w:r>
      <w:r w:rsidR="0076734F" w:rsidRPr="00EF494A">
        <w:t xml:space="preserve">built in remote and rural communities, enabling better access to </w:t>
      </w:r>
      <w:r w:rsidRPr="00EF494A">
        <w:t>health and education</w:t>
      </w:r>
      <w:r w:rsidR="0076734F" w:rsidRPr="00EF494A">
        <w:t xml:space="preserve"> services and </w:t>
      </w:r>
      <w:r w:rsidR="001B7DF4" w:rsidRPr="00EF494A">
        <w:t xml:space="preserve">to </w:t>
      </w:r>
      <w:r w:rsidR="0076734F" w:rsidRPr="00EF494A">
        <w:t>markets.</w:t>
      </w:r>
    </w:p>
    <w:p w:rsidR="00DF7DDA" w:rsidRPr="00EF494A" w:rsidRDefault="00DF7DDA" w:rsidP="00687461">
      <w:pPr>
        <w:pStyle w:val="ListBullet"/>
        <w:numPr>
          <w:ilvl w:val="0"/>
          <w:numId w:val="0"/>
        </w:numPr>
        <w:tabs>
          <w:tab w:val="clear" w:pos="284"/>
        </w:tabs>
      </w:pPr>
      <w:r w:rsidRPr="00EF494A">
        <w:t>Consolidation of the Laos Country Program continued with the design and mobilisation of sev</w:t>
      </w:r>
      <w:r w:rsidR="001B7DF4" w:rsidRPr="00EF494A">
        <w:t xml:space="preserve">eral </w:t>
      </w:r>
      <w:r w:rsidRPr="00EF494A">
        <w:t xml:space="preserve">initiatives in rural development, human resource development and basic education, which have a strong focus on supporting women’s economic empowerment and leadership, </w:t>
      </w:r>
      <w:r w:rsidR="001B7DF4" w:rsidRPr="00EF494A">
        <w:t xml:space="preserve">and improving the </w:t>
      </w:r>
      <w:r w:rsidRPr="00EF494A">
        <w:t>lives of people with disability.</w:t>
      </w:r>
    </w:p>
    <w:p w:rsidR="001B7DF4" w:rsidRPr="00EF494A" w:rsidRDefault="001B7DF4" w:rsidP="00687461">
      <w:pPr>
        <w:pStyle w:val="ListBullet"/>
        <w:numPr>
          <w:ilvl w:val="0"/>
          <w:numId w:val="0"/>
        </w:numPr>
        <w:tabs>
          <w:tab w:val="clear" w:pos="284"/>
        </w:tabs>
      </w:pPr>
      <w:r w:rsidRPr="00EF494A">
        <w:t xml:space="preserve">The tightening fiscal situation in Lao PDR </w:t>
      </w:r>
      <w:r w:rsidR="00081BBB" w:rsidRPr="00EF494A">
        <w:t xml:space="preserve">in </w:t>
      </w:r>
      <w:r w:rsidRPr="00EF494A">
        <w:t xml:space="preserve">2013-14 </w:t>
      </w:r>
      <w:r w:rsidR="00782655" w:rsidRPr="00EF494A">
        <w:t xml:space="preserve">and the decline in the quality of public financial management </w:t>
      </w:r>
      <w:r w:rsidR="00081BBB" w:rsidRPr="00EF494A">
        <w:t xml:space="preserve">has raised </w:t>
      </w:r>
      <w:r w:rsidRPr="00EF494A">
        <w:t xml:space="preserve">uncertainty about </w:t>
      </w:r>
      <w:r w:rsidR="00081BBB" w:rsidRPr="00EF494A">
        <w:t xml:space="preserve">Laos’ </w:t>
      </w:r>
      <w:r w:rsidRPr="00EF494A">
        <w:t xml:space="preserve">ability to maintain its budget commitment to social sectors.  </w:t>
      </w:r>
    </w:p>
    <w:p w:rsidR="000D733F" w:rsidRPr="00EF494A" w:rsidRDefault="000D733F" w:rsidP="000D733F">
      <w:pPr>
        <w:pStyle w:val="Heading2"/>
        <w:rPr>
          <w:rStyle w:val="BodyTextChar"/>
          <w:color w:val="auto"/>
        </w:rPr>
      </w:pPr>
      <w:r w:rsidRPr="00EF494A">
        <w:rPr>
          <w:sz w:val="28"/>
        </w:rPr>
        <w:t>Context</w:t>
      </w:r>
    </w:p>
    <w:p w:rsidR="00A9304F" w:rsidRPr="00EF494A" w:rsidRDefault="00BF3ACD" w:rsidP="0093454D">
      <w:pPr>
        <w:pStyle w:val="ListBullet"/>
        <w:numPr>
          <w:ilvl w:val="0"/>
          <w:numId w:val="0"/>
        </w:numPr>
        <w:tabs>
          <w:tab w:val="clear" w:pos="284"/>
        </w:tabs>
      </w:pPr>
      <w:r w:rsidRPr="00EF494A">
        <w:t xml:space="preserve">Lao PDR’s strong economic performance in 2013 began to weaken in 2014.  GDP growth </w:t>
      </w:r>
      <w:r w:rsidR="00A9304F" w:rsidRPr="00EF494A">
        <w:t>is</w:t>
      </w:r>
      <w:r w:rsidRPr="00EF494A">
        <w:t xml:space="preserve"> </w:t>
      </w:r>
      <w:r w:rsidR="00A9304F" w:rsidRPr="00EF494A">
        <w:t xml:space="preserve">projected to moderate to 7.2 per cent in 2014, down from </w:t>
      </w:r>
      <w:r w:rsidRPr="00EF494A">
        <w:t>8.</w:t>
      </w:r>
      <w:r w:rsidR="00FD5FA5" w:rsidRPr="00EF494A">
        <w:t>0</w:t>
      </w:r>
      <w:r w:rsidRPr="00EF494A">
        <w:t xml:space="preserve"> per</w:t>
      </w:r>
      <w:r w:rsidR="00782655" w:rsidRPr="00EF494A">
        <w:t xml:space="preserve"> </w:t>
      </w:r>
      <w:r w:rsidRPr="00EF494A">
        <w:t>cent</w:t>
      </w:r>
      <w:r w:rsidR="00A9304F" w:rsidRPr="00EF494A">
        <w:t xml:space="preserve"> in 201</w:t>
      </w:r>
      <w:r w:rsidR="00FD5FA5" w:rsidRPr="00EF494A">
        <w:t>2-13</w:t>
      </w:r>
      <w:r w:rsidR="00A9304F" w:rsidRPr="00EF494A">
        <w:t xml:space="preserve">, </w:t>
      </w:r>
      <w:r w:rsidRPr="00EF494A">
        <w:t>reflectin</w:t>
      </w:r>
      <w:r w:rsidR="0093454D" w:rsidRPr="00EF494A">
        <w:t xml:space="preserve">g a projected slowdown in the mining and construction sectors.  </w:t>
      </w:r>
    </w:p>
    <w:p w:rsidR="004E655F" w:rsidRPr="00EF494A" w:rsidRDefault="00A9304F" w:rsidP="003461F9">
      <w:pPr>
        <w:pStyle w:val="ListBullet"/>
        <w:numPr>
          <w:ilvl w:val="0"/>
          <w:numId w:val="0"/>
        </w:numPr>
        <w:tabs>
          <w:tab w:val="clear" w:pos="284"/>
        </w:tabs>
      </w:pPr>
      <w:r w:rsidRPr="00EF494A">
        <w:t xml:space="preserve">Changes in early 2014 </w:t>
      </w:r>
      <w:r w:rsidR="008B2D7B">
        <w:t xml:space="preserve">have been made </w:t>
      </w:r>
      <w:r w:rsidRPr="00EF494A">
        <w:t>to address Laos’ growing fiscal deficit</w:t>
      </w:r>
      <w:r w:rsidR="008B2D7B">
        <w:t xml:space="preserve">.  </w:t>
      </w:r>
      <w:r w:rsidRPr="00EF494A">
        <w:t xml:space="preserve"> </w:t>
      </w:r>
      <w:r w:rsidR="008B2D7B">
        <w:t xml:space="preserve">These </w:t>
      </w:r>
      <w:r w:rsidRPr="00EF494A">
        <w:t xml:space="preserve">have </w:t>
      </w:r>
      <w:r w:rsidR="008B2D7B">
        <w:t xml:space="preserve">resulted in </w:t>
      </w:r>
      <w:r w:rsidRPr="00EF494A">
        <w:t xml:space="preserve">a much-needed rebalance away from a unitary focus on growth and towards greater macroeconomic stability.  </w:t>
      </w:r>
      <w:r w:rsidR="008B2D7B">
        <w:t>C</w:t>
      </w:r>
      <w:r w:rsidRPr="00EF494A">
        <w:t>hanges include</w:t>
      </w:r>
      <w:r w:rsidR="008B2D7B">
        <w:t>d</w:t>
      </w:r>
      <w:r w:rsidRPr="00EF494A">
        <w:t xml:space="preserve"> a stronger focus on planning and budget management for the medium term, and the cancellation of the latest round of civil service wage and allowance increases</w:t>
      </w:r>
      <w:r w:rsidR="003461F9" w:rsidRPr="00EF494A">
        <w:t>.  The national poverty headcount rate was estimated at 2</w:t>
      </w:r>
      <w:r w:rsidR="00A0230A" w:rsidRPr="00EF494A">
        <w:t>3 per</w:t>
      </w:r>
      <w:r w:rsidR="00782655" w:rsidRPr="00EF494A">
        <w:t xml:space="preserve"> </w:t>
      </w:r>
      <w:r w:rsidR="00A0230A" w:rsidRPr="00EF494A">
        <w:t xml:space="preserve">cent in 2012-13.  </w:t>
      </w:r>
      <w:r w:rsidRPr="00EF494A">
        <w:t xml:space="preserve">Down </w:t>
      </w:r>
      <w:r w:rsidR="003461F9" w:rsidRPr="00EF494A">
        <w:t>from 27.5 per cent in 2007-08</w:t>
      </w:r>
      <w:r w:rsidRPr="00EF494A">
        <w:t xml:space="preserve">.  Poverty </w:t>
      </w:r>
      <w:r w:rsidR="003461F9" w:rsidRPr="00EF494A">
        <w:t xml:space="preserve">has almost halved </w:t>
      </w:r>
      <w:r w:rsidRPr="00EF494A">
        <w:t>(</w:t>
      </w:r>
      <w:r w:rsidR="003461F9" w:rsidRPr="00EF494A">
        <w:t>from 46 per</w:t>
      </w:r>
      <w:r w:rsidR="00782655" w:rsidRPr="00EF494A">
        <w:t xml:space="preserve"> </w:t>
      </w:r>
      <w:r w:rsidR="003461F9" w:rsidRPr="00EF494A">
        <w:t>cent</w:t>
      </w:r>
      <w:r w:rsidRPr="00EF494A">
        <w:t>)</w:t>
      </w:r>
      <w:r w:rsidR="003461F9" w:rsidRPr="00EF494A">
        <w:t xml:space="preserve"> over the last 20 years.  </w:t>
      </w:r>
      <w:r w:rsidR="004E655F" w:rsidRPr="00EF494A">
        <w:t xml:space="preserve">Poverty </w:t>
      </w:r>
      <w:r w:rsidR="00BC26A3" w:rsidRPr="00EF494A">
        <w:t>in Lao PDR continues to have</w:t>
      </w:r>
      <w:r w:rsidR="004E655F" w:rsidRPr="00EF494A">
        <w:t xml:space="preserve"> strong geo</w:t>
      </w:r>
      <w:r w:rsidR="00BC26A3" w:rsidRPr="00EF494A">
        <w:t xml:space="preserve">graphic and socio-economic dimensions.  Poverty remains substantially higher in rural areas, at 28.6 per cent compared to 10 per cent in urban areas.  Poverty is higher among households headed by </w:t>
      </w:r>
      <w:r w:rsidR="00BC26A3" w:rsidRPr="00EF494A">
        <w:lastRenderedPageBreak/>
        <w:t>persons with low levels of education, those from ethnic-minority groups, and those whose primary employment is in agriculture.</w:t>
      </w:r>
      <w:r w:rsidR="00BC26A3" w:rsidRPr="00EF494A">
        <w:rPr>
          <w:rStyle w:val="FootnoteReference"/>
        </w:rPr>
        <w:footnoteReference w:id="2"/>
      </w:r>
    </w:p>
    <w:p w:rsidR="00BF3ACD" w:rsidRPr="00EF494A" w:rsidRDefault="003461F9" w:rsidP="003461F9">
      <w:pPr>
        <w:pStyle w:val="ListBullet"/>
        <w:numPr>
          <w:ilvl w:val="0"/>
          <w:numId w:val="0"/>
        </w:numPr>
        <w:tabs>
          <w:tab w:val="clear" w:pos="284"/>
        </w:tabs>
      </w:pPr>
      <w:r w:rsidRPr="00EF494A">
        <w:t xml:space="preserve">Economic growth </w:t>
      </w:r>
      <w:r w:rsidR="008854AB" w:rsidRPr="00EF494A">
        <w:t>has improved the welfare of household</w:t>
      </w:r>
      <w:r w:rsidR="00BC26A3" w:rsidRPr="00EF494A">
        <w:t xml:space="preserve">s, with </w:t>
      </w:r>
      <w:r w:rsidR="008854AB" w:rsidRPr="00EF494A">
        <w:t>greater asset ownership, improved living conditio</w:t>
      </w:r>
      <w:r w:rsidR="004E655F" w:rsidRPr="00EF494A">
        <w:t>ns</w:t>
      </w:r>
      <w:r w:rsidR="008854AB" w:rsidRPr="00EF494A">
        <w:t xml:space="preserve"> and access to services.  </w:t>
      </w:r>
      <w:r w:rsidR="00BC26A3" w:rsidRPr="00EF494A">
        <w:t xml:space="preserve">But economic growth and prosperity remains uneven </w:t>
      </w:r>
      <w:r w:rsidR="008854AB" w:rsidRPr="00EF494A">
        <w:t>and the pac</w:t>
      </w:r>
      <w:r w:rsidR="00BC26A3" w:rsidRPr="00EF494A">
        <w:t xml:space="preserve">e of poverty reduction </w:t>
      </w:r>
      <w:r w:rsidR="008854AB" w:rsidRPr="00EF494A">
        <w:t>slow - for every 1 per cent increase in GDP, poverty has fallen by around 0.47 per cent.  Economic inequality has increased, with the Gini coefficient marginally increasing from 35.0 in 2007-08 to 36.2 in 2012-13.</w:t>
      </w:r>
      <w:r w:rsidR="008854AB" w:rsidRPr="00EF494A">
        <w:rPr>
          <w:rStyle w:val="FootnoteReference"/>
        </w:rPr>
        <w:footnoteReference w:id="3"/>
      </w:r>
    </w:p>
    <w:p w:rsidR="00C16235" w:rsidRPr="00EF494A" w:rsidRDefault="00C16235" w:rsidP="003461F9">
      <w:pPr>
        <w:pStyle w:val="ListBullet"/>
        <w:numPr>
          <w:ilvl w:val="0"/>
          <w:numId w:val="0"/>
        </w:numPr>
        <w:tabs>
          <w:tab w:val="clear" w:pos="284"/>
        </w:tabs>
      </w:pPr>
      <w:r w:rsidRPr="00EF494A">
        <w:t>Lao PDR continues to make progress against MDGs, although impressive gains ma</w:t>
      </w:r>
      <w:r w:rsidR="00020600" w:rsidRPr="00EF494A">
        <w:t>de in past years have slowed</w:t>
      </w:r>
      <w:r w:rsidRPr="00EF494A">
        <w:t xml:space="preserve">.  Lao PDR will struggle to meet seven </w:t>
      </w:r>
      <w:r w:rsidR="005D41FD" w:rsidRPr="00EF494A">
        <w:t>o</w:t>
      </w:r>
      <w:r w:rsidR="0094339B">
        <w:t>f its nine MDGs, with MDG6 (</w:t>
      </w:r>
      <w:r w:rsidRPr="00EF494A">
        <w:t>Combatti</w:t>
      </w:r>
      <w:r w:rsidR="0094339B">
        <w:t>ng HIV/AIDS, Malaria and Other D</w:t>
      </w:r>
      <w:r w:rsidRPr="00EF494A">
        <w:t>iseases</w:t>
      </w:r>
      <w:r w:rsidR="0094339B">
        <w:t>)</w:t>
      </w:r>
      <w:r w:rsidRPr="00EF494A">
        <w:t xml:space="preserve"> and MDG8 </w:t>
      </w:r>
      <w:r w:rsidR="0094339B">
        <w:t>(</w:t>
      </w:r>
      <w:r w:rsidRPr="00EF494A">
        <w:t>Develop a Global Partnership for Development</w:t>
      </w:r>
      <w:r w:rsidR="0094339B">
        <w:t>)</w:t>
      </w:r>
      <w:r w:rsidRPr="00EF494A">
        <w:t xml:space="preserve"> </w:t>
      </w:r>
      <w:r w:rsidR="00020600" w:rsidRPr="00EF494A">
        <w:t xml:space="preserve">the only goals </w:t>
      </w:r>
      <w:r w:rsidRPr="00EF494A">
        <w:t xml:space="preserve">assessed as being on track.  MDGs relating to poverty and hunger, health, education, gender, environment and the clearance of unexploded ordnance </w:t>
      </w:r>
      <w:r w:rsidR="005D41FD" w:rsidRPr="00EF494A">
        <w:t xml:space="preserve">(UXO) </w:t>
      </w:r>
      <w:r w:rsidRPr="00EF494A">
        <w:t>are unlikely to be achieved.</w:t>
      </w:r>
    </w:p>
    <w:p w:rsidR="00C16235" w:rsidRPr="00EF494A" w:rsidRDefault="00C16235" w:rsidP="003461F9">
      <w:pPr>
        <w:pStyle w:val="ListBullet"/>
        <w:numPr>
          <w:ilvl w:val="0"/>
          <w:numId w:val="0"/>
        </w:numPr>
        <w:tabs>
          <w:tab w:val="clear" w:pos="284"/>
        </w:tabs>
      </w:pPr>
      <w:r w:rsidRPr="00EF494A">
        <w:t xml:space="preserve">Progress has been made in reducing hunger, with </w:t>
      </w:r>
      <w:r w:rsidR="001466EE">
        <w:t>Laos’</w:t>
      </w:r>
      <w:r w:rsidRPr="00EF494A">
        <w:t xml:space="preserve"> Global Hunger Index dropping from 23.7 to 18.7 between 2005 and 2013.  Child stunting remains at a regional and global high</w:t>
      </w:r>
      <w:r w:rsidR="00A9304F" w:rsidRPr="00EF494A">
        <w:t>,</w:t>
      </w:r>
      <w:r w:rsidRPr="00EF494A">
        <w:t xml:space="preserve"> </w:t>
      </w:r>
      <w:r w:rsidR="00A9304F" w:rsidRPr="00EF494A">
        <w:t xml:space="preserve">affecting </w:t>
      </w:r>
      <w:r w:rsidRPr="00EF494A">
        <w:t>44 per cent of children under five</w:t>
      </w:r>
      <w:r w:rsidR="00A9304F" w:rsidRPr="00EF494A">
        <w:t>.</w:t>
      </w:r>
      <w:r w:rsidRPr="00EF494A">
        <w:t xml:space="preserve">  Laos has among the highest infant mortality rates</w:t>
      </w:r>
      <w:r w:rsidR="00027F0F" w:rsidRPr="00EF494A">
        <w:t xml:space="preserve"> </w:t>
      </w:r>
      <w:r w:rsidR="00FD5FA5" w:rsidRPr="00EF494A">
        <w:t xml:space="preserve">in the region, </w:t>
      </w:r>
      <w:r w:rsidR="00027F0F" w:rsidRPr="00EF494A">
        <w:t xml:space="preserve">and the </w:t>
      </w:r>
      <w:r w:rsidR="001466EE">
        <w:t>maternal mortality r</w:t>
      </w:r>
      <w:r w:rsidR="005D41FD" w:rsidRPr="00EF494A">
        <w:t>ate is in slow decline from only 405 per 100,0</w:t>
      </w:r>
      <w:r w:rsidR="00313DF8" w:rsidRPr="00EF494A">
        <w:t>00 live births to 357 between 200</w:t>
      </w:r>
      <w:r w:rsidR="005D41FD" w:rsidRPr="00EF494A">
        <w:t xml:space="preserve">5 and 2012.  </w:t>
      </w:r>
      <w:r w:rsidR="00A9304F" w:rsidRPr="00EF494A">
        <w:t>There have been impressive gains made in increasing access to safe drinking water.  70 per cent of the population now have access to clean water.  Around 56 per cent now have access to improved sanitation facilities.</w:t>
      </w:r>
      <w:r w:rsidR="00027F0F" w:rsidRPr="00EF494A">
        <w:t xml:space="preserve">  </w:t>
      </w:r>
      <w:r w:rsidR="005D41FD" w:rsidRPr="00EF494A">
        <w:t xml:space="preserve">There have been steady improvements to gender parity </w:t>
      </w:r>
      <w:r w:rsidR="001F1A88" w:rsidRPr="00EF494A">
        <w:t xml:space="preserve">in enrolment </w:t>
      </w:r>
      <w:r w:rsidR="005D41FD" w:rsidRPr="00EF494A">
        <w:t>at the basic education level</w:t>
      </w:r>
      <w:r w:rsidR="00A9304F" w:rsidRPr="00EF494A">
        <w:t>. T</w:t>
      </w:r>
      <w:r w:rsidR="005D41FD" w:rsidRPr="00EF494A">
        <w:t>here continues</w:t>
      </w:r>
      <w:r w:rsidR="00A9304F" w:rsidRPr="00EF494A">
        <w:t>, however,</w:t>
      </w:r>
      <w:r w:rsidR="005D41FD" w:rsidRPr="00EF494A">
        <w:t xml:space="preserve"> to be serious </w:t>
      </w:r>
      <w:r w:rsidR="001466EE">
        <w:t>gender gaps at higher levels of education</w:t>
      </w:r>
      <w:r w:rsidR="005D41FD" w:rsidRPr="00EF494A">
        <w:t>.</w:t>
      </w:r>
      <w:r w:rsidR="00A9304F" w:rsidRPr="00EF494A">
        <w:t xml:space="preserve">  </w:t>
      </w:r>
    </w:p>
    <w:p w:rsidR="00EA05EC" w:rsidRPr="00EF494A" w:rsidRDefault="003F7153" w:rsidP="003461F9">
      <w:pPr>
        <w:pStyle w:val="ListBullet"/>
        <w:numPr>
          <w:ilvl w:val="0"/>
          <w:numId w:val="0"/>
        </w:numPr>
        <w:tabs>
          <w:tab w:val="clear" w:pos="284"/>
        </w:tabs>
      </w:pPr>
      <w:r w:rsidRPr="00EF494A">
        <w:t xml:space="preserve">The Government of Laos has </w:t>
      </w:r>
      <w:r w:rsidR="008B2D7B">
        <w:t xml:space="preserve">sought </w:t>
      </w:r>
      <w:r w:rsidR="00CD505A" w:rsidRPr="00EF494A">
        <w:t>to focus development efforts on</w:t>
      </w:r>
      <w:r w:rsidRPr="00EF494A">
        <w:t xml:space="preserve"> the achievement of MDGs and 7</w:t>
      </w:r>
      <w:r w:rsidRPr="00EF494A">
        <w:rPr>
          <w:vertAlign w:val="superscript"/>
        </w:rPr>
        <w:t>th</w:t>
      </w:r>
      <w:r w:rsidRPr="00EF494A">
        <w:t xml:space="preserve"> National Socio-Economic Development Plan priorities.  During 2013-14, </w:t>
      </w:r>
      <w:r w:rsidR="00CD505A" w:rsidRPr="00EF494A">
        <w:t xml:space="preserve">evaluations of progress against both benchmark plans have been conducted, which indicated steady </w:t>
      </w:r>
      <w:r w:rsidR="001466EE">
        <w:t>if</w:t>
      </w:r>
      <w:r w:rsidR="00CD505A" w:rsidRPr="00EF494A">
        <w:t xml:space="preserve"> uneven progress in many areas.  </w:t>
      </w:r>
      <w:r w:rsidR="00EA05EC" w:rsidRPr="00EF494A">
        <w:t xml:space="preserve">The tight fiscal environment, including the increasingly limited availability of non-wage recurrent budget, no doubt constrained decentralisation efforts in 2013-14.  </w:t>
      </w:r>
      <w:r w:rsidR="00782655" w:rsidRPr="00EF494A">
        <w:t xml:space="preserve">Efforts to move services closer to citizens were seriously constrained by weak governance, </w:t>
      </w:r>
      <w:r w:rsidR="00B6142F">
        <w:t>lack of</w:t>
      </w:r>
      <w:r w:rsidR="00B6142F" w:rsidRPr="00EF494A">
        <w:t xml:space="preserve"> </w:t>
      </w:r>
      <w:r w:rsidR="00782655" w:rsidRPr="00EF494A">
        <w:t xml:space="preserve">accountability and transparency. </w:t>
      </w:r>
      <w:r w:rsidR="00B6142F">
        <w:t>T</w:t>
      </w:r>
      <w:r w:rsidR="00EA05EC" w:rsidRPr="00EF494A">
        <w:t>he Government continued to consolidate villages across the country to focus economic development and service delivery</w:t>
      </w:r>
      <w:r w:rsidR="00BF1832" w:rsidRPr="00EF494A">
        <w:t xml:space="preserve">, </w:t>
      </w:r>
      <w:r w:rsidR="0067188E">
        <w:t xml:space="preserve">and this has </w:t>
      </w:r>
      <w:r w:rsidR="001466EE">
        <w:t>created issues</w:t>
      </w:r>
      <w:r w:rsidR="0067188E">
        <w:t xml:space="preserve"> </w:t>
      </w:r>
      <w:r w:rsidR="00BF1832" w:rsidRPr="00EF494A">
        <w:t xml:space="preserve">for the re-establishment of </w:t>
      </w:r>
      <w:r w:rsidR="0067188E">
        <w:t>resettled communities</w:t>
      </w:r>
      <w:r w:rsidR="001466EE">
        <w:t>’</w:t>
      </w:r>
      <w:r w:rsidR="0067188E">
        <w:t xml:space="preserve"> </w:t>
      </w:r>
      <w:r w:rsidR="00BF1832" w:rsidRPr="00EF494A">
        <w:t xml:space="preserve">livelihoods.  </w:t>
      </w:r>
    </w:p>
    <w:p w:rsidR="00BF1832" w:rsidRPr="00EF494A" w:rsidRDefault="00BF1832" w:rsidP="003461F9">
      <w:pPr>
        <w:pStyle w:val="ListBullet"/>
        <w:numPr>
          <w:ilvl w:val="0"/>
          <w:numId w:val="0"/>
        </w:numPr>
        <w:tabs>
          <w:tab w:val="clear" w:pos="284"/>
        </w:tabs>
      </w:pPr>
      <w:r w:rsidRPr="00EF494A">
        <w:t>The objectives of Australia’s bilateral development cooperation program with Lao PDR are consistent with Lao national development priorities.  As Lao PDR works to become part of the A</w:t>
      </w:r>
      <w:r w:rsidR="00AD4EA0" w:rsidRPr="00EF494A">
        <w:t>EC in</w:t>
      </w:r>
      <w:r w:rsidRPr="00EF494A">
        <w:t xml:space="preserve"> 2015, the development of human resources and</w:t>
      </w:r>
      <w:r w:rsidR="00AD4EA0" w:rsidRPr="00EF494A">
        <w:t xml:space="preserve"> </w:t>
      </w:r>
      <w:r w:rsidRPr="00EF494A">
        <w:t xml:space="preserve">trade sector </w:t>
      </w:r>
      <w:r w:rsidR="00AD4EA0" w:rsidRPr="00EF494A">
        <w:t xml:space="preserve">reforms </w:t>
      </w:r>
      <w:r w:rsidRPr="00EF494A">
        <w:t xml:space="preserve">are gaining in importance.  Australia’s continued focus on basic education, rural development and trade and investment underpinned by human resource development </w:t>
      </w:r>
      <w:r w:rsidR="0067188E">
        <w:t xml:space="preserve">remains </w:t>
      </w:r>
      <w:r w:rsidR="00B8287B" w:rsidRPr="00EF494A">
        <w:t xml:space="preserve">appropriate in this context.  </w:t>
      </w:r>
      <w:r w:rsidR="00B8287B" w:rsidRPr="00EF494A">
        <w:lastRenderedPageBreak/>
        <w:t>Future strategic priorities for Australia’s development cooperation with Lao PDR will be reviewed</w:t>
      </w:r>
      <w:r w:rsidR="00E43EDB" w:rsidRPr="00EF494A">
        <w:t xml:space="preserve"> in </w:t>
      </w:r>
      <w:r w:rsidR="00B8287B" w:rsidRPr="00EF494A">
        <w:t>the preparation of a new Aid Investment Plan</w:t>
      </w:r>
      <w:r w:rsidR="00E43EDB" w:rsidRPr="00EF494A">
        <w:t xml:space="preserve"> to be</w:t>
      </w:r>
      <w:r w:rsidR="00B8287B" w:rsidRPr="00EF494A">
        <w:t xml:space="preserve"> finalis</w:t>
      </w:r>
      <w:r w:rsidR="00E43EDB" w:rsidRPr="00EF494A">
        <w:t>ed in mid</w:t>
      </w:r>
      <w:r w:rsidR="00782655" w:rsidRPr="00EF494A">
        <w:t>-</w:t>
      </w:r>
      <w:r w:rsidR="00B8287B" w:rsidRPr="00EF494A">
        <w:t>2015.</w:t>
      </w:r>
    </w:p>
    <w:p w:rsidR="00304762" w:rsidRPr="00EF494A" w:rsidRDefault="00B8287B" w:rsidP="00B8287B">
      <w:pPr>
        <w:pStyle w:val="ListBullet"/>
        <w:numPr>
          <w:ilvl w:val="0"/>
          <w:numId w:val="0"/>
        </w:numPr>
        <w:tabs>
          <w:tab w:val="clear" w:pos="284"/>
        </w:tabs>
      </w:pPr>
      <w:r w:rsidRPr="00EF494A">
        <w:t xml:space="preserve">There was an overall </w:t>
      </w:r>
      <w:r w:rsidR="007F633D" w:rsidRPr="00EF494A">
        <w:t>4.5</w:t>
      </w:r>
      <w:r w:rsidRPr="00EF494A">
        <w:t xml:space="preserve"> per cent increase in total ODA to Laos between 201</w:t>
      </w:r>
      <w:r w:rsidR="007F633D" w:rsidRPr="00EF494A">
        <w:t>1</w:t>
      </w:r>
      <w:r w:rsidRPr="00EF494A">
        <w:t xml:space="preserve"> and 201</w:t>
      </w:r>
      <w:r w:rsidR="007F633D" w:rsidRPr="00EF494A">
        <w:t>2</w:t>
      </w:r>
      <w:r w:rsidR="00FD5FA5" w:rsidRPr="00EF494A">
        <w:t xml:space="preserve"> (</w:t>
      </w:r>
      <w:r w:rsidRPr="00EF494A">
        <w:t>from $US</w:t>
      </w:r>
      <w:r w:rsidR="007F633D" w:rsidRPr="00EF494A">
        <w:t>445</w:t>
      </w:r>
      <w:r w:rsidRPr="00EF494A">
        <w:t xml:space="preserve"> million to $US</w:t>
      </w:r>
      <w:r w:rsidR="007F633D" w:rsidRPr="00EF494A">
        <w:t>465</w:t>
      </w:r>
      <w:r w:rsidRPr="00EF494A">
        <w:t xml:space="preserve"> million</w:t>
      </w:r>
      <w:r w:rsidR="00FD5FA5" w:rsidRPr="00EF494A">
        <w:t>)</w:t>
      </w:r>
      <w:r w:rsidR="007F633D" w:rsidRPr="00EF494A">
        <w:t>.</w:t>
      </w:r>
      <w:r w:rsidRPr="00EF494A">
        <w:t xml:space="preserve"> Australia is the </w:t>
      </w:r>
      <w:r w:rsidR="00EB162A" w:rsidRPr="00EF494A">
        <w:t>second</w:t>
      </w:r>
      <w:r w:rsidR="007F633D" w:rsidRPr="00EF494A">
        <w:t xml:space="preserve"> </w:t>
      </w:r>
      <w:r w:rsidRPr="00EF494A">
        <w:t xml:space="preserve">largest bilateral grant donor to Lao PDR, contributing </w:t>
      </w:r>
      <w:r w:rsidR="0013657C" w:rsidRPr="00EF494A">
        <w:t>A$5</w:t>
      </w:r>
      <w:r w:rsidR="00AF55CB" w:rsidRPr="00EF494A">
        <w:t>4</w:t>
      </w:r>
      <w:r w:rsidR="0013657C" w:rsidRPr="00EF494A">
        <w:t>.</w:t>
      </w:r>
      <w:r w:rsidR="00AF55CB" w:rsidRPr="00EF494A">
        <w:t>8</w:t>
      </w:r>
      <w:r w:rsidR="00782655" w:rsidRPr="00EF494A">
        <w:t> </w:t>
      </w:r>
      <w:r w:rsidR="0013657C" w:rsidRPr="00EF494A">
        <w:t>million (</w:t>
      </w:r>
      <w:r w:rsidRPr="00EF494A">
        <w:t>US$</w:t>
      </w:r>
      <w:r w:rsidR="00AF55CB" w:rsidRPr="00EF494A">
        <w:t>51.02</w:t>
      </w:r>
      <w:r w:rsidR="0013657C" w:rsidRPr="00EF494A">
        <w:t xml:space="preserve"> million)</w:t>
      </w:r>
      <w:r w:rsidR="00D235A7" w:rsidRPr="00EF494A">
        <w:t xml:space="preserve"> in 2013</w:t>
      </w:r>
      <w:r w:rsidRPr="00EF494A">
        <w:t>-1</w:t>
      </w:r>
      <w:r w:rsidR="00D235A7" w:rsidRPr="00EF494A">
        <w:t>4</w:t>
      </w:r>
      <w:r w:rsidR="0025334D" w:rsidRPr="00EF494A">
        <w:t>.</w:t>
      </w:r>
      <w:r w:rsidRPr="00EF494A">
        <w:t xml:space="preserve"> Japan is the largest bilateral donor for grants and loans, contributing an estimated </w:t>
      </w:r>
      <w:r w:rsidR="00785A0D" w:rsidRPr="00EF494A">
        <w:t>A</w:t>
      </w:r>
      <w:r w:rsidRPr="00EF494A">
        <w:t>$9</w:t>
      </w:r>
      <w:r w:rsidR="00785A0D" w:rsidRPr="00EF494A">
        <w:t>9</w:t>
      </w:r>
      <w:r w:rsidRPr="00EF494A">
        <w:t>.</w:t>
      </w:r>
      <w:r w:rsidR="00785A0D" w:rsidRPr="00EF494A">
        <w:t>6</w:t>
      </w:r>
      <w:r w:rsidRPr="00EF494A">
        <w:t xml:space="preserve"> million in 2012</w:t>
      </w:r>
      <w:r w:rsidR="00E43EDB" w:rsidRPr="00EF494A">
        <w:t>.</w:t>
      </w:r>
      <w:r w:rsidRPr="00EF494A">
        <w:t xml:space="preserve"> </w:t>
      </w:r>
      <w:r w:rsidR="00E43EDB" w:rsidRPr="00EF494A">
        <w:t>I</w:t>
      </w:r>
      <w:r w:rsidRPr="00EF494A">
        <w:t xml:space="preserve">nternational financial institutions – the Asian Development Bank and the World Bank – provided </w:t>
      </w:r>
      <w:r w:rsidR="00785A0D" w:rsidRPr="00EF494A">
        <w:t>A</w:t>
      </w:r>
      <w:r w:rsidRPr="00EF494A">
        <w:t>$</w:t>
      </w:r>
      <w:r w:rsidR="00785A0D" w:rsidRPr="00EF494A">
        <w:t>71.1</w:t>
      </w:r>
      <w:r w:rsidRPr="00EF494A">
        <w:t xml:space="preserve"> million and </w:t>
      </w:r>
      <w:r w:rsidR="00785A0D" w:rsidRPr="00EF494A">
        <w:t>A</w:t>
      </w:r>
      <w:r w:rsidRPr="00EF494A">
        <w:t>$</w:t>
      </w:r>
      <w:r w:rsidR="00785A0D" w:rsidRPr="00EF494A">
        <w:t>71</w:t>
      </w:r>
      <w:r w:rsidRPr="00EF494A">
        <w:t xml:space="preserve"> million respectively</w:t>
      </w:r>
      <w:r w:rsidR="004E0969" w:rsidRPr="00EF494A">
        <w:t xml:space="preserve"> (refer Table 1 below)</w:t>
      </w:r>
      <w:r w:rsidRPr="00EF494A">
        <w:t xml:space="preserve">.  </w:t>
      </w:r>
    </w:p>
    <w:tbl>
      <w:tblPr>
        <w:tblStyle w:val="APPR"/>
        <w:tblpPr w:leftFromText="180" w:rightFromText="180" w:vertAnchor="text" w:horzAnchor="margin" w:tblpY="569"/>
        <w:tblW w:w="5000" w:type="pct"/>
        <w:tblLayout w:type="fixed"/>
        <w:tblLook w:val="0000" w:firstRow="0" w:lastRow="0" w:firstColumn="0" w:lastColumn="0" w:noHBand="0" w:noVBand="0"/>
      </w:tblPr>
      <w:tblGrid>
        <w:gridCol w:w="2944"/>
        <w:gridCol w:w="2862"/>
        <w:gridCol w:w="2971"/>
      </w:tblGrid>
      <w:tr w:rsidR="00EB6139" w:rsidRPr="00EF494A" w:rsidTr="001A59FE">
        <w:trPr>
          <w:cnfStyle w:val="000000010000" w:firstRow="0" w:lastRow="0" w:firstColumn="0" w:lastColumn="0" w:oddVBand="0" w:evenVBand="0" w:oddHBand="0" w:evenHBand="1" w:firstRowFirstColumn="0" w:firstRowLastColumn="0" w:lastRowFirstColumn="0" w:lastRowLastColumn="0"/>
          <w:trHeight w:val="510"/>
        </w:trPr>
        <w:tc>
          <w:tcPr>
            <w:tcW w:w="2902" w:type="dxa"/>
          </w:tcPr>
          <w:p w:rsidR="00EB6139" w:rsidRPr="00EF494A" w:rsidRDefault="00EB6139" w:rsidP="00F614AD">
            <w:pPr>
              <w:pStyle w:val="TableTextColumnHeading"/>
            </w:pPr>
            <w:r w:rsidRPr="00EF494A">
              <w:t>Donor</w:t>
            </w:r>
          </w:p>
        </w:tc>
        <w:tc>
          <w:tcPr>
            <w:tcW w:w="2834" w:type="dxa"/>
          </w:tcPr>
          <w:p w:rsidR="00EB6139" w:rsidRPr="00EF494A" w:rsidRDefault="00E82CEC" w:rsidP="00986A81">
            <w:pPr>
              <w:pStyle w:val="TableTextColumnHeading"/>
              <w:jc w:val="center"/>
            </w:pPr>
            <w:r w:rsidRPr="00EF494A">
              <w:t>AUD</w:t>
            </w:r>
            <w:r w:rsidR="00EB6139" w:rsidRPr="00EF494A">
              <w:t xml:space="preserve"> million</w:t>
            </w:r>
          </w:p>
        </w:tc>
        <w:tc>
          <w:tcPr>
            <w:tcW w:w="2929" w:type="dxa"/>
          </w:tcPr>
          <w:p w:rsidR="00EB6139" w:rsidRPr="00EF494A" w:rsidRDefault="00EB6139" w:rsidP="00986A81">
            <w:pPr>
              <w:pStyle w:val="TableTextColumnHeading"/>
              <w:jc w:val="center"/>
            </w:pPr>
            <w:r w:rsidRPr="00EF494A">
              <w:t>Position</w:t>
            </w:r>
          </w:p>
        </w:tc>
      </w:tr>
      <w:tr w:rsidR="005C33B2" w:rsidRPr="00EF494A" w:rsidTr="00BF3ACD">
        <w:trPr>
          <w:cnfStyle w:val="000000010000" w:firstRow="0" w:lastRow="0" w:firstColumn="0" w:lastColumn="0" w:oddVBand="0" w:evenVBand="0" w:oddHBand="0" w:evenHBand="1" w:firstRowFirstColumn="0" w:firstRowLastColumn="0" w:lastRowFirstColumn="0" w:lastRowLastColumn="0"/>
        </w:trPr>
        <w:tc>
          <w:tcPr>
            <w:tcW w:w="2902" w:type="dxa"/>
            <w:vAlign w:val="bottom"/>
          </w:tcPr>
          <w:p w:rsidR="005C33B2" w:rsidRPr="00EF494A" w:rsidRDefault="005C33B2">
            <w:pPr>
              <w:rPr>
                <w:rFonts w:ascii="Franklin Gothic Book" w:eastAsia="Times New Roman" w:hAnsi="Franklin Gothic Book"/>
                <w:sz w:val="17"/>
                <w:szCs w:val="17"/>
              </w:rPr>
            </w:pPr>
            <w:r w:rsidRPr="00EF494A">
              <w:rPr>
                <w:rFonts w:ascii="Franklin Gothic Book" w:eastAsia="Times New Roman" w:hAnsi="Franklin Gothic Book"/>
                <w:sz w:val="17"/>
                <w:szCs w:val="17"/>
              </w:rPr>
              <w:t>Japan</w:t>
            </w:r>
          </w:p>
        </w:tc>
        <w:tc>
          <w:tcPr>
            <w:tcW w:w="2834" w:type="dxa"/>
            <w:vAlign w:val="bottom"/>
          </w:tcPr>
          <w:p w:rsidR="005C33B2" w:rsidRPr="00EF494A" w:rsidRDefault="005C33B2" w:rsidP="00E82CEC">
            <w:pPr>
              <w:jc w:val="center"/>
              <w:rPr>
                <w:rFonts w:ascii="Franklin Gothic Book" w:eastAsia="Times New Roman" w:hAnsi="Franklin Gothic Book"/>
                <w:sz w:val="17"/>
                <w:szCs w:val="17"/>
              </w:rPr>
            </w:pPr>
            <w:r w:rsidRPr="00EF494A">
              <w:rPr>
                <w:rFonts w:ascii="Franklin Gothic Book" w:eastAsia="Times New Roman" w:hAnsi="Franklin Gothic Book"/>
                <w:sz w:val="17"/>
                <w:szCs w:val="17"/>
              </w:rPr>
              <w:t>9</w:t>
            </w:r>
            <w:r w:rsidR="00E82CEC" w:rsidRPr="00EF494A">
              <w:rPr>
                <w:rFonts w:ascii="Franklin Gothic Book" w:eastAsia="Times New Roman" w:hAnsi="Franklin Gothic Book"/>
                <w:sz w:val="17"/>
                <w:szCs w:val="17"/>
              </w:rPr>
              <w:t>9</w:t>
            </w:r>
            <w:r w:rsidRPr="00EF494A">
              <w:rPr>
                <w:rFonts w:ascii="Franklin Gothic Book" w:eastAsia="Times New Roman" w:hAnsi="Franklin Gothic Book"/>
                <w:sz w:val="17"/>
                <w:szCs w:val="17"/>
              </w:rPr>
              <w:t>.</w:t>
            </w:r>
            <w:r w:rsidR="00E82CEC" w:rsidRPr="00EF494A">
              <w:rPr>
                <w:rFonts w:ascii="Franklin Gothic Book" w:eastAsia="Times New Roman" w:hAnsi="Franklin Gothic Book"/>
                <w:sz w:val="17"/>
                <w:szCs w:val="17"/>
              </w:rPr>
              <w:t>6</w:t>
            </w:r>
          </w:p>
        </w:tc>
        <w:tc>
          <w:tcPr>
            <w:tcW w:w="2929" w:type="dxa"/>
          </w:tcPr>
          <w:p w:rsidR="005C33B2" w:rsidRPr="00EF494A" w:rsidRDefault="005C33B2" w:rsidP="005C33B2">
            <w:pPr>
              <w:pStyle w:val="TableTextEntries"/>
              <w:jc w:val="center"/>
            </w:pPr>
            <w:r w:rsidRPr="00EF494A">
              <w:t>1</w:t>
            </w:r>
          </w:p>
        </w:tc>
      </w:tr>
      <w:tr w:rsidR="005C33B2" w:rsidRPr="00EF494A" w:rsidTr="00BF3ACD">
        <w:trPr>
          <w:cnfStyle w:val="000000010000" w:firstRow="0" w:lastRow="0" w:firstColumn="0" w:lastColumn="0" w:oddVBand="0" w:evenVBand="0" w:oddHBand="0" w:evenHBand="1" w:firstRowFirstColumn="0" w:firstRowLastColumn="0" w:lastRowFirstColumn="0" w:lastRowLastColumn="0"/>
        </w:trPr>
        <w:tc>
          <w:tcPr>
            <w:tcW w:w="2902" w:type="dxa"/>
            <w:vAlign w:val="bottom"/>
          </w:tcPr>
          <w:p w:rsidR="005C33B2" w:rsidRPr="00EF494A" w:rsidRDefault="005C33B2">
            <w:pPr>
              <w:rPr>
                <w:rFonts w:ascii="Franklin Gothic Book" w:eastAsia="Times New Roman" w:hAnsi="Franklin Gothic Book"/>
                <w:sz w:val="17"/>
                <w:szCs w:val="17"/>
              </w:rPr>
            </w:pPr>
            <w:r w:rsidRPr="00EF494A">
              <w:rPr>
                <w:rFonts w:ascii="Franklin Gothic Book" w:eastAsia="Times New Roman" w:hAnsi="Franklin Gothic Book"/>
                <w:sz w:val="17"/>
                <w:szCs w:val="17"/>
              </w:rPr>
              <w:t>ADB Special Funds</w:t>
            </w:r>
          </w:p>
        </w:tc>
        <w:tc>
          <w:tcPr>
            <w:tcW w:w="2834" w:type="dxa"/>
            <w:vAlign w:val="bottom"/>
          </w:tcPr>
          <w:p w:rsidR="005C33B2" w:rsidRPr="00EF494A" w:rsidRDefault="00E82CEC" w:rsidP="005C33B2">
            <w:pPr>
              <w:jc w:val="center"/>
              <w:rPr>
                <w:rFonts w:ascii="Franklin Gothic Book" w:eastAsia="Times New Roman" w:hAnsi="Franklin Gothic Book"/>
                <w:sz w:val="17"/>
                <w:szCs w:val="17"/>
              </w:rPr>
            </w:pPr>
            <w:r w:rsidRPr="00EF494A">
              <w:rPr>
                <w:rFonts w:ascii="Franklin Gothic Book" w:eastAsia="Times New Roman" w:hAnsi="Franklin Gothic Book"/>
                <w:sz w:val="17"/>
                <w:szCs w:val="17"/>
              </w:rPr>
              <w:t>71.1</w:t>
            </w:r>
          </w:p>
        </w:tc>
        <w:tc>
          <w:tcPr>
            <w:tcW w:w="2929" w:type="dxa"/>
          </w:tcPr>
          <w:p w:rsidR="005C33B2" w:rsidRPr="00EF494A" w:rsidRDefault="005C33B2" w:rsidP="005C33B2">
            <w:pPr>
              <w:pStyle w:val="TableTextEntries"/>
              <w:jc w:val="center"/>
            </w:pPr>
            <w:r w:rsidRPr="00EF494A">
              <w:t>2</w:t>
            </w:r>
          </w:p>
        </w:tc>
      </w:tr>
      <w:tr w:rsidR="005C33B2" w:rsidRPr="00EF494A" w:rsidTr="00BF3ACD">
        <w:trPr>
          <w:cnfStyle w:val="000000010000" w:firstRow="0" w:lastRow="0" w:firstColumn="0" w:lastColumn="0" w:oddVBand="0" w:evenVBand="0" w:oddHBand="0" w:evenHBand="1" w:firstRowFirstColumn="0" w:firstRowLastColumn="0" w:lastRowFirstColumn="0" w:lastRowLastColumn="0"/>
        </w:trPr>
        <w:tc>
          <w:tcPr>
            <w:tcW w:w="2902" w:type="dxa"/>
            <w:vAlign w:val="bottom"/>
          </w:tcPr>
          <w:p w:rsidR="005C33B2" w:rsidRPr="00EF494A" w:rsidRDefault="005C33B2">
            <w:pPr>
              <w:rPr>
                <w:rFonts w:ascii="Franklin Gothic Book" w:eastAsia="Times New Roman" w:hAnsi="Franklin Gothic Book"/>
                <w:sz w:val="17"/>
                <w:szCs w:val="17"/>
              </w:rPr>
            </w:pPr>
            <w:r w:rsidRPr="00EF494A">
              <w:rPr>
                <w:rFonts w:ascii="Franklin Gothic Book" w:eastAsia="Times New Roman" w:hAnsi="Franklin Gothic Book"/>
                <w:sz w:val="17"/>
                <w:szCs w:val="17"/>
              </w:rPr>
              <w:t>IDA</w:t>
            </w:r>
            <w:r w:rsidR="0025334D" w:rsidRPr="00EF494A">
              <w:rPr>
                <w:rFonts w:ascii="Franklin Gothic Book" w:eastAsia="Times New Roman" w:hAnsi="Franklin Gothic Book"/>
                <w:sz w:val="17"/>
                <w:szCs w:val="17"/>
              </w:rPr>
              <w:t xml:space="preserve"> World Bank</w:t>
            </w:r>
          </w:p>
        </w:tc>
        <w:tc>
          <w:tcPr>
            <w:tcW w:w="2834" w:type="dxa"/>
            <w:vAlign w:val="bottom"/>
          </w:tcPr>
          <w:p w:rsidR="005C33B2" w:rsidRPr="00EF494A" w:rsidRDefault="00E82CEC" w:rsidP="00E82CEC">
            <w:pPr>
              <w:jc w:val="center"/>
              <w:rPr>
                <w:rFonts w:ascii="Franklin Gothic Book" w:eastAsia="Times New Roman" w:hAnsi="Franklin Gothic Book"/>
                <w:sz w:val="17"/>
                <w:szCs w:val="17"/>
              </w:rPr>
            </w:pPr>
            <w:r w:rsidRPr="00EF494A">
              <w:rPr>
                <w:rFonts w:ascii="Franklin Gothic Book" w:eastAsia="Times New Roman" w:hAnsi="Franklin Gothic Book"/>
                <w:sz w:val="17"/>
                <w:szCs w:val="17"/>
              </w:rPr>
              <w:t>71.0</w:t>
            </w:r>
          </w:p>
        </w:tc>
        <w:tc>
          <w:tcPr>
            <w:tcW w:w="2929" w:type="dxa"/>
          </w:tcPr>
          <w:p w:rsidR="005C33B2" w:rsidRPr="00EF494A" w:rsidRDefault="005C33B2" w:rsidP="005C33B2">
            <w:pPr>
              <w:pStyle w:val="TableTextEntries"/>
              <w:jc w:val="center"/>
            </w:pPr>
            <w:r w:rsidRPr="00EF494A">
              <w:t>3</w:t>
            </w:r>
          </w:p>
        </w:tc>
      </w:tr>
      <w:tr w:rsidR="005C33B2" w:rsidRPr="00EF494A" w:rsidTr="00BF3ACD">
        <w:trPr>
          <w:cnfStyle w:val="000000010000" w:firstRow="0" w:lastRow="0" w:firstColumn="0" w:lastColumn="0" w:oddVBand="0" w:evenVBand="0" w:oddHBand="0" w:evenHBand="1" w:firstRowFirstColumn="0" w:firstRowLastColumn="0" w:lastRowFirstColumn="0" w:lastRowLastColumn="0"/>
        </w:trPr>
        <w:tc>
          <w:tcPr>
            <w:tcW w:w="2902" w:type="dxa"/>
            <w:vAlign w:val="bottom"/>
          </w:tcPr>
          <w:p w:rsidR="005C33B2" w:rsidRPr="00EF494A" w:rsidRDefault="005C33B2">
            <w:pPr>
              <w:rPr>
                <w:rFonts w:ascii="Franklin Gothic Book" w:eastAsia="Times New Roman" w:hAnsi="Franklin Gothic Book"/>
                <w:sz w:val="17"/>
                <w:szCs w:val="17"/>
              </w:rPr>
            </w:pPr>
            <w:r w:rsidRPr="00EF494A">
              <w:rPr>
                <w:rFonts w:ascii="Franklin Gothic Book" w:eastAsia="Times New Roman" w:hAnsi="Franklin Gothic Book"/>
                <w:sz w:val="17"/>
                <w:szCs w:val="17"/>
              </w:rPr>
              <w:t>Australia</w:t>
            </w:r>
          </w:p>
        </w:tc>
        <w:tc>
          <w:tcPr>
            <w:tcW w:w="2834" w:type="dxa"/>
            <w:vAlign w:val="bottom"/>
          </w:tcPr>
          <w:p w:rsidR="005C33B2" w:rsidRPr="00EF494A" w:rsidRDefault="00E82CEC" w:rsidP="00E82CEC">
            <w:pPr>
              <w:jc w:val="center"/>
              <w:rPr>
                <w:rFonts w:ascii="Franklin Gothic Book" w:eastAsia="Times New Roman" w:hAnsi="Franklin Gothic Book"/>
                <w:sz w:val="17"/>
                <w:szCs w:val="17"/>
              </w:rPr>
            </w:pPr>
            <w:r w:rsidRPr="00EF494A">
              <w:rPr>
                <w:rFonts w:ascii="Franklin Gothic Book" w:eastAsia="Times New Roman" w:hAnsi="Franklin Gothic Book"/>
                <w:sz w:val="17"/>
                <w:szCs w:val="17"/>
              </w:rPr>
              <w:t>57</w:t>
            </w:r>
            <w:r w:rsidR="005C33B2" w:rsidRPr="00EF494A">
              <w:rPr>
                <w:rFonts w:ascii="Franklin Gothic Book" w:eastAsia="Times New Roman" w:hAnsi="Franklin Gothic Book"/>
                <w:sz w:val="17"/>
                <w:szCs w:val="17"/>
              </w:rPr>
              <w:t>.</w:t>
            </w:r>
            <w:r w:rsidRPr="00EF494A">
              <w:rPr>
                <w:rFonts w:ascii="Franklin Gothic Book" w:eastAsia="Times New Roman" w:hAnsi="Franklin Gothic Book"/>
                <w:sz w:val="17"/>
                <w:szCs w:val="17"/>
              </w:rPr>
              <w:t>5</w:t>
            </w:r>
          </w:p>
        </w:tc>
        <w:tc>
          <w:tcPr>
            <w:tcW w:w="2929" w:type="dxa"/>
          </w:tcPr>
          <w:p w:rsidR="005C33B2" w:rsidRPr="00EF494A" w:rsidRDefault="005C33B2" w:rsidP="005C33B2">
            <w:pPr>
              <w:pStyle w:val="TableTextEntries"/>
              <w:jc w:val="center"/>
            </w:pPr>
            <w:r w:rsidRPr="00EF494A">
              <w:t>4</w:t>
            </w:r>
          </w:p>
        </w:tc>
      </w:tr>
      <w:tr w:rsidR="005C33B2" w:rsidRPr="00EF494A" w:rsidTr="00BF3ACD">
        <w:trPr>
          <w:cnfStyle w:val="000000010000" w:firstRow="0" w:lastRow="0" w:firstColumn="0" w:lastColumn="0" w:oddVBand="0" w:evenVBand="0" w:oddHBand="0" w:evenHBand="1" w:firstRowFirstColumn="0" w:firstRowLastColumn="0" w:lastRowFirstColumn="0" w:lastRowLastColumn="0"/>
        </w:trPr>
        <w:tc>
          <w:tcPr>
            <w:tcW w:w="2902" w:type="dxa"/>
            <w:vAlign w:val="bottom"/>
          </w:tcPr>
          <w:p w:rsidR="005C33B2" w:rsidRPr="00EF494A" w:rsidRDefault="005C33B2">
            <w:pPr>
              <w:rPr>
                <w:rFonts w:ascii="Franklin Gothic Book" w:eastAsia="Times New Roman" w:hAnsi="Franklin Gothic Book"/>
                <w:sz w:val="17"/>
                <w:szCs w:val="17"/>
              </w:rPr>
            </w:pPr>
            <w:r w:rsidRPr="00EF494A">
              <w:rPr>
                <w:rFonts w:ascii="Franklin Gothic Book" w:eastAsia="Times New Roman" w:hAnsi="Franklin Gothic Book"/>
                <w:sz w:val="17"/>
                <w:szCs w:val="17"/>
              </w:rPr>
              <w:t>Germany</w:t>
            </w:r>
          </w:p>
        </w:tc>
        <w:tc>
          <w:tcPr>
            <w:tcW w:w="2834" w:type="dxa"/>
            <w:vAlign w:val="bottom"/>
          </w:tcPr>
          <w:p w:rsidR="005C33B2" w:rsidRPr="00EF494A" w:rsidRDefault="005C33B2" w:rsidP="00E82CEC">
            <w:pPr>
              <w:jc w:val="center"/>
              <w:rPr>
                <w:rFonts w:ascii="Franklin Gothic Book" w:eastAsia="Times New Roman" w:hAnsi="Franklin Gothic Book"/>
                <w:sz w:val="17"/>
                <w:szCs w:val="17"/>
              </w:rPr>
            </w:pPr>
            <w:r w:rsidRPr="00EF494A">
              <w:rPr>
                <w:rFonts w:ascii="Franklin Gothic Book" w:eastAsia="Times New Roman" w:hAnsi="Franklin Gothic Book"/>
                <w:sz w:val="17"/>
                <w:szCs w:val="17"/>
              </w:rPr>
              <w:t>3</w:t>
            </w:r>
            <w:r w:rsidR="00E82CEC" w:rsidRPr="00EF494A">
              <w:rPr>
                <w:rFonts w:ascii="Franklin Gothic Book" w:eastAsia="Times New Roman" w:hAnsi="Franklin Gothic Book"/>
                <w:sz w:val="17"/>
                <w:szCs w:val="17"/>
              </w:rPr>
              <w:t>3</w:t>
            </w:r>
            <w:r w:rsidRPr="00EF494A">
              <w:rPr>
                <w:rFonts w:ascii="Franklin Gothic Book" w:eastAsia="Times New Roman" w:hAnsi="Franklin Gothic Book"/>
                <w:sz w:val="17"/>
                <w:szCs w:val="17"/>
              </w:rPr>
              <w:t>.</w:t>
            </w:r>
            <w:r w:rsidR="00E82CEC" w:rsidRPr="00EF494A">
              <w:rPr>
                <w:rFonts w:ascii="Franklin Gothic Book" w:eastAsia="Times New Roman" w:hAnsi="Franklin Gothic Book"/>
                <w:sz w:val="17"/>
                <w:szCs w:val="17"/>
              </w:rPr>
              <w:t>7</w:t>
            </w:r>
          </w:p>
        </w:tc>
        <w:tc>
          <w:tcPr>
            <w:tcW w:w="2929" w:type="dxa"/>
          </w:tcPr>
          <w:p w:rsidR="005C33B2" w:rsidRPr="00EF494A" w:rsidRDefault="005C33B2" w:rsidP="005C33B2">
            <w:pPr>
              <w:pStyle w:val="TableTextEntries"/>
              <w:jc w:val="center"/>
            </w:pPr>
            <w:r w:rsidRPr="00EF494A">
              <w:t>5</w:t>
            </w:r>
          </w:p>
        </w:tc>
      </w:tr>
      <w:tr w:rsidR="005C33B2" w:rsidRPr="00EF494A" w:rsidTr="00BF3ACD">
        <w:trPr>
          <w:cnfStyle w:val="000000010000" w:firstRow="0" w:lastRow="0" w:firstColumn="0" w:lastColumn="0" w:oddVBand="0" w:evenVBand="0" w:oddHBand="0" w:evenHBand="1" w:firstRowFirstColumn="0" w:firstRowLastColumn="0" w:lastRowFirstColumn="0" w:lastRowLastColumn="0"/>
        </w:trPr>
        <w:tc>
          <w:tcPr>
            <w:tcW w:w="2902" w:type="dxa"/>
            <w:vAlign w:val="bottom"/>
          </w:tcPr>
          <w:p w:rsidR="005C33B2" w:rsidRPr="00EF494A" w:rsidRDefault="005C33B2">
            <w:pPr>
              <w:rPr>
                <w:rFonts w:ascii="Franklin Gothic Book" w:eastAsia="Times New Roman" w:hAnsi="Franklin Gothic Book"/>
                <w:sz w:val="17"/>
                <w:szCs w:val="17"/>
              </w:rPr>
            </w:pPr>
            <w:r w:rsidRPr="00EF494A">
              <w:rPr>
                <w:rFonts w:ascii="Franklin Gothic Book" w:eastAsia="Times New Roman" w:hAnsi="Franklin Gothic Book"/>
                <w:sz w:val="17"/>
                <w:szCs w:val="17"/>
              </w:rPr>
              <w:t>Korea</w:t>
            </w:r>
          </w:p>
        </w:tc>
        <w:tc>
          <w:tcPr>
            <w:tcW w:w="2834" w:type="dxa"/>
            <w:vAlign w:val="bottom"/>
          </w:tcPr>
          <w:p w:rsidR="005C33B2" w:rsidRPr="00EF494A" w:rsidRDefault="005C33B2" w:rsidP="00E82CEC">
            <w:pPr>
              <w:jc w:val="center"/>
              <w:rPr>
                <w:rFonts w:ascii="Franklin Gothic Book" w:eastAsia="Times New Roman" w:hAnsi="Franklin Gothic Book"/>
                <w:sz w:val="17"/>
                <w:szCs w:val="17"/>
              </w:rPr>
            </w:pPr>
            <w:r w:rsidRPr="00EF494A">
              <w:rPr>
                <w:rFonts w:ascii="Franklin Gothic Book" w:eastAsia="Times New Roman" w:hAnsi="Franklin Gothic Book"/>
                <w:sz w:val="17"/>
                <w:szCs w:val="17"/>
              </w:rPr>
              <w:t>2</w:t>
            </w:r>
            <w:r w:rsidR="00E82CEC" w:rsidRPr="00EF494A">
              <w:rPr>
                <w:rFonts w:ascii="Franklin Gothic Book" w:eastAsia="Times New Roman" w:hAnsi="Franklin Gothic Book"/>
                <w:sz w:val="17"/>
                <w:szCs w:val="17"/>
              </w:rPr>
              <w:t>5</w:t>
            </w:r>
            <w:r w:rsidRPr="00EF494A">
              <w:rPr>
                <w:rFonts w:ascii="Franklin Gothic Book" w:eastAsia="Times New Roman" w:hAnsi="Franklin Gothic Book"/>
                <w:sz w:val="17"/>
                <w:szCs w:val="17"/>
              </w:rPr>
              <w:t>.</w:t>
            </w:r>
            <w:r w:rsidR="00E82CEC" w:rsidRPr="00EF494A">
              <w:rPr>
                <w:rFonts w:ascii="Franklin Gothic Book" w:eastAsia="Times New Roman" w:hAnsi="Franklin Gothic Book"/>
                <w:sz w:val="17"/>
                <w:szCs w:val="17"/>
              </w:rPr>
              <w:t>1</w:t>
            </w:r>
          </w:p>
        </w:tc>
        <w:tc>
          <w:tcPr>
            <w:tcW w:w="2929" w:type="dxa"/>
          </w:tcPr>
          <w:p w:rsidR="005C33B2" w:rsidRPr="00EF494A" w:rsidRDefault="005C33B2" w:rsidP="005C33B2">
            <w:pPr>
              <w:pStyle w:val="TableTextEntries"/>
              <w:jc w:val="center"/>
            </w:pPr>
            <w:r w:rsidRPr="00EF494A">
              <w:t>6</w:t>
            </w:r>
          </w:p>
        </w:tc>
      </w:tr>
      <w:tr w:rsidR="005C33B2" w:rsidRPr="00EF494A" w:rsidTr="00BF3ACD">
        <w:trPr>
          <w:cnfStyle w:val="000000010000" w:firstRow="0" w:lastRow="0" w:firstColumn="0" w:lastColumn="0" w:oddVBand="0" w:evenVBand="0" w:oddHBand="0" w:evenHBand="1" w:firstRowFirstColumn="0" w:firstRowLastColumn="0" w:lastRowFirstColumn="0" w:lastRowLastColumn="0"/>
        </w:trPr>
        <w:tc>
          <w:tcPr>
            <w:tcW w:w="2902" w:type="dxa"/>
            <w:vAlign w:val="bottom"/>
          </w:tcPr>
          <w:p w:rsidR="005C33B2" w:rsidRPr="00EF494A" w:rsidRDefault="005C33B2">
            <w:pPr>
              <w:rPr>
                <w:rFonts w:ascii="Franklin Gothic Book" w:eastAsia="Times New Roman" w:hAnsi="Franklin Gothic Book"/>
                <w:sz w:val="17"/>
                <w:szCs w:val="17"/>
              </w:rPr>
            </w:pPr>
            <w:r w:rsidRPr="00EF494A">
              <w:rPr>
                <w:rFonts w:ascii="Franklin Gothic Book" w:eastAsia="Times New Roman" w:hAnsi="Franklin Gothic Book"/>
                <w:sz w:val="17"/>
                <w:szCs w:val="17"/>
              </w:rPr>
              <w:t>Switzerland</w:t>
            </w:r>
          </w:p>
        </w:tc>
        <w:tc>
          <w:tcPr>
            <w:tcW w:w="2834" w:type="dxa"/>
            <w:vAlign w:val="bottom"/>
          </w:tcPr>
          <w:p w:rsidR="005C33B2" w:rsidRPr="00EF494A" w:rsidRDefault="005C33B2" w:rsidP="00E82CEC">
            <w:pPr>
              <w:jc w:val="center"/>
              <w:rPr>
                <w:rFonts w:ascii="Franklin Gothic Book" w:eastAsia="Times New Roman" w:hAnsi="Franklin Gothic Book"/>
                <w:sz w:val="17"/>
                <w:szCs w:val="17"/>
              </w:rPr>
            </w:pPr>
            <w:r w:rsidRPr="00EF494A">
              <w:rPr>
                <w:rFonts w:ascii="Franklin Gothic Book" w:eastAsia="Times New Roman" w:hAnsi="Franklin Gothic Book"/>
                <w:sz w:val="17"/>
                <w:szCs w:val="17"/>
              </w:rPr>
              <w:t>2</w:t>
            </w:r>
            <w:r w:rsidR="00E82CEC" w:rsidRPr="00EF494A">
              <w:rPr>
                <w:rFonts w:ascii="Franklin Gothic Book" w:eastAsia="Times New Roman" w:hAnsi="Franklin Gothic Book"/>
                <w:sz w:val="17"/>
                <w:szCs w:val="17"/>
              </w:rPr>
              <w:t>2</w:t>
            </w:r>
            <w:r w:rsidRPr="00EF494A">
              <w:rPr>
                <w:rFonts w:ascii="Franklin Gothic Book" w:eastAsia="Times New Roman" w:hAnsi="Franklin Gothic Book"/>
                <w:sz w:val="17"/>
                <w:szCs w:val="17"/>
              </w:rPr>
              <w:t>.</w:t>
            </w:r>
            <w:r w:rsidR="00E82CEC" w:rsidRPr="00EF494A">
              <w:rPr>
                <w:rFonts w:ascii="Franklin Gothic Book" w:eastAsia="Times New Roman" w:hAnsi="Franklin Gothic Book"/>
                <w:sz w:val="17"/>
                <w:szCs w:val="17"/>
              </w:rPr>
              <w:t>2</w:t>
            </w:r>
          </w:p>
        </w:tc>
        <w:tc>
          <w:tcPr>
            <w:tcW w:w="2929" w:type="dxa"/>
          </w:tcPr>
          <w:p w:rsidR="005C33B2" w:rsidRPr="00EF494A" w:rsidRDefault="005C33B2" w:rsidP="005C33B2">
            <w:pPr>
              <w:pStyle w:val="TableTextEntries"/>
              <w:jc w:val="center"/>
            </w:pPr>
            <w:r w:rsidRPr="00EF494A">
              <w:t>7</w:t>
            </w:r>
          </w:p>
        </w:tc>
      </w:tr>
      <w:tr w:rsidR="005C33B2" w:rsidRPr="00EF494A" w:rsidTr="00BF3ACD">
        <w:trPr>
          <w:cnfStyle w:val="000000010000" w:firstRow="0" w:lastRow="0" w:firstColumn="0" w:lastColumn="0" w:oddVBand="0" w:evenVBand="0" w:oddHBand="0" w:evenHBand="1" w:firstRowFirstColumn="0" w:firstRowLastColumn="0" w:lastRowFirstColumn="0" w:lastRowLastColumn="0"/>
        </w:trPr>
        <w:tc>
          <w:tcPr>
            <w:tcW w:w="2902" w:type="dxa"/>
            <w:vAlign w:val="bottom"/>
          </w:tcPr>
          <w:p w:rsidR="005C33B2" w:rsidRPr="00EF494A" w:rsidRDefault="005C33B2">
            <w:pPr>
              <w:rPr>
                <w:rFonts w:ascii="Franklin Gothic Book" w:eastAsia="Times New Roman" w:hAnsi="Franklin Gothic Book"/>
                <w:sz w:val="17"/>
                <w:szCs w:val="17"/>
              </w:rPr>
            </w:pPr>
            <w:r w:rsidRPr="00EF494A">
              <w:rPr>
                <w:rFonts w:ascii="Franklin Gothic Book" w:eastAsia="Times New Roman" w:hAnsi="Franklin Gothic Book"/>
                <w:sz w:val="17"/>
                <w:szCs w:val="17"/>
              </w:rPr>
              <w:t>Luxembourg</w:t>
            </w:r>
          </w:p>
        </w:tc>
        <w:tc>
          <w:tcPr>
            <w:tcW w:w="2834" w:type="dxa"/>
            <w:vAlign w:val="bottom"/>
          </w:tcPr>
          <w:p w:rsidR="005C33B2" w:rsidRPr="00EF494A" w:rsidRDefault="005C33B2" w:rsidP="00E82CEC">
            <w:pPr>
              <w:jc w:val="center"/>
              <w:rPr>
                <w:rFonts w:ascii="Franklin Gothic Book" w:eastAsia="Times New Roman" w:hAnsi="Franklin Gothic Book"/>
                <w:sz w:val="17"/>
                <w:szCs w:val="17"/>
              </w:rPr>
            </w:pPr>
            <w:r w:rsidRPr="00EF494A">
              <w:rPr>
                <w:rFonts w:ascii="Franklin Gothic Book" w:eastAsia="Times New Roman" w:hAnsi="Franklin Gothic Book"/>
                <w:sz w:val="17"/>
                <w:szCs w:val="17"/>
              </w:rPr>
              <w:t>1</w:t>
            </w:r>
            <w:r w:rsidR="00E82CEC" w:rsidRPr="00EF494A">
              <w:rPr>
                <w:rFonts w:ascii="Franklin Gothic Book" w:eastAsia="Times New Roman" w:hAnsi="Franklin Gothic Book"/>
                <w:sz w:val="17"/>
                <w:szCs w:val="17"/>
              </w:rPr>
              <w:t>7</w:t>
            </w:r>
            <w:r w:rsidRPr="00EF494A">
              <w:rPr>
                <w:rFonts w:ascii="Franklin Gothic Book" w:eastAsia="Times New Roman" w:hAnsi="Franklin Gothic Book"/>
                <w:sz w:val="17"/>
                <w:szCs w:val="17"/>
              </w:rPr>
              <w:t>.</w:t>
            </w:r>
            <w:r w:rsidR="00E82CEC" w:rsidRPr="00EF494A">
              <w:rPr>
                <w:rFonts w:ascii="Franklin Gothic Book" w:eastAsia="Times New Roman" w:hAnsi="Franklin Gothic Book"/>
                <w:sz w:val="17"/>
                <w:szCs w:val="17"/>
              </w:rPr>
              <w:t>9</w:t>
            </w:r>
          </w:p>
        </w:tc>
        <w:tc>
          <w:tcPr>
            <w:tcW w:w="2929" w:type="dxa"/>
          </w:tcPr>
          <w:p w:rsidR="005C33B2" w:rsidRPr="00EF494A" w:rsidRDefault="005C33B2" w:rsidP="005C33B2">
            <w:pPr>
              <w:pStyle w:val="TableTextEntries"/>
              <w:jc w:val="center"/>
            </w:pPr>
            <w:r w:rsidRPr="00EF494A">
              <w:t>8</w:t>
            </w:r>
          </w:p>
        </w:tc>
      </w:tr>
      <w:tr w:rsidR="005C33B2" w:rsidRPr="00EF494A" w:rsidTr="00BF3ACD">
        <w:trPr>
          <w:cnfStyle w:val="000000010000" w:firstRow="0" w:lastRow="0" w:firstColumn="0" w:lastColumn="0" w:oddVBand="0" w:evenVBand="0" w:oddHBand="0" w:evenHBand="1" w:firstRowFirstColumn="0" w:firstRowLastColumn="0" w:lastRowFirstColumn="0" w:lastRowLastColumn="0"/>
        </w:trPr>
        <w:tc>
          <w:tcPr>
            <w:tcW w:w="2902" w:type="dxa"/>
            <w:vAlign w:val="bottom"/>
          </w:tcPr>
          <w:p w:rsidR="005C33B2" w:rsidRPr="00EF494A" w:rsidRDefault="005C33B2">
            <w:pPr>
              <w:rPr>
                <w:rFonts w:ascii="Franklin Gothic Book" w:eastAsia="Times New Roman" w:hAnsi="Franklin Gothic Book"/>
                <w:sz w:val="17"/>
                <w:szCs w:val="17"/>
              </w:rPr>
            </w:pPr>
            <w:r w:rsidRPr="00EF494A">
              <w:rPr>
                <w:rFonts w:ascii="Franklin Gothic Book" w:eastAsia="Times New Roman" w:hAnsi="Franklin Gothic Book"/>
                <w:sz w:val="17"/>
                <w:szCs w:val="17"/>
              </w:rPr>
              <w:t>France</w:t>
            </w:r>
          </w:p>
        </w:tc>
        <w:tc>
          <w:tcPr>
            <w:tcW w:w="2834" w:type="dxa"/>
            <w:vAlign w:val="bottom"/>
          </w:tcPr>
          <w:p w:rsidR="005C33B2" w:rsidRPr="00EF494A" w:rsidRDefault="005C33B2" w:rsidP="00E82CEC">
            <w:pPr>
              <w:jc w:val="center"/>
              <w:rPr>
                <w:rFonts w:ascii="Franklin Gothic Book" w:eastAsia="Times New Roman" w:hAnsi="Franklin Gothic Book"/>
                <w:sz w:val="17"/>
                <w:szCs w:val="17"/>
              </w:rPr>
            </w:pPr>
            <w:r w:rsidRPr="00EF494A">
              <w:rPr>
                <w:rFonts w:ascii="Franklin Gothic Book" w:eastAsia="Times New Roman" w:hAnsi="Franklin Gothic Book"/>
                <w:sz w:val="17"/>
                <w:szCs w:val="17"/>
              </w:rPr>
              <w:t>1</w:t>
            </w:r>
            <w:r w:rsidR="00E82CEC" w:rsidRPr="00EF494A">
              <w:rPr>
                <w:rFonts w:ascii="Franklin Gothic Book" w:eastAsia="Times New Roman" w:hAnsi="Franklin Gothic Book"/>
                <w:sz w:val="17"/>
                <w:szCs w:val="17"/>
              </w:rPr>
              <w:t>5</w:t>
            </w:r>
            <w:r w:rsidRPr="00EF494A">
              <w:rPr>
                <w:rFonts w:ascii="Franklin Gothic Book" w:eastAsia="Times New Roman" w:hAnsi="Franklin Gothic Book"/>
                <w:sz w:val="17"/>
                <w:szCs w:val="17"/>
              </w:rPr>
              <w:t>.7</w:t>
            </w:r>
          </w:p>
        </w:tc>
        <w:tc>
          <w:tcPr>
            <w:tcW w:w="2929" w:type="dxa"/>
          </w:tcPr>
          <w:p w:rsidR="005C33B2" w:rsidRPr="00EF494A" w:rsidRDefault="005C33B2" w:rsidP="005C33B2">
            <w:pPr>
              <w:pStyle w:val="TableTextEntries"/>
              <w:jc w:val="center"/>
            </w:pPr>
            <w:r w:rsidRPr="00EF494A">
              <w:t>9</w:t>
            </w:r>
          </w:p>
        </w:tc>
      </w:tr>
      <w:tr w:rsidR="005C33B2" w:rsidRPr="00EF494A" w:rsidTr="00BF3ACD">
        <w:trPr>
          <w:cnfStyle w:val="000000010000" w:firstRow="0" w:lastRow="0" w:firstColumn="0" w:lastColumn="0" w:oddVBand="0" w:evenVBand="0" w:oddHBand="0" w:evenHBand="1" w:firstRowFirstColumn="0" w:firstRowLastColumn="0" w:lastRowFirstColumn="0" w:lastRowLastColumn="0"/>
        </w:trPr>
        <w:tc>
          <w:tcPr>
            <w:tcW w:w="2902" w:type="dxa"/>
            <w:vAlign w:val="bottom"/>
          </w:tcPr>
          <w:p w:rsidR="005C33B2" w:rsidRPr="00EF494A" w:rsidRDefault="005C33B2">
            <w:pPr>
              <w:rPr>
                <w:rFonts w:ascii="Franklin Gothic Book" w:eastAsia="Times New Roman" w:hAnsi="Franklin Gothic Book"/>
                <w:sz w:val="17"/>
                <w:szCs w:val="17"/>
              </w:rPr>
            </w:pPr>
            <w:r w:rsidRPr="00EF494A">
              <w:rPr>
                <w:rFonts w:ascii="Franklin Gothic Book" w:eastAsia="Times New Roman" w:hAnsi="Franklin Gothic Book"/>
                <w:sz w:val="17"/>
                <w:szCs w:val="17"/>
              </w:rPr>
              <w:t>EU Institutions</w:t>
            </w:r>
          </w:p>
        </w:tc>
        <w:tc>
          <w:tcPr>
            <w:tcW w:w="2834" w:type="dxa"/>
            <w:vAlign w:val="bottom"/>
          </w:tcPr>
          <w:p w:rsidR="005C33B2" w:rsidRPr="00EF494A" w:rsidRDefault="005C33B2" w:rsidP="00E82CEC">
            <w:pPr>
              <w:jc w:val="center"/>
              <w:rPr>
                <w:rFonts w:ascii="Franklin Gothic Book" w:eastAsia="Times New Roman" w:hAnsi="Franklin Gothic Book"/>
                <w:sz w:val="17"/>
                <w:szCs w:val="17"/>
              </w:rPr>
            </w:pPr>
            <w:r w:rsidRPr="00EF494A">
              <w:rPr>
                <w:rFonts w:ascii="Franklin Gothic Book" w:eastAsia="Times New Roman" w:hAnsi="Franklin Gothic Book"/>
                <w:sz w:val="17"/>
                <w:szCs w:val="17"/>
              </w:rPr>
              <w:t>1</w:t>
            </w:r>
            <w:r w:rsidR="00E82CEC" w:rsidRPr="00EF494A">
              <w:rPr>
                <w:rFonts w:ascii="Franklin Gothic Book" w:eastAsia="Times New Roman" w:hAnsi="Franklin Gothic Book"/>
                <w:sz w:val="17"/>
                <w:szCs w:val="17"/>
              </w:rPr>
              <w:t>4</w:t>
            </w:r>
            <w:r w:rsidRPr="00EF494A">
              <w:rPr>
                <w:rFonts w:ascii="Franklin Gothic Book" w:eastAsia="Times New Roman" w:hAnsi="Franklin Gothic Book"/>
                <w:sz w:val="17"/>
                <w:szCs w:val="17"/>
              </w:rPr>
              <w:t>.</w:t>
            </w:r>
            <w:r w:rsidR="00E82CEC" w:rsidRPr="00EF494A">
              <w:rPr>
                <w:rFonts w:ascii="Franklin Gothic Book" w:eastAsia="Times New Roman" w:hAnsi="Franklin Gothic Book"/>
                <w:sz w:val="17"/>
                <w:szCs w:val="17"/>
              </w:rPr>
              <w:t>0</w:t>
            </w:r>
          </w:p>
        </w:tc>
        <w:tc>
          <w:tcPr>
            <w:tcW w:w="2929" w:type="dxa"/>
          </w:tcPr>
          <w:p w:rsidR="005C33B2" w:rsidRPr="00EF494A" w:rsidRDefault="005C33B2" w:rsidP="005C33B2">
            <w:pPr>
              <w:pStyle w:val="TableTextEntries"/>
              <w:jc w:val="center"/>
            </w:pPr>
            <w:r w:rsidRPr="00EF494A">
              <w:t>10</w:t>
            </w:r>
          </w:p>
        </w:tc>
      </w:tr>
    </w:tbl>
    <w:p w:rsidR="005C33B2" w:rsidRPr="00EF494A" w:rsidRDefault="00EB6139" w:rsidP="001B554C">
      <w:pPr>
        <w:pStyle w:val="Caption"/>
      </w:pPr>
      <w:r w:rsidRPr="00EF494A">
        <w:t xml:space="preserve">Table </w:t>
      </w:r>
      <w:fldSimple w:instr=" SEQ Table \* ARABIC ">
        <w:r w:rsidR="00C559C1">
          <w:rPr>
            <w:noProof/>
          </w:rPr>
          <w:t>1</w:t>
        </w:r>
      </w:fldSimple>
      <w:r w:rsidRPr="00EF494A">
        <w:t xml:space="preserve"> </w:t>
      </w:r>
      <w:r w:rsidR="006C1ECA" w:rsidRPr="00EF494A">
        <w:t>Comparison of Australia’s ODA to Lao PDR with</w:t>
      </w:r>
      <w:r w:rsidR="001113C8" w:rsidRPr="00EF494A">
        <w:t>in</w:t>
      </w:r>
      <w:r w:rsidR="006C1ECA" w:rsidRPr="00EF494A">
        <w:t xml:space="preserve"> other donors</w:t>
      </w:r>
      <w:r w:rsidR="00301906" w:rsidRPr="00EF494A">
        <w:t>, 2012</w:t>
      </w:r>
      <w:r w:rsidR="00AF55CB" w:rsidRPr="00EF494A">
        <w:t>.</w:t>
      </w:r>
    </w:p>
    <w:p w:rsidR="005C33B2" w:rsidRPr="00EF494A" w:rsidRDefault="005C33B2" w:rsidP="00986A81">
      <w:pPr>
        <w:pStyle w:val="Note"/>
        <w:spacing w:before="0" w:after="0"/>
      </w:pPr>
      <w:r w:rsidRPr="00EF494A">
        <w:t xml:space="preserve">Source: Budget Branch, Government Financial &amp; Information Services (DFAT) </w:t>
      </w:r>
    </w:p>
    <w:p w:rsidR="00E138E8" w:rsidRPr="00EF494A" w:rsidRDefault="00E138E8" w:rsidP="00986A81">
      <w:pPr>
        <w:pStyle w:val="BodyText"/>
        <w:spacing w:after="0"/>
        <w:rPr>
          <w:sz w:val="14"/>
          <w:szCs w:val="14"/>
        </w:rPr>
      </w:pPr>
      <w:r w:rsidRPr="00EF494A">
        <w:rPr>
          <w:sz w:val="14"/>
          <w:szCs w:val="14"/>
        </w:rPr>
        <w:t>Exchange rate: USD1 = AUD 0.9358 (July, 2014)</w:t>
      </w:r>
    </w:p>
    <w:p w:rsidR="000D733F" w:rsidRPr="00EF494A" w:rsidRDefault="000D733F" w:rsidP="000D733F">
      <w:pPr>
        <w:pStyle w:val="Heading2"/>
        <w:rPr>
          <w:sz w:val="28"/>
        </w:rPr>
      </w:pPr>
      <w:r w:rsidRPr="00EF494A">
        <w:rPr>
          <w:sz w:val="28"/>
        </w:rPr>
        <w:t>Expenditure</w:t>
      </w:r>
    </w:p>
    <w:p w:rsidR="00955C40" w:rsidRDefault="005D6C79" w:rsidP="00442126">
      <w:pPr>
        <w:pStyle w:val="ListBullet"/>
        <w:numPr>
          <w:ilvl w:val="0"/>
          <w:numId w:val="0"/>
        </w:numPr>
        <w:tabs>
          <w:tab w:val="clear" w:pos="284"/>
        </w:tabs>
      </w:pPr>
      <w:r w:rsidRPr="00EF494A">
        <w:t>Financial expenditure for t</w:t>
      </w:r>
      <w:r w:rsidR="00442126" w:rsidRPr="00EF494A">
        <w:t>he Laos bilateral (Country</w:t>
      </w:r>
      <w:r w:rsidRPr="00EF494A">
        <w:t xml:space="preserve">) program </w:t>
      </w:r>
      <w:r w:rsidR="004E26D7" w:rsidRPr="00EF494A">
        <w:t xml:space="preserve">in financial years 2013-14 </w:t>
      </w:r>
      <w:r w:rsidRPr="00EF494A">
        <w:t>against current development cooperation objectives is reported in Table 2</w:t>
      </w:r>
      <w:r w:rsidR="004E26D7" w:rsidRPr="00EF494A">
        <w:t xml:space="preserve"> below</w:t>
      </w:r>
      <w:r w:rsidR="00580F6D" w:rsidRPr="00EF494A">
        <w:t>.</w:t>
      </w:r>
    </w:p>
    <w:p w:rsidR="0094339B" w:rsidRPr="00EF494A" w:rsidRDefault="0094339B" w:rsidP="00442126">
      <w:pPr>
        <w:pStyle w:val="ListBullet"/>
        <w:numPr>
          <w:ilvl w:val="0"/>
          <w:numId w:val="0"/>
        </w:numPr>
        <w:tabs>
          <w:tab w:val="clear" w:pos="284"/>
        </w:tabs>
      </w:pPr>
    </w:p>
    <w:p w:rsidR="000D733F" w:rsidRPr="00EF494A" w:rsidRDefault="000D733F" w:rsidP="000D733F">
      <w:pPr>
        <w:pStyle w:val="Caption"/>
      </w:pPr>
      <w:bookmarkStart w:id="2" w:name="_Toc373853206"/>
      <w:r w:rsidRPr="00EF494A">
        <w:t xml:space="preserve">Table </w:t>
      </w:r>
      <w:fldSimple w:instr=" SEQ Table \* ARABIC ">
        <w:r w:rsidR="00C559C1">
          <w:rPr>
            <w:noProof/>
          </w:rPr>
          <w:t>2</w:t>
        </w:r>
      </w:fldSimple>
      <w:r w:rsidRPr="00EF494A">
        <w:t xml:space="preserve"> Expenditure in F</w:t>
      </w:r>
      <w:r w:rsidR="00580F6D" w:rsidRPr="00EF494A">
        <w:t xml:space="preserve">inancial </w:t>
      </w:r>
      <w:r w:rsidRPr="00EF494A">
        <w:t>Y</w:t>
      </w:r>
      <w:r w:rsidR="00580F6D" w:rsidRPr="00EF494A">
        <w:t>ear</w:t>
      </w:r>
      <w:r w:rsidRPr="00EF494A">
        <w:t xml:space="preserve"> 2013-14</w:t>
      </w:r>
      <w:r w:rsidR="00795722" w:rsidRPr="00EF494A">
        <w:t xml:space="preserve"> </w:t>
      </w:r>
    </w:p>
    <w:tbl>
      <w:tblPr>
        <w:tblStyle w:val="APPR"/>
        <w:tblpPr w:leftFromText="180" w:rightFromText="180" w:vertAnchor="text" w:tblpY="1"/>
        <w:tblW w:w="4761" w:type="pct"/>
        <w:tblLayout w:type="fixed"/>
        <w:tblLook w:val="0000" w:firstRow="0" w:lastRow="0" w:firstColumn="0" w:lastColumn="0" w:noHBand="0" w:noVBand="0"/>
      </w:tblPr>
      <w:tblGrid>
        <w:gridCol w:w="6252"/>
        <w:gridCol w:w="1018"/>
        <w:gridCol w:w="1087"/>
      </w:tblGrid>
      <w:tr w:rsidR="000D733F" w:rsidRPr="00EF494A" w:rsidTr="0041635D">
        <w:trPr>
          <w:cnfStyle w:val="000000010000" w:firstRow="0" w:lastRow="0" w:firstColumn="0" w:lastColumn="0" w:oddVBand="0" w:evenVBand="0" w:oddHBand="0" w:evenHBand="1" w:firstRowFirstColumn="0" w:firstRowLastColumn="0" w:lastRowFirstColumn="0" w:lastRowLastColumn="0"/>
        </w:trPr>
        <w:tc>
          <w:tcPr>
            <w:tcW w:w="6210" w:type="dxa"/>
          </w:tcPr>
          <w:p w:rsidR="000D733F" w:rsidRPr="00EF494A" w:rsidRDefault="000D733F" w:rsidP="000D733F">
            <w:pPr>
              <w:pStyle w:val="TableHeading1"/>
            </w:pPr>
            <w:r w:rsidRPr="00EF494A">
              <w:t>Objective</w:t>
            </w:r>
          </w:p>
        </w:tc>
        <w:tc>
          <w:tcPr>
            <w:tcW w:w="990" w:type="dxa"/>
          </w:tcPr>
          <w:p w:rsidR="000D733F" w:rsidRPr="00EF494A" w:rsidRDefault="000D733F" w:rsidP="000D733F">
            <w:pPr>
              <w:pStyle w:val="TableHeading1"/>
            </w:pPr>
            <w:r w:rsidRPr="00EF494A">
              <w:t>A$ million</w:t>
            </w:r>
          </w:p>
        </w:tc>
        <w:tc>
          <w:tcPr>
            <w:tcW w:w="1045" w:type="dxa"/>
          </w:tcPr>
          <w:p w:rsidR="000D733F" w:rsidRPr="00EF494A" w:rsidRDefault="000D733F" w:rsidP="000D733F">
            <w:pPr>
              <w:pStyle w:val="TableHeading1"/>
            </w:pPr>
            <w:r w:rsidRPr="00EF494A">
              <w:t>% of bilateral program</w:t>
            </w:r>
          </w:p>
        </w:tc>
      </w:tr>
      <w:tr w:rsidR="000D733F" w:rsidRPr="00EF494A" w:rsidTr="0041635D">
        <w:trPr>
          <w:cnfStyle w:val="000000010000" w:firstRow="0" w:lastRow="0" w:firstColumn="0" w:lastColumn="0" w:oddVBand="0" w:evenVBand="0" w:oddHBand="0" w:evenHBand="1" w:firstRowFirstColumn="0" w:firstRowLastColumn="0" w:lastRowFirstColumn="0" w:lastRowLastColumn="0"/>
        </w:trPr>
        <w:tc>
          <w:tcPr>
            <w:tcW w:w="6210" w:type="dxa"/>
          </w:tcPr>
          <w:p w:rsidR="000D733F" w:rsidRPr="00EF494A" w:rsidRDefault="000D733F" w:rsidP="003C35EC">
            <w:pPr>
              <w:pStyle w:val="TableTextEntries"/>
            </w:pPr>
            <w:r w:rsidRPr="00EF494A">
              <w:t>Objective 1</w:t>
            </w:r>
            <w:r w:rsidR="003C35EC" w:rsidRPr="00EF494A">
              <w:t>:  Mitigation of key constraints to equitable access to a basic quality education in targeted poor geographic areas</w:t>
            </w:r>
          </w:p>
        </w:tc>
        <w:tc>
          <w:tcPr>
            <w:tcW w:w="990" w:type="dxa"/>
          </w:tcPr>
          <w:p w:rsidR="000D733F" w:rsidRPr="00EF494A" w:rsidRDefault="003C35EC" w:rsidP="003C35EC">
            <w:pPr>
              <w:pStyle w:val="TableTextEntries"/>
            </w:pPr>
            <w:r w:rsidRPr="00EF494A">
              <w:t>7.2</w:t>
            </w:r>
          </w:p>
        </w:tc>
        <w:tc>
          <w:tcPr>
            <w:tcW w:w="1045" w:type="dxa"/>
          </w:tcPr>
          <w:p w:rsidR="000D733F" w:rsidRPr="00EF494A" w:rsidRDefault="003C35EC" w:rsidP="00A33495">
            <w:pPr>
              <w:pStyle w:val="TableTextEntries"/>
              <w:jc w:val="right"/>
            </w:pPr>
            <w:r w:rsidRPr="00EF494A">
              <w:t>22</w:t>
            </w:r>
          </w:p>
        </w:tc>
      </w:tr>
      <w:tr w:rsidR="000D733F" w:rsidRPr="00EF494A" w:rsidTr="0041635D">
        <w:trPr>
          <w:cnfStyle w:val="000000010000" w:firstRow="0" w:lastRow="0" w:firstColumn="0" w:lastColumn="0" w:oddVBand="0" w:evenVBand="0" w:oddHBand="0" w:evenHBand="1" w:firstRowFirstColumn="0" w:firstRowLastColumn="0" w:lastRowFirstColumn="0" w:lastRowLastColumn="0"/>
        </w:trPr>
        <w:tc>
          <w:tcPr>
            <w:tcW w:w="6210" w:type="dxa"/>
          </w:tcPr>
          <w:p w:rsidR="000D733F" w:rsidRPr="00EF494A" w:rsidRDefault="003C35EC" w:rsidP="000D733F">
            <w:pPr>
              <w:pStyle w:val="TableTextEntries"/>
            </w:pPr>
            <w:r w:rsidRPr="00EF494A">
              <w:t>Objective 2: Better management of Government of Laos and donor resources available to the education sector through the implementation of a jointly agreed 10-year education sector framework</w:t>
            </w:r>
          </w:p>
        </w:tc>
        <w:tc>
          <w:tcPr>
            <w:tcW w:w="990" w:type="dxa"/>
          </w:tcPr>
          <w:p w:rsidR="000D733F" w:rsidRPr="00EF494A" w:rsidRDefault="003C35EC" w:rsidP="003C35EC">
            <w:pPr>
              <w:pStyle w:val="TableTextEntries"/>
            </w:pPr>
            <w:r w:rsidRPr="00EF494A">
              <w:t>0.6</w:t>
            </w:r>
          </w:p>
        </w:tc>
        <w:tc>
          <w:tcPr>
            <w:tcW w:w="1045" w:type="dxa"/>
          </w:tcPr>
          <w:p w:rsidR="000D733F" w:rsidRPr="00EF494A" w:rsidRDefault="003C35EC" w:rsidP="00A33495">
            <w:pPr>
              <w:pStyle w:val="TableTextEntries"/>
              <w:jc w:val="right"/>
            </w:pPr>
            <w:r w:rsidRPr="00EF494A">
              <w:t>2</w:t>
            </w:r>
          </w:p>
        </w:tc>
      </w:tr>
      <w:tr w:rsidR="000D733F" w:rsidRPr="00EF494A" w:rsidTr="0041635D">
        <w:trPr>
          <w:cnfStyle w:val="000000010000" w:firstRow="0" w:lastRow="0" w:firstColumn="0" w:lastColumn="0" w:oddVBand="0" w:evenVBand="0" w:oddHBand="0" w:evenHBand="1" w:firstRowFirstColumn="0" w:firstRowLastColumn="0" w:lastRowFirstColumn="0" w:lastRowLastColumn="0"/>
        </w:trPr>
        <w:tc>
          <w:tcPr>
            <w:tcW w:w="6210" w:type="dxa"/>
          </w:tcPr>
          <w:p w:rsidR="000D733F" w:rsidRPr="00EF494A" w:rsidRDefault="003C35EC" w:rsidP="000D733F">
            <w:pPr>
              <w:pStyle w:val="TableTextEntries"/>
            </w:pPr>
            <w:r w:rsidRPr="00EF494A">
              <w:t>Objective 3: Policy and institutional impediments to trade and investment addressed in sectors that contribute to inclusive growth</w:t>
            </w:r>
          </w:p>
        </w:tc>
        <w:tc>
          <w:tcPr>
            <w:tcW w:w="990" w:type="dxa"/>
          </w:tcPr>
          <w:p w:rsidR="000D733F" w:rsidRPr="00EF494A" w:rsidRDefault="003C35EC" w:rsidP="003C35EC">
            <w:pPr>
              <w:pStyle w:val="TableTextEntries"/>
            </w:pPr>
            <w:r w:rsidRPr="00EF494A">
              <w:t>2</w:t>
            </w:r>
            <w:r w:rsidR="00782655" w:rsidRPr="00EF494A">
              <w:t>.0</w:t>
            </w:r>
          </w:p>
        </w:tc>
        <w:tc>
          <w:tcPr>
            <w:tcW w:w="1045" w:type="dxa"/>
          </w:tcPr>
          <w:p w:rsidR="000D733F" w:rsidRPr="00EF494A" w:rsidRDefault="003C35EC" w:rsidP="00A33495">
            <w:pPr>
              <w:pStyle w:val="TableTextEntries"/>
              <w:jc w:val="right"/>
            </w:pPr>
            <w:r w:rsidRPr="00EF494A">
              <w:t>6</w:t>
            </w:r>
          </w:p>
        </w:tc>
      </w:tr>
      <w:tr w:rsidR="003C35EC" w:rsidRPr="00EF494A" w:rsidTr="0041635D">
        <w:trPr>
          <w:cnfStyle w:val="000000010000" w:firstRow="0" w:lastRow="0" w:firstColumn="0" w:lastColumn="0" w:oddVBand="0" w:evenVBand="0" w:oddHBand="0" w:evenHBand="1" w:firstRowFirstColumn="0" w:firstRowLastColumn="0" w:lastRowFirstColumn="0" w:lastRowLastColumn="0"/>
        </w:trPr>
        <w:tc>
          <w:tcPr>
            <w:tcW w:w="6210" w:type="dxa"/>
          </w:tcPr>
          <w:p w:rsidR="003C35EC" w:rsidRPr="00EF494A" w:rsidRDefault="0041635D" w:rsidP="000D733F">
            <w:pPr>
              <w:pStyle w:val="TableTextEntries"/>
            </w:pPr>
            <w:r w:rsidRPr="00EF494A">
              <w:t>Objective 4: Improve</w:t>
            </w:r>
            <w:r w:rsidR="00061847" w:rsidRPr="00EF494A">
              <w:t>d</w:t>
            </w:r>
            <w:r w:rsidR="00BC7046">
              <w:t xml:space="preserve"> and i</w:t>
            </w:r>
            <w:r w:rsidRPr="00EF494A">
              <w:t>nclusive access to finance, productive assets and market opportunities</w:t>
            </w:r>
          </w:p>
        </w:tc>
        <w:tc>
          <w:tcPr>
            <w:tcW w:w="990" w:type="dxa"/>
          </w:tcPr>
          <w:p w:rsidR="003C35EC" w:rsidRPr="00EF494A" w:rsidRDefault="003C35EC" w:rsidP="003C35EC">
            <w:pPr>
              <w:pStyle w:val="TableTextEntries"/>
            </w:pPr>
            <w:r w:rsidRPr="00EF494A">
              <w:t>6.</w:t>
            </w:r>
            <w:r w:rsidR="0041635D" w:rsidRPr="00EF494A">
              <w:t>8</w:t>
            </w:r>
          </w:p>
        </w:tc>
        <w:tc>
          <w:tcPr>
            <w:tcW w:w="1045" w:type="dxa"/>
          </w:tcPr>
          <w:p w:rsidR="003C35EC" w:rsidRPr="00EF494A" w:rsidRDefault="00A4427D" w:rsidP="000645E9">
            <w:pPr>
              <w:pStyle w:val="TableTextEntries"/>
              <w:jc w:val="right"/>
            </w:pPr>
            <w:r w:rsidRPr="00EF494A">
              <w:t>20</w:t>
            </w:r>
          </w:p>
        </w:tc>
      </w:tr>
      <w:tr w:rsidR="003C35EC" w:rsidRPr="00EF494A" w:rsidTr="0041635D">
        <w:trPr>
          <w:cnfStyle w:val="000000010000" w:firstRow="0" w:lastRow="0" w:firstColumn="0" w:lastColumn="0" w:oddVBand="0" w:evenVBand="0" w:oddHBand="0" w:evenHBand="1" w:firstRowFirstColumn="0" w:firstRowLastColumn="0" w:lastRowFirstColumn="0" w:lastRowLastColumn="0"/>
        </w:trPr>
        <w:tc>
          <w:tcPr>
            <w:tcW w:w="6210" w:type="dxa"/>
          </w:tcPr>
          <w:p w:rsidR="003C35EC" w:rsidRPr="00EF494A" w:rsidRDefault="0041635D" w:rsidP="000D733F">
            <w:pPr>
              <w:pStyle w:val="TableTextEntries"/>
            </w:pPr>
            <w:r w:rsidRPr="00EF494A">
              <w:t>Objective 5: Improved physical access to market</w:t>
            </w:r>
            <w:r w:rsidR="00061847" w:rsidRPr="00EF494A">
              <w:t>s</w:t>
            </w:r>
            <w:r w:rsidRPr="00EF494A">
              <w:t xml:space="preserve"> and basic services</w:t>
            </w:r>
          </w:p>
        </w:tc>
        <w:tc>
          <w:tcPr>
            <w:tcW w:w="990" w:type="dxa"/>
          </w:tcPr>
          <w:p w:rsidR="003C35EC" w:rsidRPr="00EF494A" w:rsidRDefault="003C35EC" w:rsidP="003C35EC">
            <w:pPr>
              <w:pStyle w:val="TableTextEntries"/>
            </w:pPr>
            <w:r w:rsidRPr="00EF494A">
              <w:t>7.1</w:t>
            </w:r>
          </w:p>
        </w:tc>
        <w:tc>
          <w:tcPr>
            <w:tcW w:w="1045" w:type="dxa"/>
          </w:tcPr>
          <w:p w:rsidR="003C35EC" w:rsidRPr="00EF494A" w:rsidRDefault="003C35EC" w:rsidP="00A33495">
            <w:pPr>
              <w:pStyle w:val="TableTextEntries"/>
              <w:jc w:val="right"/>
            </w:pPr>
            <w:r w:rsidRPr="00EF494A">
              <w:t>21</w:t>
            </w:r>
          </w:p>
        </w:tc>
      </w:tr>
      <w:tr w:rsidR="003C35EC" w:rsidRPr="00EF494A" w:rsidTr="0041635D">
        <w:trPr>
          <w:cnfStyle w:val="000000010000" w:firstRow="0" w:lastRow="0" w:firstColumn="0" w:lastColumn="0" w:oddVBand="0" w:evenVBand="0" w:oddHBand="0" w:evenHBand="1" w:firstRowFirstColumn="0" w:firstRowLastColumn="0" w:lastRowFirstColumn="0" w:lastRowLastColumn="0"/>
        </w:trPr>
        <w:tc>
          <w:tcPr>
            <w:tcW w:w="6210" w:type="dxa"/>
          </w:tcPr>
          <w:p w:rsidR="003C35EC" w:rsidRPr="00EF494A" w:rsidRDefault="003C35EC" w:rsidP="000D733F">
            <w:pPr>
              <w:pStyle w:val="TableTextEntries"/>
            </w:pPr>
            <w:r w:rsidRPr="00EF494A">
              <w:t>Crosscutting Objectives: Scholarships &amp; human resource development</w:t>
            </w:r>
          </w:p>
        </w:tc>
        <w:tc>
          <w:tcPr>
            <w:tcW w:w="990" w:type="dxa"/>
          </w:tcPr>
          <w:p w:rsidR="003C35EC" w:rsidRPr="00EF494A" w:rsidRDefault="003C35EC" w:rsidP="003C35EC">
            <w:pPr>
              <w:pStyle w:val="TableTextEntries"/>
            </w:pPr>
            <w:r w:rsidRPr="00EF494A">
              <w:t>9.8</w:t>
            </w:r>
          </w:p>
        </w:tc>
        <w:tc>
          <w:tcPr>
            <w:tcW w:w="1045" w:type="dxa"/>
          </w:tcPr>
          <w:p w:rsidR="003C35EC" w:rsidRPr="00EF494A" w:rsidRDefault="003C35EC" w:rsidP="00A33495">
            <w:pPr>
              <w:pStyle w:val="TableTextEntries"/>
              <w:jc w:val="right"/>
            </w:pPr>
            <w:r w:rsidRPr="00EF494A">
              <w:t>29</w:t>
            </w:r>
          </w:p>
        </w:tc>
      </w:tr>
    </w:tbl>
    <w:p w:rsidR="000D733F" w:rsidRPr="00EF494A" w:rsidRDefault="000D733F" w:rsidP="000D733F">
      <w:pPr>
        <w:pStyle w:val="Note"/>
      </w:pPr>
      <w:r w:rsidRPr="00EF494A">
        <w:lastRenderedPageBreak/>
        <w:t>Source:</w:t>
      </w:r>
      <w:r w:rsidR="0075245E" w:rsidRPr="00EF494A">
        <w:t xml:space="preserve"> AidWork</w:t>
      </w:r>
      <w:r w:rsidR="00955C40" w:rsidRPr="00EF494A">
        <w:t>s</w:t>
      </w:r>
    </w:p>
    <w:p w:rsidR="00CB6D7D" w:rsidRPr="00EF494A" w:rsidRDefault="000D733F" w:rsidP="00C20596">
      <w:pPr>
        <w:pStyle w:val="Heading3"/>
        <w:rPr>
          <w:rStyle w:val="BodyTextChar"/>
          <w:b w:val="0"/>
          <w:color w:val="auto"/>
        </w:rPr>
      </w:pPr>
      <w:r w:rsidRPr="00EF494A">
        <w:rPr>
          <w:color w:val="007FAD"/>
          <w:sz w:val="28"/>
          <w:szCs w:val="28"/>
        </w:rPr>
        <w:t>Progress towards objectives</w:t>
      </w:r>
    </w:p>
    <w:p w:rsidR="00C20596" w:rsidRPr="00EF494A" w:rsidRDefault="00C20596" w:rsidP="00C20596">
      <w:pPr>
        <w:pStyle w:val="BodyText"/>
        <w:rPr>
          <w:lang w:eastAsia="zh-CN"/>
        </w:rPr>
      </w:pPr>
      <w:r w:rsidRPr="00EF494A">
        <w:rPr>
          <w:lang w:eastAsia="zh-CN"/>
        </w:rPr>
        <w:t>The overall progress of the Laos Country Program in achieving objectives</w:t>
      </w:r>
      <w:r w:rsidR="00061847" w:rsidRPr="00EF494A">
        <w:rPr>
          <w:lang w:eastAsia="zh-CN"/>
        </w:rPr>
        <w:t>, summarised in Table 3 below,</w:t>
      </w:r>
      <w:r w:rsidRPr="00EF494A">
        <w:rPr>
          <w:lang w:eastAsia="zh-CN"/>
        </w:rPr>
        <w:t xml:space="preserve"> is broadly positive.  The Laos Country Program</w:t>
      </w:r>
      <w:r w:rsidR="00622573" w:rsidRPr="00EF494A">
        <w:rPr>
          <w:lang w:eastAsia="zh-CN"/>
        </w:rPr>
        <w:t>’s</w:t>
      </w:r>
      <w:r w:rsidRPr="00EF494A">
        <w:rPr>
          <w:lang w:eastAsia="zh-CN"/>
        </w:rPr>
        <w:t xml:space="preserve"> Performance Assessment Framework</w:t>
      </w:r>
      <w:r w:rsidR="009F5DDA" w:rsidRPr="00EF494A">
        <w:rPr>
          <w:lang w:eastAsia="zh-CN"/>
        </w:rPr>
        <w:t xml:space="preserve"> </w:t>
      </w:r>
      <w:r w:rsidRPr="00EF494A">
        <w:rPr>
          <w:lang w:eastAsia="zh-CN"/>
        </w:rPr>
        <w:t>provides milestones against which performance is assessed each year</w:t>
      </w:r>
      <w:r w:rsidR="009F5DDA" w:rsidRPr="00EF494A">
        <w:rPr>
          <w:lang w:eastAsia="zh-CN"/>
        </w:rPr>
        <w:t xml:space="preserve"> (refer </w:t>
      </w:r>
      <w:r w:rsidR="009F5DDA" w:rsidRPr="00EF494A">
        <w:rPr>
          <w:b/>
          <w:lang w:eastAsia="zh-CN"/>
        </w:rPr>
        <w:t>Annex A</w:t>
      </w:r>
      <w:r w:rsidR="009F5DDA" w:rsidRPr="00EF494A">
        <w:rPr>
          <w:lang w:eastAsia="zh-CN"/>
        </w:rPr>
        <w:t>)</w:t>
      </w:r>
      <w:r w:rsidRPr="00EF494A">
        <w:rPr>
          <w:lang w:eastAsia="zh-CN"/>
        </w:rPr>
        <w:t xml:space="preserve">.  The ratings in this section reflect a combination of progress against milestones in 2013-14 and future challenges and issues that could hinder progress.  </w:t>
      </w:r>
      <w:r w:rsidR="00061847" w:rsidRPr="00EF494A">
        <w:rPr>
          <w:lang w:eastAsia="zh-CN"/>
        </w:rPr>
        <w:t>O</w:t>
      </w:r>
      <w:r w:rsidRPr="00EF494A">
        <w:rPr>
          <w:lang w:eastAsia="zh-CN"/>
        </w:rPr>
        <w:t xml:space="preserve">bjectives 4 and 5 are new objectives applied in 2013-14, </w:t>
      </w:r>
      <w:r w:rsidR="00061847" w:rsidRPr="00EF494A">
        <w:rPr>
          <w:lang w:eastAsia="zh-CN"/>
        </w:rPr>
        <w:t xml:space="preserve">with </w:t>
      </w:r>
      <w:r w:rsidR="00016BC1" w:rsidRPr="00EF494A">
        <w:rPr>
          <w:lang w:eastAsia="zh-CN"/>
        </w:rPr>
        <w:t xml:space="preserve">the </w:t>
      </w:r>
      <w:r w:rsidR="003F207E" w:rsidRPr="00EF494A">
        <w:rPr>
          <w:lang w:eastAsia="zh-CN"/>
        </w:rPr>
        <w:t xml:space="preserve">adoption of the </w:t>
      </w:r>
      <w:r w:rsidR="00016BC1" w:rsidRPr="00EF494A">
        <w:rPr>
          <w:lang w:eastAsia="zh-CN"/>
        </w:rPr>
        <w:t>Rural Development Delivery Strategy 2012-16.</w:t>
      </w:r>
    </w:p>
    <w:p w:rsidR="000D733F" w:rsidRPr="00EF494A" w:rsidRDefault="000D733F" w:rsidP="000D733F">
      <w:pPr>
        <w:pStyle w:val="Caption"/>
      </w:pPr>
      <w:r w:rsidRPr="00EF494A">
        <w:t xml:space="preserve">Table </w:t>
      </w:r>
      <w:fldSimple w:instr=" SEQ Table \* ARABIC ">
        <w:r w:rsidR="00C559C1">
          <w:rPr>
            <w:noProof/>
          </w:rPr>
          <w:t>3</w:t>
        </w:r>
      </w:fldSimple>
      <w:r w:rsidRPr="00EF494A">
        <w:t xml:space="preserve"> Rating of the program's progress towards Australia’s objectives</w:t>
      </w:r>
    </w:p>
    <w:tbl>
      <w:tblPr>
        <w:tblStyle w:val="APPR"/>
        <w:tblW w:w="5000" w:type="pct"/>
        <w:tblLook w:val="0000" w:firstRow="0" w:lastRow="0" w:firstColumn="0" w:lastColumn="0" w:noHBand="0" w:noVBand="0"/>
      </w:tblPr>
      <w:tblGrid>
        <w:gridCol w:w="6234"/>
        <w:gridCol w:w="1026"/>
        <w:gridCol w:w="426"/>
        <w:gridCol w:w="1091"/>
      </w:tblGrid>
      <w:tr w:rsidR="000D733F" w:rsidRPr="00EF494A" w:rsidTr="00856698">
        <w:trPr>
          <w:cnfStyle w:val="000000010000" w:firstRow="0" w:lastRow="0" w:firstColumn="0" w:lastColumn="0" w:oddVBand="0" w:evenVBand="0" w:oddHBand="0" w:evenHBand="1" w:firstRowFirstColumn="0" w:firstRowLastColumn="0" w:lastRowFirstColumn="0" w:lastRowLastColumn="0"/>
          <w:trHeight w:val="651"/>
        </w:trPr>
        <w:tc>
          <w:tcPr>
            <w:tcW w:w="6192" w:type="dxa"/>
          </w:tcPr>
          <w:p w:rsidR="000D733F" w:rsidRPr="00EF494A" w:rsidRDefault="000D733F" w:rsidP="000D733F">
            <w:pPr>
              <w:pStyle w:val="TableTextColumnHeading"/>
            </w:pPr>
            <w:r w:rsidRPr="00EF494A">
              <w:rPr>
                <w:noProof/>
                <w:lang w:eastAsia="en-AU"/>
              </w:rPr>
              <w:drawing>
                <wp:anchor distT="0" distB="0" distL="114300" distR="114300" simplePos="0" relativeHeight="251663360" behindDoc="0" locked="0" layoutInCell="1" allowOverlap="1" wp14:anchorId="619C4365" wp14:editId="42D2759F">
                  <wp:simplePos x="0" y="0"/>
                  <wp:positionH relativeFrom="column">
                    <wp:posOffset>0</wp:posOffset>
                  </wp:positionH>
                  <wp:positionV relativeFrom="paragraph">
                    <wp:posOffset>0</wp:posOffset>
                  </wp:positionV>
                  <wp:extent cx="1857375" cy="228600"/>
                  <wp:effectExtent l="0" t="0" r="9525" b="0"/>
                  <wp:wrapNone/>
                  <wp:docPr id="12" name="Picture 1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94A">
              <w:t>Objective</w:t>
            </w:r>
          </w:p>
        </w:tc>
        <w:tc>
          <w:tcPr>
            <w:tcW w:w="998" w:type="dxa"/>
          </w:tcPr>
          <w:p w:rsidR="000D733F" w:rsidRPr="00EF494A" w:rsidRDefault="004F4630" w:rsidP="000D733F">
            <w:pPr>
              <w:pStyle w:val="TableTextColumnHeading"/>
            </w:pPr>
            <w:r w:rsidRPr="00EF494A">
              <w:t>Previous Rating</w:t>
            </w:r>
          </w:p>
        </w:tc>
        <w:tc>
          <w:tcPr>
            <w:tcW w:w="398" w:type="dxa"/>
          </w:tcPr>
          <w:p w:rsidR="000D733F" w:rsidRPr="00EF494A" w:rsidRDefault="000D733F" w:rsidP="000D733F">
            <w:pPr>
              <w:pStyle w:val="TableTextColumnHeading"/>
            </w:pPr>
          </w:p>
        </w:tc>
        <w:tc>
          <w:tcPr>
            <w:tcW w:w="1049" w:type="dxa"/>
          </w:tcPr>
          <w:p w:rsidR="000D733F" w:rsidRPr="00EF494A" w:rsidRDefault="004F4630" w:rsidP="000D733F">
            <w:pPr>
              <w:pStyle w:val="TableTextColumnHeading"/>
            </w:pPr>
            <w:r w:rsidRPr="00EF494A">
              <w:t>Current Rating</w:t>
            </w:r>
          </w:p>
        </w:tc>
      </w:tr>
      <w:tr w:rsidR="00856698" w:rsidRPr="00EF494A" w:rsidTr="00856698">
        <w:trPr>
          <w:cnfStyle w:val="000000010000" w:firstRow="0" w:lastRow="0" w:firstColumn="0" w:lastColumn="0" w:oddVBand="0" w:evenVBand="0" w:oddHBand="0" w:evenHBand="1" w:firstRowFirstColumn="0" w:firstRowLastColumn="0" w:lastRowFirstColumn="0" w:lastRowLastColumn="0"/>
        </w:trPr>
        <w:tc>
          <w:tcPr>
            <w:tcW w:w="6192" w:type="dxa"/>
          </w:tcPr>
          <w:p w:rsidR="00856698" w:rsidRPr="00EF494A" w:rsidRDefault="00856698" w:rsidP="000D733F">
            <w:pPr>
              <w:pStyle w:val="TableTextEntries"/>
              <w:rPr>
                <w:b/>
              </w:rPr>
            </w:pPr>
            <w:r w:rsidRPr="00EF494A">
              <w:rPr>
                <w:b/>
              </w:rPr>
              <w:t>Education</w:t>
            </w:r>
          </w:p>
        </w:tc>
        <w:tc>
          <w:tcPr>
            <w:tcW w:w="998" w:type="dxa"/>
            <w:shd w:val="clear" w:color="auto" w:fill="FFFFFF" w:themeFill="background1"/>
            <w:noWrap/>
          </w:tcPr>
          <w:p w:rsidR="00856698" w:rsidRPr="00EF494A" w:rsidRDefault="00856698" w:rsidP="000D733F">
            <w:pPr>
              <w:pStyle w:val="TableTextEntries"/>
              <w:jc w:val="center"/>
              <w:rPr>
                <w:color w:val="FFFFFF" w:themeColor="background1"/>
              </w:rPr>
            </w:pPr>
          </w:p>
        </w:tc>
        <w:tc>
          <w:tcPr>
            <w:tcW w:w="398" w:type="dxa"/>
            <w:shd w:val="clear" w:color="auto" w:fill="FFFFFF" w:themeFill="background1"/>
          </w:tcPr>
          <w:p w:rsidR="00856698" w:rsidRPr="00EF494A" w:rsidRDefault="00856698" w:rsidP="000D733F">
            <w:pPr>
              <w:pStyle w:val="TableTextEntries"/>
              <w:jc w:val="center"/>
              <w:rPr>
                <w:color w:val="FFFFFF" w:themeColor="background1"/>
              </w:rPr>
            </w:pPr>
          </w:p>
        </w:tc>
        <w:tc>
          <w:tcPr>
            <w:tcW w:w="1049" w:type="dxa"/>
            <w:shd w:val="clear" w:color="auto" w:fill="FFFFFF" w:themeFill="background1"/>
            <w:noWrap/>
          </w:tcPr>
          <w:p w:rsidR="00856698" w:rsidRPr="00EF494A" w:rsidRDefault="00856698" w:rsidP="000D733F">
            <w:pPr>
              <w:pStyle w:val="TableTextEntries"/>
              <w:jc w:val="center"/>
              <w:rPr>
                <w:color w:val="FFFFFF" w:themeColor="background1"/>
              </w:rPr>
            </w:pPr>
          </w:p>
        </w:tc>
      </w:tr>
      <w:tr w:rsidR="00856698" w:rsidRPr="00EF494A" w:rsidTr="00856698">
        <w:trPr>
          <w:cnfStyle w:val="000000010000" w:firstRow="0" w:lastRow="0" w:firstColumn="0" w:lastColumn="0" w:oddVBand="0" w:evenVBand="0" w:oddHBand="0" w:evenHBand="1" w:firstRowFirstColumn="0" w:firstRowLastColumn="0" w:lastRowFirstColumn="0" w:lastRowLastColumn="0"/>
        </w:trPr>
        <w:tc>
          <w:tcPr>
            <w:tcW w:w="6192" w:type="dxa"/>
          </w:tcPr>
          <w:p w:rsidR="00856698" w:rsidRPr="00EF494A" w:rsidRDefault="00856698" w:rsidP="000D733F">
            <w:pPr>
              <w:pStyle w:val="TableTextEntries"/>
              <w:rPr>
                <w:i/>
              </w:rPr>
            </w:pPr>
            <w:r w:rsidRPr="00EF494A">
              <w:rPr>
                <w:i/>
              </w:rPr>
              <w:t>Development outcome: all boys and girls complete a full course of primary education</w:t>
            </w:r>
          </w:p>
        </w:tc>
        <w:tc>
          <w:tcPr>
            <w:tcW w:w="998" w:type="dxa"/>
            <w:shd w:val="clear" w:color="auto" w:fill="FFFFFF" w:themeFill="background1"/>
            <w:noWrap/>
          </w:tcPr>
          <w:p w:rsidR="00856698" w:rsidRPr="00EF494A" w:rsidRDefault="00856698" w:rsidP="000D733F">
            <w:pPr>
              <w:pStyle w:val="TableTextEntries"/>
              <w:jc w:val="center"/>
              <w:rPr>
                <w:color w:val="FFFFFF" w:themeColor="background1"/>
              </w:rPr>
            </w:pPr>
          </w:p>
        </w:tc>
        <w:tc>
          <w:tcPr>
            <w:tcW w:w="398" w:type="dxa"/>
            <w:shd w:val="clear" w:color="auto" w:fill="FFFFFF" w:themeFill="background1"/>
          </w:tcPr>
          <w:p w:rsidR="00856698" w:rsidRPr="00EF494A" w:rsidRDefault="00856698" w:rsidP="000D733F">
            <w:pPr>
              <w:pStyle w:val="TableTextEntries"/>
              <w:jc w:val="center"/>
              <w:rPr>
                <w:color w:val="FFFFFF" w:themeColor="background1"/>
              </w:rPr>
            </w:pPr>
          </w:p>
        </w:tc>
        <w:tc>
          <w:tcPr>
            <w:tcW w:w="1049" w:type="dxa"/>
            <w:shd w:val="clear" w:color="auto" w:fill="FFFFFF" w:themeFill="background1"/>
            <w:noWrap/>
          </w:tcPr>
          <w:p w:rsidR="00856698" w:rsidRPr="00EF494A" w:rsidRDefault="00856698" w:rsidP="000D733F">
            <w:pPr>
              <w:pStyle w:val="TableTextEntries"/>
              <w:jc w:val="center"/>
              <w:rPr>
                <w:color w:val="FFFFFF" w:themeColor="background1"/>
              </w:rPr>
            </w:pPr>
          </w:p>
        </w:tc>
      </w:tr>
      <w:tr w:rsidR="000D733F" w:rsidRPr="00EF494A" w:rsidTr="00795722">
        <w:trPr>
          <w:cnfStyle w:val="000000010000" w:firstRow="0" w:lastRow="0" w:firstColumn="0" w:lastColumn="0" w:oddVBand="0" w:evenVBand="0" w:oddHBand="0" w:evenHBand="1" w:firstRowFirstColumn="0" w:firstRowLastColumn="0" w:lastRowFirstColumn="0" w:lastRowLastColumn="0"/>
        </w:trPr>
        <w:tc>
          <w:tcPr>
            <w:tcW w:w="6192" w:type="dxa"/>
          </w:tcPr>
          <w:p w:rsidR="000D733F" w:rsidRPr="00EF494A" w:rsidRDefault="00856698" w:rsidP="000D733F">
            <w:pPr>
              <w:pStyle w:val="TableTextEntries"/>
            </w:pPr>
            <w:r w:rsidRPr="00EF494A">
              <w:t>Objective 1: Mitigation of key constraints to equitable access to a basic quality education in targeted poor geographic areas</w:t>
            </w:r>
          </w:p>
        </w:tc>
        <w:tc>
          <w:tcPr>
            <w:tcW w:w="998" w:type="dxa"/>
            <w:shd w:val="clear" w:color="auto" w:fill="E36C0A" w:themeFill="accent6" w:themeFillShade="BF"/>
            <w:noWrap/>
          </w:tcPr>
          <w:p w:rsidR="000D733F" w:rsidRPr="00EF494A" w:rsidRDefault="00856698" w:rsidP="000D733F">
            <w:pPr>
              <w:pStyle w:val="TableTextEntries"/>
              <w:jc w:val="center"/>
              <w:rPr>
                <w:color w:val="FFFFFF" w:themeColor="background1"/>
              </w:rPr>
            </w:pPr>
            <w:r w:rsidRPr="00EF494A">
              <w:rPr>
                <w:color w:val="FFFFFF" w:themeColor="background1"/>
              </w:rPr>
              <w:t>Amber</w:t>
            </w:r>
          </w:p>
        </w:tc>
        <w:tc>
          <w:tcPr>
            <w:tcW w:w="398" w:type="dxa"/>
          </w:tcPr>
          <w:p w:rsidR="000D733F" w:rsidRPr="00EF494A" w:rsidRDefault="000D733F" w:rsidP="000D733F">
            <w:pPr>
              <w:pStyle w:val="TableTextEntries"/>
              <w:jc w:val="center"/>
              <w:rPr>
                <w:color w:val="FFFFFF" w:themeColor="background1"/>
              </w:rPr>
            </w:pPr>
          </w:p>
        </w:tc>
        <w:tc>
          <w:tcPr>
            <w:tcW w:w="1049" w:type="dxa"/>
            <w:shd w:val="clear" w:color="auto" w:fill="00B050"/>
            <w:noWrap/>
          </w:tcPr>
          <w:p w:rsidR="000D733F" w:rsidRPr="00EF494A" w:rsidRDefault="00795722" w:rsidP="000D733F">
            <w:pPr>
              <w:pStyle w:val="TableTextEntries"/>
              <w:jc w:val="center"/>
              <w:rPr>
                <w:color w:val="FFFFFF" w:themeColor="background1"/>
              </w:rPr>
            </w:pPr>
            <w:r w:rsidRPr="00EF494A">
              <w:rPr>
                <w:color w:val="FFFFFF" w:themeColor="background1"/>
              </w:rPr>
              <w:t>Green</w:t>
            </w:r>
          </w:p>
        </w:tc>
      </w:tr>
      <w:tr w:rsidR="000D733F" w:rsidRPr="00EF494A" w:rsidTr="00795722">
        <w:trPr>
          <w:cnfStyle w:val="000000010000" w:firstRow="0" w:lastRow="0" w:firstColumn="0" w:lastColumn="0" w:oddVBand="0" w:evenVBand="0" w:oddHBand="0" w:evenHBand="1" w:firstRowFirstColumn="0" w:firstRowLastColumn="0" w:lastRowFirstColumn="0" w:lastRowLastColumn="0"/>
        </w:trPr>
        <w:tc>
          <w:tcPr>
            <w:tcW w:w="6192" w:type="dxa"/>
          </w:tcPr>
          <w:p w:rsidR="000D733F" w:rsidRPr="00EF494A" w:rsidRDefault="00856698" w:rsidP="00856698">
            <w:pPr>
              <w:pStyle w:val="TableTextEntries"/>
            </w:pPr>
            <w:r w:rsidRPr="00EF494A">
              <w:t>Objective 2: Better management of Government of Laos and donor resources available to the education sector through the implementation of a jointly agreed 10-year education sector framework</w:t>
            </w:r>
          </w:p>
        </w:tc>
        <w:tc>
          <w:tcPr>
            <w:tcW w:w="998" w:type="dxa"/>
            <w:shd w:val="clear" w:color="auto" w:fill="00B050"/>
            <w:noWrap/>
          </w:tcPr>
          <w:p w:rsidR="000D733F" w:rsidRPr="00EF494A" w:rsidRDefault="00856698" w:rsidP="000D733F">
            <w:pPr>
              <w:pStyle w:val="TableTextEntries"/>
              <w:jc w:val="center"/>
              <w:rPr>
                <w:color w:val="FFFFFF" w:themeColor="background1"/>
              </w:rPr>
            </w:pPr>
            <w:r w:rsidRPr="00EF494A">
              <w:rPr>
                <w:color w:val="FFFFFF" w:themeColor="background1"/>
              </w:rPr>
              <w:t>Green</w:t>
            </w:r>
          </w:p>
        </w:tc>
        <w:tc>
          <w:tcPr>
            <w:tcW w:w="398" w:type="dxa"/>
          </w:tcPr>
          <w:p w:rsidR="000D733F" w:rsidRPr="00EF494A" w:rsidRDefault="000D733F" w:rsidP="000D733F">
            <w:pPr>
              <w:pStyle w:val="TableTextEntries"/>
              <w:jc w:val="center"/>
              <w:rPr>
                <w:color w:val="FFFFFF" w:themeColor="background1"/>
              </w:rPr>
            </w:pPr>
          </w:p>
        </w:tc>
        <w:tc>
          <w:tcPr>
            <w:tcW w:w="1049" w:type="dxa"/>
            <w:shd w:val="clear" w:color="auto" w:fill="E36C0A" w:themeFill="accent6" w:themeFillShade="BF"/>
            <w:noWrap/>
          </w:tcPr>
          <w:p w:rsidR="000D733F" w:rsidRPr="00EF494A" w:rsidRDefault="00795722" w:rsidP="000D733F">
            <w:pPr>
              <w:pStyle w:val="TableTextEntries"/>
              <w:jc w:val="center"/>
              <w:rPr>
                <w:color w:val="FFFFFF" w:themeColor="background1"/>
              </w:rPr>
            </w:pPr>
            <w:r w:rsidRPr="00EF494A">
              <w:rPr>
                <w:color w:val="FFFFFF" w:themeColor="background1"/>
              </w:rPr>
              <w:t>Amber</w:t>
            </w:r>
          </w:p>
        </w:tc>
      </w:tr>
      <w:tr w:rsidR="00856698" w:rsidRPr="00EF494A" w:rsidTr="00856698">
        <w:trPr>
          <w:cnfStyle w:val="000000010000" w:firstRow="0" w:lastRow="0" w:firstColumn="0" w:lastColumn="0" w:oddVBand="0" w:evenVBand="0" w:oddHBand="0" w:evenHBand="1" w:firstRowFirstColumn="0" w:firstRowLastColumn="0" w:lastRowFirstColumn="0" w:lastRowLastColumn="0"/>
        </w:trPr>
        <w:tc>
          <w:tcPr>
            <w:tcW w:w="6192" w:type="dxa"/>
          </w:tcPr>
          <w:p w:rsidR="00856698" w:rsidRPr="00EF494A" w:rsidRDefault="00856698" w:rsidP="000D733F">
            <w:pPr>
              <w:pStyle w:val="TableTextEntries"/>
            </w:pPr>
            <w:r w:rsidRPr="00EF494A">
              <w:rPr>
                <w:b/>
              </w:rPr>
              <w:t>Trade and investment</w:t>
            </w:r>
          </w:p>
        </w:tc>
        <w:tc>
          <w:tcPr>
            <w:tcW w:w="998" w:type="dxa"/>
            <w:shd w:val="clear" w:color="auto" w:fill="FFFFFF" w:themeFill="background1"/>
            <w:noWrap/>
          </w:tcPr>
          <w:p w:rsidR="00856698" w:rsidRPr="00EF494A" w:rsidRDefault="00856698" w:rsidP="000D733F">
            <w:pPr>
              <w:pStyle w:val="TableTextEntries"/>
              <w:jc w:val="center"/>
              <w:rPr>
                <w:color w:val="FFFFFF" w:themeColor="background1"/>
              </w:rPr>
            </w:pPr>
          </w:p>
        </w:tc>
        <w:tc>
          <w:tcPr>
            <w:tcW w:w="398" w:type="dxa"/>
            <w:shd w:val="clear" w:color="auto" w:fill="FFFFFF" w:themeFill="background1"/>
          </w:tcPr>
          <w:p w:rsidR="00856698" w:rsidRPr="00EF494A" w:rsidRDefault="00856698" w:rsidP="000D733F">
            <w:pPr>
              <w:pStyle w:val="TableTextEntries"/>
              <w:jc w:val="center"/>
              <w:rPr>
                <w:color w:val="FFFFFF" w:themeColor="background1"/>
              </w:rPr>
            </w:pPr>
          </w:p>
        </w:tc>
        <w:tc>
          <w:tcPr>
            <w:tcW w:w="1049" w:type="dxa"/>
            <w:shd w:val="clear" w:color="auto" w:fill="FFFFFF" w:themeFill="background1"/>
            <w:noWrap/>
          </w:tcPr>
          <w:p w:rsidR="00856698" w:rsidRPr="00EF494A" w:rsidRDefault="00856698" w:rsidP="000D733F">
            <w:pPr>
              <w:pStyle w:val="TableTextEntries"/>
              <w:jc w:val="center"/>
              <w:rPr>
                <w:color w:val="FFFFFF" w:themeColor="background1"/>
              </w:rPr>
            </w:pPr>
          </w:p>
        </w:tc>
      </w:tr>
      <w:tr w:rsidR="00856698" w:rsidRPr="00EF494A" w:rsidTr="00856698">
        <w:trPr>
          <w:cnfStyle w:val="000000010000" w:firstRow="0" w:lastRow="0" w:firstColumn="0" w:lastColumn="0" w:oddVBand="0" w:evenVBand="0" w:oddHBand="0" w:evenHBand="1" w:firstRowFirstColumn="0" w:firstRowLastColumn="0" w:lastRowFirstColumn="0" w:lastRowLastColumn="0"/>
        </w:trPr>
        <w:tc>
          <w:tcPr>
            <w:tcW w:w="6192" w:type="dxa"/>
          </w:tcPr>
          <w:p w:rsidR="00856698" w:rsidRPr="00EF494A" w:rsidRDefault="00856698" w:rsidP="000D733F">
            <w:pPr>
              <w:pStyle w:val="TableTextEntries"/>
            </w:pPr>
            <w:r w:rsidRPr="00EF494A">
              <w:rPr>
                <w:i/>
              </w:rPr>
              <w:t>Development outcome: increased trade and investment in sectors which support poverty reduction</w:t>
            </w:r>
          </w:p>
        </w:tc>
        <w:tc>
          <w:tcPr>
            <w:tcW w:w="998" w:type="dxa"/>
            <w:shd w:val="clear" w:color="auto" w:fill="FFFFFF" w:themeFill="background1"/>
            <w:noWrap/>
          </w:tcPr>
          <w:p w:rsidR="00856698" w:rsidRPr="00EF494A" w:rsidRDefault="00856698" w:rsidP="000D733F">
            <w:pPr>
              <w:pStyle w:val="TableTextEntries"/>
              <w:jc w:val="center"/>
            </w:pPr>
          </w:p>
        </w:tc>
        <w:tc>
          <w:tcPr>
            <w:tcW w:w="398" w:type="dxa"/>
            <w:shd w:val="clear" w:color="auto" w:fill="FFFFFF" w:themeFill="background1"/>
          </w:tcPr>
          <w:p w:rsidR="00856698" w:rsidRPr="00EF494A" w:rsidRDefault="00856698" w:rsidP="000D733F">
            <w:pPr>
              <w:pStyle w:val="TableTextEntries"/>
              <w:jc w:val="center"/>
              <w:rPr>
                <w:color w:val="FFFFFF" w:themeColor="background1"/>
              </w:rPr>
            </w:pPr>
          </w:p>
        </w:tc>
        <w:tc>
          <w:tcPr>
            <w:tcW w:w="1049" w:type="dxa"/>
            <w:shd w:val="clear" w:color="auto" w:fill="FFFFFF" w:themeFill="background1"/>
            <w:noWrap/>
          </w:tcPr>
          <w:p w:rsidR="00856698" w:rsidRPr="00EF494A" w:rsidRDefault="00856698" w:rsidP="000D733F">
            <w:pPr>
              <w:pStyle w:val="TableTextEntries"/>
              <w:jc w:val="center"/>
              <w:rPr>
                <w:color w:val="FFFFFF" w:themeColor="background1"/>
              </w:rPr>
            </w:pPr>
          </w:p>
        </w:tc>
      </w:tr>
      <w:tr w:rsidR="00856698" w:rsidRPr="00EF494A" w:rsidTr="00072D81">
        <w:trPr>
          <w:cnfStyle w:val="000000010000" w:firstRow="0" w:lastRow="0" w:firstColumn="0" w:lastColumn="0" w:oddVBand="0" w:evenVBand="0" w:oddHBand="0" w:evenHBand="1" w:firstRowFirstColumn="0" w:firstRowLastColumn="0" w:lastRowFirstColumn="0" w:lastRowLastColumn="0"/>
        </w:trPr>
        <w:tc>
          <w:tcPr>
            <w:tcW w:w="6192" w:type="dxa"/>
          </w:tcPr>
          <w:p w:rsidR="00856698" w:rsidRPr="00EF494A" w:rsidRDefault="00856698" w:rsidP="000D733F">
            <w:pPr>
              <w:pStyle w:val="TableTextEntries"/>
            </w:pPr>
            <w:r w:rsidRPr="00EF494A">
              <w:t>Objective 3: Policy and institutional impediments to trade and investment addressed in sectors that contribute to inclusive growth</w:t>
            </w:r>
          </w:p>
        </w:tc>
        <w:tc>
          <w:tcPr>
            <w:tcW w:w="998" w:type="dxa"/>
            <w:shd w:val="clear" w:color="auto" w:fill="00B050"/>
            <w:noWrap/>
          </w:tcPr>
          <w:p w:rsidR="00856698" w:rsidRPr="00EF494A" w:rsidRDefault="00072D81" w:rsidP="000D733F">
            <w:pPr>
              <w:pStyle w:val="TableTextEntries"/>
              <w:jc w:val="center"/>
              <w:rPr>
                <w:color w:val="FFFFFF" w:themeColor="background1"/>
              </w:rPr>
            </w:pPr>
            <w:r w:rsidRPr="00EF494A">
              <w:rPr>
                <w:color w:val="FFFFFF" w:themeColor="background1"/>
              </w:rPr>
              <w:t>Green</w:t>
            </w:r>
          </w:p>
        </w:tc>
        <w:tc>
          <w:tcPr>
            <w:tcW w:w="398" w:type="dxa"/>
            <w:shd w:val="clear" w:color="auto" w:fill="FFFFFF" w:themeFill="background1"/>
          </w:tcPr>
          <w:p w:rsidR="00856698" w:rsidRPr="00EF494A" w:rsidRDefault="00856698" w:rsidP="000D733F">
            <w:pPr>
              <w:pStyle w:val="TableTextEntries"/>
              <w:jc w:val="center"/>
              <w:rPr>
                <w:color w:val="FFFFFF" w:themeColor="background1"/>
              </w:rPr>
            </w:pPr>
          </w:p>
        </w:tc>
        <w:tc>
          <w:tcPr>
            <w:tcW w:w="1049" w:type="dxa"/>
            <w:shd w:val="clear" w:color="auto" w:fill="00B050"/>
            <w:noWrap/>
          </w:tcPr>
          <w:p w:rsidR="00856698" w:rsidRPr="00EF494A" w:rsidRDefault="00072D81" w:rsidP="000D733F">
            <w:pPr>
              <w:pStyle w:val="TableTextEntries"/>
              <w:jc w:val="center"/>
              <w:rPr>
                <w:color w:val="FFFFFF" w:themeColor="background1"/>
              </w:rPr>
            </w:pPr>
            <w:r w:rsidRPr="00EF494A">
              <w:rPr>
                <w:color w:val="FFFFFF" w:themeColor="background1"/>
              </w:rPr>
              <w:t>Green</w:t>
            </w:r>
          </w:p>
        </w:tc>
      </w:tr>
      <w:tr w:rsidR="00856698" w:rsidRPr="00EF494A" w:rsidTr="00856698">
        <w:trPr>
          <w:cnfStyle w:val="000000010000" w:firstRow="0" w:lastRow="0" w:firstColumn="0" w:lastColumn="0" w:oddVBand="0" w:evenVBand="0" w:oddHBand="0" w:evenHBand="1" w:firstRowFirstColumn="0" w:firstRowLastColumn="0" w:lastRowFirstColumn="0" w:lastRowLastColumn="0"/>
        </w:trPr>
        <w:tc>
          <w:tcPr>
            <w:tcW w:w="6192" w:type="dxa"/>
          </w:tcPr>
          <w:p w:rsidR="00856698" w:rsidRPr="00EF494A" w:rsidRDefault="00856698" w:rsidP="000D733F">
            <w:pPr>
              <w:pStyle w:val="TableTextEntries"/>
            </w:pPr>
            <w:r w:rsidRPr="00EF494A">
              <w:rPr>
                <w:b/>
              </w:rPr>
              <w:t>Rural development</w:t>
            </w:r>
          </w:p>
        </w:tc>
        <w:tc>
          <w:tcPr>
            <w:tcW w:w="998" w:type="dxa"/>
            <w:shd w:val="clear" w:color="auto" w:fill="FFFFFF" w:themeFill="background1"/>
            <w:noWrap/>
          </w:tcPr>
          <w:p w:rsidR="00856698" w:rsidRPr="00EF494A" w:rsidRDefault="00856698" w:rsidP="000D733F">
            <w:pPr>
              <w:pStyle w:val="TableTextEntries"/>
              <w:jc w:val="center"/>
              <w:rPr>
                <w:color w:val="FFFFFF" w:themeColor="background1"/>
              </w:rPr>
            </w:pPr>
          </w:p>
        </w:tc>
        <w:tc>
          <w:tcPr>
            <w:tcW w:w="398" w:type="dxa"/>
            <w:shd w:val="clear" w:color="auto" w:fill="FFFFFF" w:themeFill="background1"/>
          </w:tcPr>
          <w:p w:rsidR="00856698" w:rsidRPr="00EF494A" w:rsidRDefault="00856698" w:rsidP="000D733F">
            <w:pPr>
              <w:pStyle w:val="TableTextEntries"/>
              <w:jc w:val="center"/>
              <w:rPr>
                <w:color w:val="FFFFFF" w:themeColor="background1"/>
              </w:rPr>
            </w:pPr>
          </w:p>
        </w:tc>
        <w:tc>
          <w:tcPr>
            <w:tcW w:w="1049" w:type="dxa"/>
            <w:shd w:val="clear" w:color="auto" w:fill="FFFFFF" w:themeFill="background1"/>
            <w:noWrap/>
          </w:tcPr>
          <w:p w:rsidR="00856698" w:rsidRPr="00EF494A" w:rsidRDefault="00856698" w:rsidP="000D733F">
            <w:pPr>
              <w:pStyle w:val="TableTextEntries"/>
              <w:jc w:val="center"/>
              <w:rPr>
                <w:color w:val="FFFFFF" w:themeColor="background1"/>
              </w:rPr>
            </w:pPr>
          </w:p>
        </w:tc>
      </w:tr>
      <w:tr w:rsidR="00856698" w:rsidRPr="00EF494A" w:rsidTr="00856698">
        <w:trPr>
          <w:cnfStyle w:val="000000010000" w:firstRow="0" w:lastRow="0" w:firstColumn="0" w:lastColumn="0" w:oddVBand="0" w:evenVBand="0" w:oddHBand="0" w:evenHBand="1" w:firstRowFirstColumn="0" w:firstRowLastColumn="0" w:lastRowFirstColumn="0" w:lastRowLastColumn="0"/>
        </w:trPr>
        <w:tc>
          <w:tcPr>
            <w:tcW w:w="6192" w:type="dxa"/>
          </w:tcPr>
          <w:p w:rsidR="00856698" w:rsidRPr="00EF494A" w:rsidRDefault="00856698" w:rsidP="000D733F">
            <w:pPr>
              <w:pStyle w:val="TableTextEntries"/>
            </w:pPr>
            <w:r w:rsidRPr="00EF494A">
              <w:rPr>
                <w:i/>
              </w:rPr>
              <w:t>Development outcome: less than</w:t>
            </w:r>
            <w:r w:rsidR="00F70870" w:rsidRPr="00EF494A">
              <w:rPr>
                <w:i/>
              </w:rPr>
              <w:t xml:space="preserve"> a</w:t>
            </w:r>
            <w:r w:rsidRPr="00EF494A">
              <w:rPr>
                <w:i/>
              </w:rPr>
              <w:t xml:space="preserve"> quarter of the population living below the poverty line</w:t>
            </w:r>
          </w:p>
        </w:tc>
        <w:tc>
          <w:tcPr>
            <w:tcW w:w="998" w:type="dxa"/>
            <w:shd w:val="clear" w:color="auto" w:fill="FFFFFF" w:themeFill="background1"/>
            <w:noWrap/>
          </w:tcPr>
          <w:p w:rsidR="00856698" w:rsidRPr="00EF494A" w:rsidRDefault="00856698" w:rsidP="000D733F">
            <w:pPr>
              <w:pStyle w:val="TableTextEntries"/>
              <w:jc w:val="center"/>
              <w:rPr>
                <w:color w:val="FFFFFF" w:themeColor="background1"/>
              </w:rPr>
            </w:pPr>
          </w:p>
        </w:tc>
        <w:tc>
          <w:tcPr>
            <w:tcW w:w="398" w:type="dxa"/>
            <w:shd w:val="clear" w:color="auto" w:fill="FFFFFF" w:themeFill="background1"/>
          </w:tcPr>
          <w:p w:rsidR="00856698" w:rsidRPr="00EF494A" w:rsidRDefault="00856698" w:rsidP="000D733F">
            <w:pPr>
              <w:pStyle w:val="TableTextEntries"/>
              <w:jc w:val="center"/>
              <w:rPr>
                <w:color w:val="FFFFFF" w:themeColor="background1"/>
              </w:rPr>
            </w:pPr>
          </w:p>
        </w:tc>
        <w:tc>
          <w:tcPr>
            <w:tcW w:w="1049" w:type="dxa"/>
            <w:shd w:val="clear" w:color="auto" w:fill="FFFFFF" w:themeFill="background1"/>
            <w:noWrap/>
          </w:tcPr>
          <w:p w:rsidR="00856698" w:rsidRPr="00EF494A" w:rsidRDefault="00856698" w:rsidP="000D733F">
            <w:pPr>
              <w:pStyle w:val="TableTextEntries"/>
              <w:jc w:val="center"/>
              <w:rPr>
                <w:color w:val="FFFFFF" w:themeColor="background1"/>
              </w:rPr>
            </w:pPr>
          </w:p>
        </w:tc>
      </w:tr>
      <w:tr w:rsidR="00856698" w:rsidRPr="00EF494A" w:rsidTr="00EE21E3">
        <w:trPr>
          <w:cnfStyle w:val="000000010000" w:firstRow="0" w:lastRow="0" w:firstColumn="0" w:lastColumn="0" w:oddVBand="0" w:evenVBand="0" w:oddHBand="0" w:evenHBand="1" w:firstRowFirstColumn="0" w:firstRowLastColumn="0" w:lastRowFirstColumn="0" w:lastRowLastColumn="0"/>
        </w:trPr>
        <w:tc>
          <w:tcPr>
            <w:tcW w:w="6192" w:type="dxa"/>
          </w:tcPr>
          <w:p w:rsidR="00856698" w:rsidRPr="00EF494A" w:rsidRDefault="00856698" w:rsidP="000D733F">
            <w:pPr>
              <w:pStyle w:val="TableTextEntries"/>
            </w:pPr>
            <w:r w:rsidRPr="00EF494A">
              <w:t>Objective 4: Improve Inclusive access to finance, productive assets and market opportunities</w:t>
            </w:r>
          </w:p>
        </w:tc>
        <w:tc>
          <w:tcPr>
            <w:tcW w:w="998" w:type="dxa"/>
            <w:shd w:val="clear" w:color="auto" w:fill="FFFFFF" w:themeFill="background1"/>
            <w:noWrap/>
          </w:tcPr>
          <w:p w:rsidR="00856698" w:rsidRPr="00EF494A" w:rsidRDefault="00EE21E3" w:rsidP="000D733F">
            <w:pPr>
              <w:pStyle w:val="TableTextEntries"/>
              <w:jc w:val="center"/>
              <w:rPr>
                <w:color w:val="000000" w:themeColor="text1"/>
              </w:rPr>
            </w:pPr>
            <w:r w:rsidRPr="00EF494A">
              <w:rPr>
                <w:color w:val="000000" w:themeColor="text1"/>
              </w:rPr>
              <w:t>N/A</w:t>
            </w:r>
          </w:p>
        </w:tc>
        <w:tc>
          <w:tcPr>
            <w:tcW w:w="398" w:type="dxa"/>
            <w:shd w:val="clear" w:color="auto" w:fill="FFFFFF" w:themeFill="background1"/>
          </w:tcPr>
          <w:p w:rsidR="00856698" w:rsidRPr="00EF494A" w:rsidRDefault="00856698" w:rsidP="000D733F">
            <w:pPr>
              <w:pStyle w:val="TableTextEntries"/>
              <w:jc w:val="center"/>
              <w:rPr>
                <w:color w:val="000000" w:themeColor="text1"/>
              </w:rPr>
            </w:pPr>
          </w:p>
        </w:tc>
        <w:tc>
          <w:tcPr>
            <w:tcW w:w="1049" w:type="dxa"/>
            <w:shd w:val="clear" w:color="auto" w:fill="00B050"/>
            <w:noWrap/>
          </w:tcPr>
          <w:p w:rsidR="00856698" w:rsidRPr="00EF494A" w:rsidRDefault="00EE21E3" w:rsidP="000D733F">
            <w:pPr>
              <w:pStyle w:val="TableTextEntries"/>
              <w:jc w:val="center"/>
              <w:rPr>
                <w:color w:val="FFFFFF" w:themeColor="background1"/>
              </w:rPr>
            </w:pPr>
            <w:r w:rsidRPr="00EF494A">
              <w:rPr>
                <w:color w:val="FFFFFF" w:themeColor="background1"/>
              </w:rPr>
              <w:t>Gree</w:t>
            </w:r>
            <w:r w:rsidR="00A93A0F" w:rsidRPr="00EF494A">
              <w:rPr>
                <w:color w:val="FFFFFF" w:themeColor="background1"/>
              </w:rPr>
              <w:t>n</w:t>
            </w:r>
          </w:p>
        </w:tc>
      </w:tr>
      <w:tr w:rsidR="00D96315" w:rsidRPr="00EF494A" w:rsidTr="00C232A5">
        <w:trPr>
          <w:cnfStyle w:val="000000010000" w:firstRow="0" w:lastRow="0" w:firstColumn="0" w:lastColumn="0" w:oddVBand="0" w:evenVBand="0" w:oddHBand="0" w:evenHBand="1" w:firstRowFirstColumn="0" w:firstRowLastColumn="0" w:lastRowFirstColumn="0" w:lastRowLastColumn="0"/>
        </w:trPr>
        <w:tc>
          <w:tcPr>
            <w:tcW w:w="6192" w:type="dxa"/>
          </w:tcPr>
          <w:p w:rsidR="00D96315" w:rsidRPr="00EF494A" w:rsidRDefault="00D96315" w:rsidP="00C232A5">
            <w:pPr>
              <w:pStyle w:val="TableTextEntries"/>
            </w:pPr>
            <w:r w:rsidRPr="00EF494A">
              <w:t>Objective 5: Improved to physical access to market and basic services</w:t>
            </w:r>
          </w:p>
        </w:tc>
        <w:tc>
          <w:tcPr>
            <w:tcW w:w="998" w:type="dxa"/>
            <w:shd w:val="clear" w:color="auto" w:fill="FFFFFF" w:themeFill="background1"/>
            <w:noWrap/>
          </w:tcPr>
          <w:p w:rsidR="00D96315" w:rsidRPr="00EF494A" w:rsidRDefault="00D96315" w:rsidP="00C232A5">
            <w:pPr>
              <w:pStyle w:val="TableTextEntries"/>
              <w:jc w:val="center"/>
              <w:rPr>
                <w:color w:val="000000" w:themeColor="text1"/>
              </w:rPr>
            </w:pPr>
            <w:r w:rsidRPr="00EF494A">
              <w:rPr>
                <w:color w:val="000000" w:themeColor="text1"/>
              </w:rPr>
              <w:t>N/A</w:t>
            </w:r>
          </w:p>
        </w:tc>
        <w:tc>
          <w:tcPr>
            <w:tcW w:w="398" w:type="dxa"/>
            <w:shd w:val="clear" w:color="auto" w:fill="FFFFFF" w:themeFill="background1"/>
          </w:tcPr>
          <w:p w:rsidR="00D96315" w:rsidRPr="00EF494A" w:rsidRDefault="00D96315" w:rsidP="00C232A5">
            <w:pPr>
              <w:pStyle w:val="TableTextEntries"/>
              <w:jc w:val="center"/>
              <w:rPr>
                <w:color w:val="000000" w:themeColor="text1"/>
              </w:rPr>
            </w:pPr>
          </w:p>
        </w:tc>
        <w:tc>
          <w:tcPr>
            <w:tcW w:w="1049" w:type="dxa"/>
            <w:shd w:val="clear" w:color="auto" w:fill="00B050"/>
            <w:noWrap/>
          </w:tcPr>
          <w:p w:rsidR="00D96315" w:rsidRPr="00EF494A" w:rsidRDefault="00D96315" w:rsidP="00C232A5">
            <w:pPr>
              <w:pStyle w:val="TableTextEntries"/>
              <w:jc w:val="center"/>
              <w:rPr>
                <w:color w:val="FFFFFF" w:themeColor="background1"/>
              </w:rPr>
            </w:pPr>
            <w:r w:rsidRPr="00EF494A">
              <w:rPr>
                <w:color w:val="FFFFFF" w:themeColor="background1"/>
              </w:rPr>
              <w:t>Green</w:t>
            </w:r>
          </w:p>
        </w:tc>
      </w:tr>
    </w:tbl>
    <w:p w:rsidR="000D733F" w:rsidRPr="00EF494A" w:rsidRDefault="000D733F" w:rsidP="000D733F">
      <w:pPr>
        <w:pStyle w:val="Note"/>
      </w:pPr>
      <w:r w:rsidRPr="00EF494A">
        <w:t xml:space="preserve">Note: </w:t>
      </w:r>
    </w:p>
    <w:p w:rsidR="000D733F" w:rsidRPr="00EF494A" w:rsidRDefault="000D733F" w:rsidP="000D733F">
      <w:pPr>
        <w:pStyle w:val="Note"/>
      </w:pPr>
      <w:r w:rsidRPr="00EF494A">
        <w:rPr>
          <w:color w:val="72AF2F"/>
        </w:rPr>
        <w:sym w:font="Webdings" w:char="F067"/>
      </w:r>
      <w:r w:rsidRPr="00EF494A">
        <w:t> </w:t>
      </w:r>
      <w:r w:rsidRPr="00EF494A">
        <w:t xml:space="preserve"> Green. Progress is as expected for this point in time and it is likely</w:t>
      </w:r>
      <w:r w:rsidR="00A4540A" w:rsidRPr="00EF494A">
        <w:t xml:space="preserve"> </w:t>
      </w:r>
      <w:r w:rsidRPr="00EF494A">
        <w:t>the objective will be achieved. Standard program management practices are sufficient.</w:t>
      </w:r>
    </w:p>
    <w:p w:rsidR="000D733F" w:rsidRPr="00EF494A" w:rsidRDefault="000D733F" w:rsidP="000D733F">
      <w:pPr>
        <w:pStyle w:val="Note"/>
      </w:pPr>
      <w:r w:rsidRPr="00EF494A">
        <w:rPr>
          <w:color w:val="E36C0A"/>
        </w:rPr>
        <w:sym w:font="Webdings" w:char="F067"/>
      </w:r>
      <w:r w:rsidRPr="00EF494A">
        <w:t> </w:t>
      </w:r>
      <w:r w:rsidRPr="00EF494A">
        <w:t xml:space="preserve"> Amber. Progress is somewhat less than expected for this point in time and restorative action will be necessary if the objective is to be achieved. Close performance monitoring is recommended.</w:t>
      </w:r>
    </w:p>
    <w:p w:rsidR="000D733F" w:rsidRPr="00EF494A" w:rsidRDefault="000D733F" w:rsidP="000D733F">
      <w:pPr>
        <w:pStyle w:val="Note"/>
      </w:pPr>
      <w:r w:rsidRPr="00EF494A">
        <w:rPr>
          <w:color w:val="FF0000"/>
        </w:rPr>
        <w:sym w:font="Webdings" w:char="F067"/>
      </w:r>
      <w:r w:rsidRPr="00EF494A">
        <w:t> </w:t>
      </w:r>
      <w:r w:rsidRPr="00EF494A">
        <w:t xml:space="preserve"> Red. Progress is significantly less than expected for this point in time and the objective is not likely to be met given available resources and priorities. Recasting the objective may be required.</w:t>
      </w:r>
    </w:p>
    <w:p w:rsidR="0037100F" w:rsidRPr="00EF494A" w:rsidRDefault="0037100F" w:rsidP="0037100F">
      <w:pPr>
        <w:pStyle w:val="Heading2"/>
        <w:rPr>
          <w:b/>
          <w:color w:val="124486"/>
          <w:sz w:val="22"/>
          <w:szCs w:val="22"/>
          <w:lang w:eastAsia="zh-CN"/>
        </w:rPr>
      </w:pPr>
      <w:r w:rsidRPr="00EF494A">
        <w:rPr>
          <w:b/>
          <w:color w:val="124486"/>
          <w:sz w:val="22"/>
          <w:szCs w:val="22"/>
          <w:lang w:eastAsia="zh-CN"/>
        </w:rPr>
        <w:t>Education</w:t>
      </w:r>
    </w:p>
    <w:p w:rsidR="00D31805" w:rsidRPr="00EF494A" w:rsidRDefault="00D31805" w:rsidP="00D31805">
      <w:pPr>
        <w:pStyle w:val="APPRHeading2"/>
        <w:rPr>
          <w:rFonts w:ascii="Franklin Gothic Demi" w:hAnsi="Franklin Gothic Demi"/>
          <w:b w:val="0"/>
        </w:rPr>
      </w:pPr>
      <w:r w:rsidRPr="00EF494A">
        <w:rPr>
          <w:rFonts w:ascii="Franklin Gothic Demi" w:hAnsi="Franklin Gothic Demi"/>
          <w:b w:val="0"/>
        </w:rPr>
        <w:t>Objective 1: Mitigation of key constraints to equitable access to basic education in targeted poor geographic areas</w:t>
      </w:r>
    </w:p>
    <w:tbl>
      <w:tblPr>
        <w:tblStyle w:val="APPR"/>
        <w:tblW w:w="5000" w:type="pct"/>
        <w:tblLook w:val="04A0" w:firstRow="1" w:lastRow="0" w:firstColumn="1" w:lastColumn="0" w:noHBand="0" w:noVBand="1"/>
      </w:tblPr>
      <w:tblGrid>
        <w:gridCol w:w="7536"/>
        <w:gridCol w:w="1241"/>
      </w:tblGrid>
      <w:tr w:rsidR="00D31805" w:rsidRPr="00EF494A" w:rsidTr="008973A1">
        <w:trPr>
          <w:cnfStyle w:val="100000000000" w:firstRow="1" w:lastRow="0" w:firstColumn="0" w:lastColumn="0" w:oddVBand="0" w:evenVBand="0" w:oddHBand="0" w:evenHBand="0" w:firstRowFirstColumn="0" w:firstRowLastColumn="0" w:lastRowFirstColumn="0" w:lastRowLastColumn="0"/>
        </w:trPr>
        <w:tc>
          <w:tcPr>
            <w:tcW w:w="7494" w:type="dxa"/>
            <w:tcBorders>
              <w:left w:val="nil"/>
              <w:right w:val="nil"/>
            </w:tcBorders>
            <w:hideMark/>
          </w:tcPr>
          <w:p w:rsidR="00D31805" w:rsidRPr="00EF494A" w:rsidRDefault="00F70870" w:rsidP="00652AED">
            <w:pPr>
              <w:pStyle w:val="TableTextEntries"/>
            </w:pPr>
            <w:r w:rsidRPr="00EF494A">
              <w:t>Development Outcome: A</w:t>
            </w:r>
            <w:r w:rsidR="00652AED" w:rsidRPr="00EF494A">
              <w:t>ll boys and girls complete a full course of primary education</w:t>
            </w:r>
          </w:p>
        </w:tc>
        <w:tc>
          <w:tcPr>
            <w:tcW w:w="1199" w:type="dxa"/>
            <w:tcBorders>
              <w:left w:val="nil"/>
              <w:right w:val="nil"/>
            </w:tcBorders>
            <w:shd w:val="clear" w:color="auto" w:fill="00B050"/>
            <w:noWrap/>
            <w:hideMark/>
          </w:tcPr>
          <w:p w:rsidR="00D31805" w:rsidRPr="00EF494A" w:rsidRDefault="00795722" w:rsidP="00D31805">
            <w:pPr>
              <w:pStyle w:val="TableTextEntries"/>
            </w:pPr>
            <w:r w:rsidRPr="00EF494A">
              <w:t>Green</w:t>
            </w:r>
          </w:p>
        </w:tc>
      </w:tr>
    </w:tbl>
    <w:p w:rsidR="00795722" w:rsidRPr="00EF494A" w:rsidRDefault="00795722" w:rsidP="00795722">
      <w:pPr>
        <w:pStyle w:val="Note"/>
      </w:pPr>
      <w:r w:rsidRPr="00EF494A">
        <w:rPr>
          <w:color w:val="72AF2F"/>
        </w:rPr>
        <w:lastRenderedPageBreak/>
        <w:sym w:font="Webdings" w:char="F067"/>
      </w:r>
      <w:r w:rsidRPr="00EF494A">
        <w:t> </w:t>
      </w:r>
      <w:r w:rsidRPr="00EF494A">
        <w:t xml:space="preserve"> Green. Progress is as expected for this point in time and it is likely the objective will be achieved. Standard program management practices are sufficient.</w:t>
      </w:r>
    </w:p>
    <w:p w:rsidR="00517562" w:rsidRPr="00EF494A" w:rsidRDefault="00E643CB" w:rsidP="00517562">
      <w:pPr>
        <w:pStyle w:val="BodyText"/>
        <w:rPr>
          <w:rFonts w:eastAsia="Calibri"/>
          <w:b/>
          <w:lang w:eastAsia="en-US"/>
        </w:rPr>
      </w:pPr>
      <w:r w:rsidRPr="00EF494A">
        <w:rPr>
          <w:rFonts w:eastAsia="Calibri"/>
          <w:b/>
          <w:lang w:eastAsia="en-US"/>
        </w:rPr>
        <w:t>Two of the t</w:t>
      </w:r>
      <w:r w:rsidR="00517562" w:rsidRPr="00EF494A">
        <w:rPr>
          <w:rFonts w:eastAsia="Calibri"/>
          <w:b/>
          <w:lang w:eastAsia="en-US"/>
        </w:rPr>
        <w:t>hree milestones identified in the Performance Assessment Framework for this objective were me</w:t>
      </w:r>
      <w:r w:rsidR="00A4540A" w:rsidRPr="00EF494A">
        <w:rPr>
          <w:rFonts w:eastAsia="Calibri"/>
          <w:b/>
          <w:lang w:eastAsia="en-US"/>
        </w:rPr>
        <w:t>t</w:t>
      </w:r>
      <w:r w:rsidRPr="00EF494A">
        <w:rPr>
          <w:rFonts w:eastAsia="Calibri"/>
          <w:b/>
          <w:lang w:eastAsia="en-US"/>
        </w:rPr>
        <w:t xml:space="preserve"> and one partially met</w:t>
      </w:r>
      <w:r w:rsidR="00517562" w:rsidRPr="00EF494A">
        <w:rPr>
          <w:rFonts w:eastAsia="Calibri"/>
          <w:b/>
          <w:lang w:eastAsia="en-US"/>
        </w:rPr>
        <w:t>.  Milestones under this objective are mainly linked to the progress of the Education for All: Fast Track Initiative (EFA:FTI).</w:t>
      </w:r>
    </w:p>
    <w:p w:rsidR="00517562" w:rsidRPr="00EF494A" w:rsidRDefault="00517562" w:rsidP="00517562">
      <w:pPr>
        <w:pStyle w:val="BodyText"/>
      </w:pPr>
      <w:r w:rsidRPr="00EF494A">
        <w:t>2013-14 saw the realisation of the MDG2 target for universal enrolment in primary education</w:t>
      </w:r>
      <w:r w:rsidR="002376FE" w:rsidRPr="00EF494A">
        <w:t>.</w:t>
      </w:r>
      <w:r w:rsidRPr="00EF494A">
        <w:t xml:space="preserve"> </w:t>
      </w:r>
      <w:r w:rsidR="002376FE" w:rsidRPr="00EF494A">
        <w:t>T</w:t>
      </w:r>
      <w:r w:rsidRPr="00EF494A">
        <w:t xml:space="preserve">he national Net Enrolment Rate target of 98 per cent </w:t>
      </w:r>
      <w:r w:rsidR="00A4540A" w:rsidRPr="00EF494A">
        <w:t>was</w:t>
      </w:r>
      <w:r w:rsidRPr="00EF494A">
        <w:t xml:space="preserve"> met in 2013-14, up from 96.8 per cent in 2012-13.  Student retention rates to Grade 5</w:t>
      </w:r>
      <w:r w:rsidR="00A4540A" w:rsidRPr="00EF494A">
        <w:t xml:space="preserve"> improved but</w:t>
      </w:r>
      <w:r w:rsidRPr="00EF494A">
        <w:t xml:space="preserve"> continue to remain a concern, with rates in 2013-14 reaching 77 per cent, a 6 per cent increase from 2012-13. Progress in achieving gender parity in primary education was slow at 0.96 (96 girls for every 100 boys) in 2013-14, a slight increase from 0.95 for 2012-13. </w:t>
      </w:r>
    </w:p>
    <w:p w:rsidR="00517562" w:rsidRPr="00EF494A" w:rsidRDefault="00517562" w:rsidP="00517562">
      <w:pPr>
        <w:pStyle w:val="BodyText"/>
      </w:pPr>
      <w:r w:rsidRPr="00EF494A">
        <w:t>The Government of Laos had planned a national budget allocation of 17 per</w:t>
      </w:r>
      <w:r w:rsidR="0094339B">
        <w:t xml:space="preserve"> </w:t>
      </w:r>
      <w:r w:rsidRPr="00EF494A">
        <w:t>cent for the education sector by 2015</w:t>
      </w:r>
      <w:r w:rsidR="002376FE" w:rsidRPr="00EF494A">
        <w:t>.</w:t>
      </w:r>
      <w:r w:rsidRPr="00EF494A">
        <w:t xml:space="preserve"> </w:t>
      </w:r>
      <w:r w:rsidR="002376FE" w:rsidRPr="00EF494A">
        <w:t>H</w:t>
      </w:r>
      <w:r w:rsidRPr="00EF494A">
        <w:t>owever</w:t>
      </w:r>
      <w:r w:rsidR="002376FE" w:rsidRPr="00EF494A">
        <w:t>,</w:t>
      </w:r>
      <w:r w:rsidRPr="00EF494A">
        <w:t xml:space="preserve"> the </w:t>
      </w:r>
      <w:r w:rsidR="00782655" w:rsidRPr="00EF494A">
        <w:t xml:space="preserve">realised </w:t>
      </w:r>
      <w:r w:rsidRPr="00EF494A">
        <w:t>share was 15.5 per cent</w:t>
      </w:r>
      <w:r w:rsidRPr="00EF494A">
        <w:rPr>
          <w:rStyle w:val="FootnoteReference"/>
        </w:rPr>
        <w:footnoteReference w:id="4"/>
      </w:r>
      <w:r w:rsidRPr="00EF494A">
        <w:t xml:space="preserve"> in 2013-14 </w:t>
      </w:r>
      <w:r w:rsidR="002376FE" w:rsidRPr="00EF494A">
        <w:t xml:space="preserve">up </w:t>
      </w:r>
      <w:r w:rsidR="00955C40" w:rsidRPr="00EF494A">
        <w:t xml:space="preserve">from </w:t>
      </w:r>
      <w:r w:rsidRPr="00EF494A">
        <w:t xml:space="preserve">14.5 per cent in 2012-13.  </w:t>
      </w:r>
      <w:r w:rsidR="00E643CB" w:rsidRPr="00EF494A">
        <w:t>There was a delay in the release of s</w:t>
      </w:r>
      <w:r w:rsidR="00127080" w:rsidRPr="00EF494A">
        <w:t>chool</w:t>
      </w:r>
      <w:r w:rsidR="00E643CB" w:rsidRPr="00EF494A">
        <w:t xml:space="preserve"> operating grants </w:t>
      </w:r>
      <w:r w:rsidR="00127080" w:rsidRPr="00EF494A">
        <w:t>in 2013-14</w:t>
      </w:r>
      <w:r w:rsidR="00E643CB" w:rsidRPr="00EF494A">
        <w:t>, due to the tight fiscal situation.</w:t>
      </w:r>
      <w:r w:rsidR="00E643CB" w:rsidRPr="00EF494A">
        <w:rPr>
          <w:rStyle w:val="FootnoteReference"/>
        </w:rPr>
        <w:footnoteReference w:id="5"/>
      </w:r>
    </w:p>
    <w:p w:rsidR="008F2927" w:rsidRPr="00EF494A" w:rsidRDefault="00517562" w:rsidP="0037100F">
      <w:pPr>
        <w:pStyle w:val="BodyText"/>
      </w:pPr>
      <w:r w:rsidRPr="00EF494A">
        <w:t>The EFA:FTI program has been Australia’</w:t>
      </w:r>
      <w:r w:rsidR="001F54A0" w:rsidRPr="00EF494A">
        <w:t>s flagship investment in Laos, and a</w:t>
      </w:r>
      <w:r w:rsidR="00376A0B" w:rsidRPr="00EF494A">
        <w:t xml:space="preserve"> 12-month </w:t>
      </w:r>
      <w:r w:rsidR="001F54A0" w:rsidRPr="00EF494A">
        <w:t xml:space="preserve">extension (until August 2014) </w:t>
      </w:r>
      <w:r w:rsidR="005E14A7" w:rsidRPr="00EF494A">
        <w:t xml:space="preserve">enabled </w:t>
      </w:r>
      <w:r w:rsidR="00376A0B" w:rsidRPr="00EF494A">
        <w:t>substantive program targe</w:t>
      </w:r>
      <w:r w:rsidR="001F54A0" w:rsidRPr="00EF494A">
        <w:t>ts to be realised</w:t>
      </w:r>
      <w:r w:rsidR="00376A0B" w:rsidRPr="00EF494A">
        <w:t xml:space="preserve">.  </w:t>
      </w:r>
      <w:r w:rsidR="00D95290" w:rsidRPr="00EF494A">
        <w:t>There was a slight improvement i</w:t>
      </w:r>
      <w:r w:rsidR="005E14A7" w:rsidRPr="00EF494A">
        <w:t xml:space="preserve">n Net Enrolment Rates in target districts </w:t>
      </w:r>
      <w:r w:rsidR="000C12CB" w:rsidRPr="00EF494A">
        <w:t>for 2013-14 at 96 per</w:t>
      </w:r>
      <w:r w:rsidR="0094339B">
        <w:t xml:space="preserve"> </w:t>
      </w:r>
      <w:r w:rsidR="000C12CB" w:rsidRPr="00EF494A">
        <w:t>cent (95 per cent for girls</w:t>
      </w:r>
      <w:r w:rsidR="00D95290" w:rsidRPr="00EF494A">
        <w:t>), representing a significant 15 per cent improvement ov</w:t>
      </w:r>
      <w:r w:rsidR="00EB60D6" w:rsidRPr="00EF494A">
        <w:t xml:space="preserve">erall compared to </w:t>
      </w:r>
      <w:r w:rsidR="00D95290" w:rsidRPr="00EF494A">
        <w:t>2008-09</w:t>
      </w:r>
      <w:r w:rsidR="00EB60D6" w:rsidRPr="00EF494A">
        <w:t xml:space="preserve"> rates.</w:t>
      </w:r>
      <w:r w:rsidR="00C232A5" w:rsidRPr="00EF494A">
        <w:t xml:space="preserve">  </w:t>
      </w:r>
      <w:r w:rsidR="00842813" w:rsidRPr="00EF494A">
        <w:t>Student retention rates in target districts increased on average from 52 per cent in 2008-09 to 70 pe</w:t>
      </w:r>
      <w:r w:rsidR="001F54A0" w:rsidRPr="00EF494A">
        <w:t>r cent in 2013-14 for girls and</w:t>
      </w:r>
      <w:r w:rsidR="00842813" w:rsidRPr="00EF494A">
        <w:t xml:space="preserve"> from 55 per cent to 69 per cent </w:t>
      </w:r>
      <w:r w:rsidR="002376FE" w:rsidRPr="00EF494A">
        <w:t>for</w:t>
      </w:r>
      <w:r w:rsidR="00842813" w:rsidRPr="00EF494A">
        <w:t xml:space="preserve"> boys.  </w:t>
      </w:r>
      <w:r w:rsidR="001F54A0" w:rsidRPr="00EF494A">
        <w:t xml:space="preserve">The program </w:t>
      </w:r>
      <w:r w:rsidR="00C232A5" w:rsidRPr="00EF494A">
        <w:t xml:space="preserve">contributed </w:t>
      </w:r>
      <w:r w:rsidR="002376FE" w:rsidRPr="00EF494A">
        <w:t>a large</w:t>
      </w:r>
      <w:r w:rsidR="00C232A5" w:rsidRPr="00EF494A">
        <w:t xml:space="preserve"> increase in the number of complete schools (offer</w:t>
      </w:r>
      <w:r w:rsidR="00842813" w:rsidRPr="00EF494A">
        <w:t xml:space="preserve">ing all five grades) in </w:t>
      </w:r>
      <w:r w:rsidR="00C232A5" w:rsidRPr="00EF494A">
        <w:t>target districts, from 38 per cent in 2009-10 to 67 per cent in 2012-13.</w:t>
      </w:r>
    </w:p>
    <w:p w:rsidR="001F54A0" w:rsidRPr="00EF494A" w:rsidRDefault="00452894" w:rsidP="0037100F">
      <w:pPr>
        <w:pStyle w:val="BodyText"/>
      </w:pPr>
      <w:r w:rsidRPr="00EF494A">
        <w:t xml:space="preserve">Expertise in delivering better quality education </w:t>
      </w:r>
      <w:r w:rsidR="0067188E">
        <w:t xml:space="preserve">was further </w:t>
      </w:r>
      <w:r w:rsidR="00D85344">
        <w:t>developed</w:t>
      </w:r>
      <w:r w:rsidR="002376FE" w:rsidRPr="00EF494A">
        <w:t>.</w:t>
      </w:r>
      <w:r w:rsidRPr="00EF494A">
        <w:t xml:space="preserve"> </w:t>
      </w:r>
      <w:r w:rsidR="002376FE" w:rsidRPr="00EF494A">
        <w:t>T</w:t>
      </w:r>
      <w:r w:rsidR="00D56D6B" w:rsidRPr="00EF494A">
        <w:t xml:space="preserve">raining </w:t>
      </w:r>
      <w:r w:rsidR="002376FE" w:rsidRPr="00EF494A">
        <w:t xml:space="preserve">was </w:t>
      </w:r>
      <w:r w:rsidRPr="00EF494A">
        <w:t xml:space="preserve">delivered </w:t>
      </w:r>
      <w:r w:rsidR="00D56D6B" w:rsidRPr="00EF494A">
        <w:t xml:space="preserve">to 2,343 teachers, 487 school officials (including schools principals) and 1,043 </w:t>
      </w:r>
      <w:r w:rsidRPr="00EF494A">
        <w:t xml:space="preserve">(222 female) </w:t>
      </w:r>
      <w:r w:rsidR="00D56D6B" w:rsidRPr="00EF494A">
        <w:t>Village Education Development Committee members</w:t>
      </w:r>
      <w:r w:rsidR="00692A80" w:rsidRPr="00EF494A">
        <w:t xml:space="preserve">.  </w:t>
      </w:r>
      <w:r w:rsidR="002376FE" w:rsidRPr="00EF494A">
        <w:t xml:space="preserve">Around 12,000 </w:t>
      </w:r>
      <w:r w:rsidRPr="00EF494A">
        <w:t xml:space="preserve">people have accessed professional development </w:t>
      </w:r>
      <w:r w:rsidR="001F54A0" w:rsidRPr="00EF494A">
        <w:t>training through</w:t>
      </w:r>
      <w:r w:rsidR="00692A80" w:rsidRPr="00EF494A">
        <w:t xml:space="preserve"> </w:t>
      </w:r>
      <w:r w:rsidR="001F54A0" w:rsidRPr="00EF494A">
        <w:t>the</w:t>
      </w:r>
      <w:r w:rsidR="00692A80" w:rsidRPr="00EF494A">
        <w:t xml:space="preserve"> program to date</w:t>
      </w:r>
      <w:r w:rsidR="009447F9" w:rsidRPr="00EF494A">
        <w:t xml:space="preserve"> (against an original end of program target of 17,000).</w:t>
      </w:r>
      <w:r w:rsidR="001F54A0" w:rsidRPr="00EF494A">
        <w:rPr>
          <w:rStyle w:val="FootnoteReference"/>
        </w:rPr>
        <w:footnoteReference w:id="6"/>
      </w:r>
      <w:r w:rsidR="009447F9" w:rsidRPr="00EF494A">
        <w:t xml:space="preserve">  </w:t>
      </w:r>
    </w:p>
    <w:p w:rsidR="00EB60D6" w:rsidRPr="00EF494A" w:rsidRDefault="00D95290" w:rsidP="0037100F">
      <w:pPr>
        <w:pStyle w:val="BodyText"/>
      </w:pPr>
      <w:r w:rsidRPr="00EF494A">
        <w:t>Good p</w:t>
      </w:r>
      <w:r w:rsidR="00B862FD" w:rsidRPr="00EF494A">
        <w:t xml:space="preserve">rogress was made in </w:t>
      </w:r>
      <w:r w:rsidRPr="00EF494A">
        <w:t>the community-based construction of additional classrooms</w:t>
      </w:r>
      <w:r w:rsidR="0067188E">
        <w:t>.</w:t>
      </w:r>
      <w:r w:rsidRPr="00EF494A">
        <w:t xml:space="preserve"> 713 classrooms (393 DFAT funded) in 146 schools (81 DFAT funded) </w:t>
      </w:r>
      <w:r w:rsidR="00E501F4" w:rsidRPr="00EF494A">
        <w:t>were built</w:t>
      </w:r>
      <w:r w:rsidRPr="00EF494A">
        <w:t xml:space="preserve"> in 2013-14</w:t>
      </w:r>
      <w:r w:rsidR="00706EEC" w:rsidRPr="00EF494A">
        <w:t xml:space="preserve">.  </w:t>
      </w:r>
      <w:r w:rsidR="00C232A5" w:rsidRPr="00EF494A">
        <w:t>The o</w:t>
      </w:r>
      <w:r w:rsidR="00706EEC" w:rsidRPr="00EF494A">
        <w:t xml:space="preserve">verall </w:t>
      </w:r>
      <w:r w:rsidR="00125AC5" w:rsidRPr="00EF494A">
        <w:t xml:space="preserve">program </w:t>
      </w:r>
      <w:r w:rsidR="00706EEC" w:rsidRPr="00EF494A">
        <w:t>school cons</w:t>
      </w:r>
      <w:r w:rsidR="00C232A5" w:rsidRPr="00EF494A">
        <w:t>truction target</w:t>
      </w:r>
      <w:r w:rsidR="00706EEC" w:rsidRPr="00EF494A">
        <w:t xml:space="preserve"> </w:t>
      </w:r>
      <w:r w:rsidR="00C232A5" w:rsidRPr="00EF494A">
        <w:t xml:space="preserve">of </w:t>
      </w:r>
      <w:r w:rsidR="00003959" w:rsidRPr="00EF494A">
        <w:t>718</w:t>
      </w:r>
      <w:r w:rsidR="00706EEC" w:rsidRPr="00EF494A">
        <w:t xml:space="preserve"> schools w</w:t>
      </w:r>
      <w:r w:rsidR="00E501F4" w:rsidRPr="00EF494A">
        <w:t>as</w:t>
      </w:r>
      <w:r w:rsidR="00706EEC" w:rsidRPr="00EF494A">
        <w:t xml:space="preserve"> met by </w:t>
      </w:r>
      <w:r w:rsidR="00003959" w:rsidRPr="00EF494A">
        <w:t>June</w:t>
      </w:r>
      <w:r w:rsidR="00706EEC" w:rsidRPr="00EF494A">
        <w:t xml:space="preserve"> 2014.</w:t>
      </w:r>
      <w:r w:rsidR="00003959" w:rsidRPr="00EF494A">
        <w:rPr>
          <w:rStyle w:val="FootnoteReference"/>
        </w:rPr>
        <w:footnoteReference w:id="7"/>
      </w:r>
      <w:r w:rsidR="00706EEC" w:rsidRPr="00EF494A">
        <w:t xml:space="preserve">  </w:t>
      </w:r>
      <w:r w:rsidR="006375AB" w:rsidRPr="00EF494A">
        <w:t xml:space="preserve">Further improvements were made in construction quality and control.  </w:t>
      </w:r>
      <w:r w:rsidR="001F54A0" w:rsidRPr="00EF494A">
        <w:t>A</w:t>
      </w:r>
      <w:r w:rsidR="00706EEC" w:rsidRPr="00EF494A">
        <w:t xml:space="preserve">n audit of all EFA:FTI schools on </w:t>
      </w:r>
      <w:r w:rsidR="00706EEC" w:rsidRPr="00EF494A">
        <w:lastRenderedPageBreak/>
        <w:t xml:space="preserve">the use </w:t>
      </w:r>
      <w:r w:rsidR="002760E5" w:rsidRPr="00EF494A">
        <w:t xml:space="preserve">of </w:t>
      </w:r>
      <w:r w:rsidR="00706EEC" w:rsidRPr="00EF494A">
        <w:t>unlabelled fibre-cement sheeting was completed.  Asbestos awareness and manageme</w:t>
      </w:r>
      <w:r w:rsidR="00EB60D6" w:rsidRPr="00EF494A">
        <w:t xml:space="preserve">nt training was delivered to </w:t>
      </w:r>
      <w:r w:rsidR="00E501F4" w:rsidRPr="00EF494A">
        <w:t xml:space="preserve">around </w:t>
      </w:r>
      <w:r w:rsidR="000656AF" w:rsidRPr="00EF494A">
        <w:t xml:space="preserve">80 </w:t>
      </w:r>
      <w:r w:rsidR="00EB60D6" w:rsidRPr="00EF494A">
        <w:t>construction personnel</w:t>
      </w:r>
      <w:r w:rsidR="00706EEC" w:rsidRPr="00EF494A">
        <w:t xml:space="preserve">, and preparations made for sampling and testing unlabelled </w:t>
      </w:r>
      <w:r w:rsidR="00125AC5" w:rsidRPr="00EF494A">
        <w:t>fibre-cement sheeting</w:t>
      </w:r>
      <w:r w:rsidR="00706EEC" w:rsidRPr="00EF494A">
        <w:t xml:space="preserve">.  Construction of water, sanitation and hygiene (WASH) facilities in </w:t>
      </w:r>
      <w:r w:rsidR="006009E3" w:rsidRPr="00EF494A">
        <w:t>74</w:t>
      </w:r>
      <w:r w:rsidR="00706EEC" w:rsidRPr="00EF494A">
        <w:t xml:space="preserve"> </w:t>
      </w:r>
      <w:r w:rsidR="001F54A0" w:rsidRPr="00EF494A">
        <w:t xml:space="preserve">EFA:FTI </w:t>
      </w:r>
      <w:r w:rsidR="00706EEC" w:rsidRPr="00EF494A">
        <w:t>s</w:t>
      </w:r>
      <w:r w:rsidR="00EB60D6" w:rsidRPr="00EF494A">
        <w:t>chools</w:t>
      </w:r>
      <w:r w:rsidR="006009E3" w:rsidRPr="00EF494A">
        <w:rPr>
          <w:rStyle w:val="FootnoteReference"/>
        </w:rPr>
        <w:footnoteReference w:id="8"/>
      </w:r>
      <w:r w:rsidR="00EB60D6" w:rsidRPr="00EF494A">
        <w:t xml:space="preserve"> was completed by UNICE</w:t>
      </w:r>
      <w:r w:rsidR="00791565" w:rsidRPr="00EF494A">
        <w:t>F</w:t>
      </w:r>
      <w:r w:rsidR="00E501F4" w:rsidRPr="00EF494A">
        <w:t>.</w:t>
      </w:r>
      <w:r w:rsidR="00791565" w:rsidRPr="00EF494A">
        <w:t xml:space="preserve"> </w:t>
      </w:r>
      <w:r w:rsidR="00E501F4" w:rsidRPr="00EF494A">
        <w:t>H</w:t>
      </w:r>
      <w:r w:rsidR="00791565" w:rsidRPr="00EF494A">
        <w:t xml:space="preserve">owever more time than originally anticipated was taken </w:t>
      </w:r>
      <w:r w:rsidR="00E501F4" w:rsidRPr="00EF494A">
        <w:t xml:space="preserve">to </w:t>
      </w:r>
      <w:r w:rsidR="00125AC5" w:rsidRPr="00EF494A">
        <w:t>prepar</w:t>
      </w:r>
      <w:r w:rsidR="00E501F4" w:rsidRPr="00EF494A">
        <w:t>e</w:t>
      </w:r>
      <w:r w:rsidR="00125AC5" w:rsidRPr="00EF494A">
        <w:t xml:space="preserve"> a new </w:t>
      </w:r>
      <w:r w:rsidR="00791565" w:rsidRPr="00EF494A">
        <w:t>phase</w:t>
      </w:r>
      <w:r w:rsidR="00706EEC" w:rsidRPr="00EF494A">
        <w:t xml:space="preserve"> </w:t>
      </w:r>
      <w:r w:rsidR="00125AC5" w:rsidRPr="00EF494A">
        <w:t xml:space="preserve">of </w:t>
      </w:r>
      <w:r w:rsidR="00706EEC" w:rsidRPr="00EF494A">
        <w:t xml:space="preserve">WASH facilities </w:t>
      </w:r>
      <w:r w:rsidR="001F54A0" w:rsidRPr="00EF494A">
        <w:t>construction</w:t>
      </w:r>
      <w:r w:rsidR="00125AC5" w:rsidRPr="00EF494A">
        <w:t xml:space="preserve"> from</w:t>
      </w:r>
      <w:r w:rsidR="00706EEC" w:rsidRPr="00EF494A">
        <w:t xml:space="preserve"> </w:t>
      </w:r>
      <w:r w:rsidR="008F2927" w:rsidRPr="00EF494A">
        <w:t>2014-15</w:t>
      </w:r>
      <w:r w:rsidR="002760E5" w:rsidRPr="00EF494A">
        <w:t>,</w:t>
      </w:r>
      <w:r w:rsidR="00B862FD" w:rsidRPr="00EF494A">
        <w:t xml:space="preserve"> </w:t>
      </w:r>
      <w:r w:rsidR="00E501F4" w:rsidRPr="00EF494A">
        <w:t xml:space="preserve">with </w:t>
      </w:r>
      <w:r w:rsidR="002760E5" w:rsidRPr="00EF494A">
        <w:t>remote</w:t>
      </w:r>
      <w:r w:rsidR="00E501F4" w:rsidRPr="00EF494A">
        <w:t xml:space="preserve"> </w:t>
      </w:r>
      <w:r w:rsidR="002760E5" w:rsidRPr="00EF494A">
        <w:t xml:space="preserve">location of </w:t>
      </w:r>
      <w:r w:rsidR="00B862FD" w:rsidRPr="00EF494A">
        <w:t xml:space="preserve">target </w:t>
      </w:r>
      <w:r w:rsidR="002760E5" w:rsidRPr="00EF494A">
        <w:t>schools complicating contracting arrangements</w:t>
      </w:r>
      <w:r w:rsidR="008F2927" w:rsidRPr="00EF494A">
        <w:t>.</w:t>
      </w:r>
    </w:p>
    <w:p w:rsidR="00376A0B" w:rsidRPr="00EF494A" w:rsidRDefault="00EB60D6" w:rsidP="0037100F">
      <w:pPr>
        <w:pStyle w:val="BodyText"/>
      </w:pPr>
      <w:r w:rsidRPr="00EF494A">
        <w:t xml:space="preserve">More children were assisted to participate in school with </w:t>
      </w:r>
      <w:r w:rsidR="00B862FD" w:rsidRPr="00EF494A">
        <w:t xml:space="preserve">the </w:t>
      </w:r>
      <w:r w:rsidR="00071265" w:rsidRPr="00EF494A">
        <w:t>W</w:t>
      </w:r>
      <w:r w:rsidR="00B862FD" w:rsidRPr="00EF494A">
        <w:t>orld Food Program (W</w:t>
      </w:r>
      <w:r w:rsidR="00071265" w:rsidRPr="00EF494A">
        <w:t>FP</w:t>
      </w:r>
      <w:r w:rsidR="00B862FD" w:rsidRPr="00EF494A">
        <w:t>)</w:t>
      </w:r>
      <w:r w:rsidR="00071265" w:rsidRPr="00EF494A">
        <w:t xml:space="preserve"> providing nutritious</w:t>
      </w:r>
      <w:r w:rsidRPr="00EF494A">
        <w:t xml:space="preserve"> school meals to 50,172</w:t>
      </w:r>
      <w:r w:rsidR="00E501F4" w:rsidRPr="00EF494A">
        <w:t xml:space="preserve"> students</w:t>
      </w:r>
      <w:r w:rsidRPr="00EF494A">
        <w:t xml:space="preserve"> (24,082 girls) liv</w:t>
      </w:r>
      <w:r w:rsidR="00E501F4" w:rsidRPr="00EF494A">
        <w:t>ing</w:t>
      </w:r>
      <w:r w:rsidRPr="00EF494A">
        <w:t xml:space="preserve"> in the most fo</w:t>
      </w:r>
      <w:r w:rsidR="00071265" w:rsidRPr="00EF494A">
        <w:t xml:space="preserve">od insecure districts.  </w:t>
      </w:r>
    </w:p>
    <w:p w:rsidR="00125AC5" w:rsidRPr="00EF494A" w:rsidRDefault="0037100F" w:rsidP="006A13A5">
      <w:pPr>
        <w:pStyle w:val="BodyText"/>
      </w:pPr>
      <w:r w:rsidRPr="00EF494A">
        <w:t xml:space="preserve">Australian support for basic education is going through a transition period. </w:t>
      </w:r>
      <w:r w:rsidR="00125AC5" w:rsidRPr="00EF494A">
        <w:t xml:space="preserve">A new Basic Education Delivery Strategy 2014-2018, approved in October 2013, sets the direction for Australia’s assistance to the sector in the medium </w:t>
      </w:r>
      <w:r w:rsidR="00B862FD" w:rsidRPr="00EF494A">
        <w:t xml:space="preserve">to long </w:t>
      </w:r>
      <w:r w:rsidR="00125AC5" w:rsidRPr="00EF494A">
        <w:t xml:space="preserve">term.  </w:t>
      </w:r>
      <w:r w:rsidR="00E501F4" w:rsidRPr="00EF494A">
        <w:t xml:space="preserve">In </w:t>
      </w:r>
      <w:r w:rsidR="00125AC5" w:rsidRPr="00EF494A">
        <w:t>2013-14, a new basic education investment - the Basic Education Quality and Access in Lao PDR (BEQUAL) program - was designed and approved</w:t>
      </w:r>
      <w:r w:rsidR="00B862FD" w:rsidRPr="00EF494A">
        <w:t>,</w:t>
      </w:r>
      <w:r w:rsidR="00125AC5" w:rsidRPr="00EF494A">
        <w:t xml:space="preserve"> with expected mobilisation in 2014</w:t>
      </w:r>
      <w:r w:rsidR="00B862FD" w:rsidRPr="00EF494A">
        <w:t>-15</w:t>
      </w:r>
      <w:r w:rsidR="00125AC5" w:rsidRPr="00EF494A">
        <w:t>.</w:t>
      </w:r>
      <w:r w:rsidR="0067188E">
        <w:t xml:space="preserve">  This investment will </w:t>
      </w:r>
      <w:r w:rsidR="00D85344">
        <w:t>build on the achievements made by</w:t>
      </w:r>
      <w:r w:rsidR="0067188E">
        <w:t xml:space="preserve"> the Education for All</w:t>
      </w:r>
      <w:r w:rsidR="00D85344">
        <w:t>:</w:t>
      </w:r>
      <w:r w:rsidR="0067188E">
        <w:t xml:space="preserve"> Fast Track Initiative.</w:t>
      </w:r>
    </w:p>
    <w:p w:rsidR="00B870FD" w:rsidRPr="00EF494A" w:rsidRDefault="00B870FD" w:rsidP="00B870FD">
      <w:pPr>
        <w:pStyle w:val="APPRHeading2"/>
        <w:rPr>
          <w:rFonts w:ascii="Franklin Gothic Demi" w:hAnsi="Franklin Gothic Demi"/>
          <w:b w:val="0"/>
        </w:rPr>
      </w:pPr>
      <w:r w:rsidRPr="00EF494A">
        <w:rPr>
          <w:rFonts w:ascii="Franklin Gothic Demi" w:hAnsi="Franklin Gothic Demi"/>
          <w:b w:val="0"/>
        </w:rPr>
        <w:t xml:space="preserve">Objective 2: Better management of Government of Laos and donor resources available to education sector through the implementation of a jointly agreed 10-year education sector framework </w:t>
      </w:r>
    </w:p>
    <w:tbl>
      <w:tblPr>
        <w:tblStyle w:val="APPR"/>
        <w:tblW w:w="5000" w:type="pct"/>
        <w:tblLook w:val="04A0" w:firstRow="1" w:lastRow="0" w:firstColumn="1" w:lastColumn="0" w:noHBand="0" w:noVBand="1"/>
      </w:tblPr>
      <w:tblGrid>
        <w:gridCol w:w="7536"/>
        <w:gridCol w:w="1241"/>
      </w:tblGrid>
      <w:tr w:rsidR="00B870FD" w:rsidRPr="00EF494A" w:rsidTr="008973A1">
        <w:trPr>
          <w:cnfStyle w:val="100000000000" w:firstRow="1" w:lastRow="0" w:firstColumn="0" w:lastColumn="0" w:oddVBand="0" w:evenVBand="0" w:oddHBand="0" w:evenHBand="0" w:firstRowFirstColumn="0" w:firstRowLastColumn="0" w:lastRowFirstColumn="0" w:lastRowLastColumn="0"/>
        </w:trPr>
        <w:tc>
          <w:tcPr>
            <w:tcW w:w="7494" w:type="dxa"/>
            <w:tcBorders>
              <w:left w:val="nil"/>
              <w:right w:val="nil"/>
            </w:tcBorders>
            <w:hideMark/>
          </w:tcPr>
          <w:p w:rsidR="00B870FD" w:rsidRPr="00EF494A" w:rsidRDefault="00F70870" w:rsidP="001B7FB0">
            <w:pPr>
              <w:pStyle w:val="TableTextEntries"/>
            </w:pPr>
            <w:r w:rsidRPr="00EF494A">
              <w:t>Development outcome: A</w:t>
            </w:r>
            <w:r w:rsidR="00652AED" w:rsidRPr="00EF494A">
              <w:t>ll boys and girls complete a full course of primary education</w:t>
            </w:r>
          </w:p>
        </w:tc>
        <w:tc>
          <w:tcPr>
            <w:tcW w:w="1199" w:type="dxa"/>
            <w:tcBorders>
              <w:left w:val="nil"/>
              <w:right w:val="nil"/>
            </w:tcBorders>
            <w:shd w:val="clear" w:color="auto" w:fill="E36C0A" w:themeFill="accent6" w:themeFillShade="BF"/>
            <w:noWrap/>
            <w:hideMark/>
          </w:tcPr>
          <w:p w:rsidR="00B870FD" w:rsidRPr="00EF494A" w:rsidRDefault="00064BDC" w:rsidP="001B7FB0">
            <w:pPr>
              <w:pStyle w:val="TableTextEntries"/>
            </w:pPr>
            <w:r w:rsidRPr="00EF494A">
              <w:t>Amber</w:t>
            </w:r>
          </w:p>
        </w:tc>
      </w:tr>
    </w:tbl>
    <w:p w:rsidR="00DA10F8" w:rsidRPr="00EF494A" w:rsidRDefault="00DA10F8" w:rsidP="00DA10F8">
      <w:pPr>
        <w:pStyle w:val="Note"/>
      </w:pPr>
      <w:r w:rsidRPr="00EF494A">
        <w:rPr>
          <w:color w:val="E36C0A"/>
        </w:rPr>
        <w:sym w:font="Webdings" w:char="F067"/>
      </w:r>
      <w:r w:rsidRPr="00EF494A">
        <w:t> </w:t>
      </w:r>
      <w:r w:rsidRPr="00EF494A">
        <w:t xml:space="preserve"> Amber. Progress is somewhat less than expected for this point in time and restorative action will be necessary if the objective is to be achieved. Close performance monitoring is recommended.</w:t>
      </w:r>
    </w:p>
    <w:p w:rsidR="00DA10F8" w:rsidRPr="00EF494A" w:rsidRDefault="00DA10F8" w:rsidP="00DA10F8">
      <w:pPr>
        <w:pStyle w:val="BodyText"/>
        <w:rPr>
          <w:rFonts w:eastAsia="Calibri"/>
          <w:b/>
          <w:lang w:eastAsia="en-US"/>
        </w:rPr>
      </w:pPr>
      <w:r w:rsidRPr="00EF494A">
        <w:rPr>
          <w:rFonts w:eastAsia="Calibri"/>
          <w:b/>
          <w:lang w:eastAsia="en-US"/>
        </w:rPr>
        <w:t>Of the five milestones identified in the Performance Assessment Framework for this objective, three have been met and two partially met.</w:t>
      </w:r>
      <w:r w:rsidR="008C68E2" w:rsidRPr="00EF494A">
        <w:rPr>
          <w:rFonts w:eastAsia="Calibri"/>
          <w:b/>
          <w:lang w:eastAsia="en-US"/>
        </w:rPr>
        <w:t xml:space="preserve">  Given this performance, which represents an overall decline in progress from 2012-13</w:t>
      </w:r>
      <w:r w:rsidR="0068285A" w:rsidRPr="00EF494A">
        <w:rPr>
          <w:rFonts w:eastAsia="Calibri"/>
          <w:b/>
          <w:lang w:eastAsia="en-US"/>
        </w:rPr>
        <w:t xml:space="preserve">, the rating is </w:t>
      </w:r>
      <w:r w:rsidR="00EF494A" w:rsidRPr="00EF494A">
        <w:rPr>
          <w:rFonts w:eastAsia="Calibri"/>
          <w:b/>
          <w:lang w:eastAsia="en-US"/>
        </w:rPr>
        <w:t>assessed</w:t>
      </w:r>
      <w:r w:rsidR="0068285A" w:rsidRPr="00EF494A">
        <w:rPr>
          <w:rFonts w:eastAsia="Calibri"/>
          <w:b/>
          <w:lang w:eastAsia="en-US"/>
        </w:rPr>
        <w:t xml:space="preserve"> as being amber.  Performance issues relating to the implementation of recommendations from the Education Sector Development Plan, delays in the p</w:t>
      </w:r>
      <w:r w:rsidR="001466EE">
        <w:rPr>
          <w:rFonts w:eastAsia="Calibri"/>
          <w:b/>
          <w:lang w:eastAsia="en-US"/>
        </w:rPr>
        <w:t>reparation of costed plans and</w:t>
      </w:r>
      <w:r w:rsidR="0068285A" w:rsidRPr="00EF494A">
        <w:rPr>
          <w:rFonts w:eastAsia="Calibri"/>
          <w:b/>
          <w:lang w:eastAsia="en-US"/>
        </w:rPr>
        <w:t xml:space="preserve"> </w:t>
      </w:r>
      <w:r w:rsidR="001466EE">
        <w:rPr>
          <w:rFonts w:eastAsia="Calibri"/>
          <w:b/>
          <w:lang w:eastAsia="en-US"/>
        </w:rPr>
        <w:t>some gaps</w:t>
      </w:r>
      <w:r w:rsidR="0068285A" w:rsidRPr="00EF494A">
        <w:rPr>
          <w:rFonts w:eastAsia="Calibri"/>
          <w:b/>
          <w:lang w:eastAsia="en-US"/>
        </w:rPr>
        <w:t xml:space="preserve"> in sector monitoring are key factors in this change in performance.</w:t>
      </w:r>
    </w:p>
    <w:p w:rsidR="003F6E1A" w:rsidRPr="00EF494A" w:rsidRDefault="001E30E3" w:rsidP="00B870FD">
      <w:pPr>
        <w:pStyle w:val="BodyText"/>
        <w:rPr>
          <w:rFonts w:eastAsia="Calibri"/>
          <w:lang w:eastAsia="en-US"/>
        </w:rPr>
      </w:pPr>
      <w:r w:rsidRPr="00EF494A">
        <w:rPr>
          <w:rFonts w:eastAsia="Calibri"/>
          <w:lang w:eastAsia="en-US"/>
        </w:rPr>
        <w:t>Australia continued in its role of co-chair of the Education Sector Working Group</w:t>
      </w:r>
      <w:r w:rsidR="003F6E1A" w:rsidRPr="00EF494A">
        <w:rPr>
          <w:rFonts w:eastAsia="Calibri"/>
          <w:lang w:eastAsia="en-US"/>
        </w:rPr>
        <w:t xml:space="preserve"> (ESWG)</w:t>
      </w:r>
      <w:r w:rsidR="001057DA" w:rsidRPr="00EF494A">
        <w:rPr>
          <w:rFonts w:eastAsia="Calibri"/>
          <w:lang w:eastAsia="en-US"/>
        </w:rPr>
        <w:t xml:space="preserve">, which </w:t>
      </w:r>
      <w:r w:rsidR="00573B47" w:rsidRPr="00EF494A">
        <w:rPr>
          <w:rFonts w:eastAsia="Calibri"/>
          <w:lang w:eastAsia="en-US"/>
        </w:rPr>
        <w:t>enabled</w:t>
      </w:r>
      <w:r w:rsidRPr="00EF494A">
        <w:rPr>
          <w:rFonts w:eastAsia="Calibri"/>
          <w:lang w:eastAsia="en-US"/>
        </w:rPr>
        <w:t xml:space="preserve"> substantive policy dialogue, par</w:t>
      </w:r>
      <w:r w:rsidR="00064BDC" w:rsidRPr="00EF494A">
        <w:rPr>
          <w:rFonts w:eastAsia="Calibri"/>
          <w:lang w:eastAsia="en-US"/>
        </w:rPr>
        <w:t xml:space="preserve">ticularly on </w:t>
      </w:r>
      <w:r w:rsidRPr="00EF494A">
        <w:rPr>
          <w:rFonts w:eastAsia="Calibri"/>
          <w:lang w:eastAsia="en-US"/>
        </w:rPr>
        <w:t>education dis</w:t>
      </w:r>
      <w:r w:rsidR="001057DA" w:rsidRPr="00EF494A">
        <w:rPr>
          <w:rFonts w:eastAsia="Calibri"/>
          <w:lang w:eastAsia="en-US"/>
        </w:rPr>
        <w:t>advantage, inclusive education,</w:t>
      </w:r>
      <w:r w:rsidRPr="00EF494A">
        <w:rPr>
          <w:rFonts w:eastAsia="Calibri"/>
          <w:lang w:eastAsia="en-US"/>
        </w:rPr>
        <w:t xml:space="preserve"> </w:t>
      </w:r>
      <w:r w:rsidR="00064BDC" w:rsidRPr="00EF494A">
        <w:rPr>
          <w:rFonts w:eastAsia="Calibri"/>
          <w:lang w:eastAsia="en-US"/>
        </w:rPr>
        <w:t xml:space="preserve">and </w:t>
      </w:r>
      <w:r w:rsidRPr="00EF494A">
        <w:rPr>
          <w:rFonts w:eastAsia="Calibri"/>
          <w:lang w:eastAsia="en-US"/>
        </w:rPr>
        <w:t>transparency in budgeting</w:t>
      </w:r>
      <w:r w:rsidR="00064BDC" w:rsidRPr="00EF494A">
        <w:rPr>
          <w:rFonts w:eastAsia="Calibri"/>
          <w:lang w:eastAsia="en-US"/>
        </w:rPr>
        <w:t xml:space="preserve"> and planning</w:t>
      </w:r>
      <w:r w:rsidR="003F6E1A" w:rsidRPr="00EF494A">
        <w:t xml:space="preserve">. Four focal groups were established under the ESWG to enable technical discussions between the </w:t>
      </w:r>
      <w:r w:rsidR="00E501F4" w:rsidRPr="00EF494A">
        <w:t xml:space="preserve">Lao </w:t>
      </w:r>
      <w:r w:rsidR="003F6E1A" w:rsidRPr="00EF494A">
        <w:t>Government and development partners (including civil society) to support evidence-based policy-making.</w:t>
      </w:r>
      <w:r w:rsidR="00573B47" w:rsidRPr="00EF494A">
        <w:t xml:space="preserve">  Provincial ESWG </w:t>
      </w:r>
      <w:r w:rsidR="009935E5" w:rsidRPr="00EF494A">
        <w:t xml:space="preserve">coordination </w:t>
      </w:r>
      <w:r w:rsidR="00573B47" w:rsidRPr="00EF494A">
        <w:t xml:space="preserve">meetings </w:t>
      </w:r>
      <w:r w:rsidR="00127080" w:rsidRPr="00EF494A">
        <w:t>were planned</w:t>
      </w:r>
      <w:r w:rsidR="00A37859" w:rsidRPr="00EF494A">
        <w:t>,</w:t>
      </w:r>
      <w:r w:rsidR="00127080" w:rsidRPr="00EF494A">
        <w:t xml:space="preserve"> </w:t>
      </w:r>
      <w:r w:rsidR="00A37859" w:rsidRPr="00EF494A">
        <w:t xml:space="preserve">but </w:t>
      </w:r>
      <w:r w:rsidR="00573B47" w:rsidRPr="00EF494A">
        <w:t>did not occur.</w:t>
      </w:r>
    </w:p>
    <w:p w:rsidR="001057DA" w:rsidRPr="00EF494A" w:rsidRDefault="003F6E1A" w:rsidP="001057DA">
      <w:pPr>
        <w:pStyle w:val="BodyText"/>
      </w:pPr>
      <w:r w:rsidRPr="00EF494A">
        <w:rPr>
          <w:rFonts w:eastAsia="Calibri"/>
          <w:lang w:eastAsia="en-US"/>
        </w:rPr>
        <w:t xml:space="preserve">Shaping </w:t>
      </w:r>
      <w:r w:rsidR="001057DA" w:rsidRPr="00EF494A">
        <w:rPr>
          <w:rFonts w:eastAsia="Calibri"/>
          <w:lang w:eastAsia="en-US"/>
        </w:rPr>
        <w:t xml:space="preserve">dialogue </w:t>
      </w:r>
      <w:r w:rsidRPr="00EF494A">
        <w:rPr>
          <w:rFonts w:eastAsia="Calibri"/>
          <w:lang w:eastAsia="en-US"/>
        </w:rPr>
        <w:t xml:space="preserve">through the ESWG </w:t>
      </w:r>
      <w:r w:rsidR="001057DA" w:rsidRPr="00EF494A">
        <w:rPr>
          <w:rFonts w:eastAsia="Calibri"/>
          <w:lang w:eastAsia="en-US"/>
        </w:rPr>
        <w:t xml:space="preserve">were recommendations from the </w:t>
      </w:r>
      <w:r w:rsidR="00E501F4" w:rsidRPr="00EF494A">
        <w:rPr>
          <w:rFonts w:eastAsia="Calibri"/>
          <w:lang w:eastAsia="en-US"/>
        </w:rPr>
        <w:t xml:space="preserve">2013 </w:t>
      </w:r>
      <w:r w:rsidR="00CF2BBB" w:rsidRPr="00EF494A">
        <w:rPr>
          <w:rFonts w:eastAsia="Calibri"/>
          <w:lang w:eastAsia="en-US"/>
        </w:rPr>
        <w:t xml:space="preserve">Mid Term Review of the Education Sector Development Plan </w:t>
      </w:r>
      <w:r w:rsidR="00573B47" w:rsidRPr="00EF494A">
        <w:rPr>
          <w:rFonts w:eastAsia="Calibri"/>
          <w:lang w:eastAsia="en-US"/>
        </w:rPr>
        <w:t>(ESDP)</w:t>
      </w:r>
      <w:r w:rsidR="00E501F4" w:rsidRPr="00EF494A">
        <w:rPr>
          <w:rFonts w:eastAsia="Calibri"/>
          <w:lang w:eastAsia="en-US"/>
        </w:rPr>
        <w:t>, to which</w:t>
      </w:r>
      <w:r w:rsidR="00573B47" w:rsidRPr="00EF494A">
        <w:rPr>
          <w:rFonts w:eastAsia="Calibri"/>
          <w:lang w:eastAsia="en-US"/>
        </w:rPr>
        <w:t xml:space="preserve"> Australia contributed technical assistance</w:t>
      </w:r>
      <w:r w:rsidR="00CF2BBB" w:rsidRPr="00EF494A">
        <w:rPr>
          <w:rFonts w:eastAsia="Calibri"/>
          <w:lang w:eastAsia="en-US"/>
        </w:rPr>
        <w:t xml:space="preserve">.  </w:t>
      </w:r>
      <w:r w:rsidR="001057DA" w:rsidRPr="00EF494A">
        <w:rPr>
          <w:rFonts w:eastAsia="Calibri"/>
          <w:lang w:eastAsia="en-US"/>
        </w:rPr>
        <w:t xml:space="preserve">The review highlighted some of the most pressing </w:t>
      </w:r>
      <w:r w:rsidR="00C50C3B">
        <w:rPr>
          <w:rFonts w:eastAsia="Calibri"/>
          <w:lang w:eastAsia="en-US"/>
        </w:rPr>
        <w:t>issues</w:t>
      </w:r>
      <w:r w:rsidR="00C50C3B" w:rsidRPr="00EF494A">
        <w:rPr>
          <w:rFonts w:eastAsia="Calibri"/>
          <w:lang w:eastAsia="en-US"/>
        </w:rPr>
        <w:t xml:space="preserve"> </w:t>
      </w:r>
      <w:r w:rsidR="001057DA" w:rsidRPr="00EF494A">
        <w:rPr>
          <w:rFonts w:eastAsia="Calibri"/>
          <w:lang w:eastAsia="en-US"/>
        </w:rPr>
        <w:t>faced by the sector</w:t>
      </w:r>
      <w:r w:rsidR="00A11B50" w:rsidRPr="00EF494A">
        <w:rPr>
          <w:rFonts w:eastAsia="Calibri"/>
          <w:lang w:eastAsia="en-US"/>
        </w:rPr>
        <w:t>,</w:t>
      </w:r>
      <w:r w:rsidR="001057DA" w:rsidRPr="00EF494A">
        <w:rPr>
          <w:rFonts w:eastAsia="Calibri"/>
          <w:lang w:eastAsia="en-US"/>
        </w:rPr>
        <w:t xml:space="preserve"> such </w:t>
      </w:r>
      <w:r w:rsidR="001057DA" w:rsidRPr="00EF494A">
        <w:rPr>
          <w:rFonts w:eastAsia="Calibri"/>
          <w:lang w:eastAsia="en-US"/>
        </w:rPr>
        <w:lastRenderedPageBreak/>
        <w:t xml:space="preserve">as </w:t>
      </w:r>
      <w:r w:rsidR="00064BDC" w:rsidRPr="00EF494A">
        <w:t>the government decision to increase civil servant wages (including teacher</w:t>
      </w:r>
      <w:r w:rsidR="00A11B50" w:rsidRPr="00EF494A">
        <w:t>)</w:t>
      </w:r>
      <w:r w:rsidR="00064BDC" w:rsidRPr="00EF494A">
        <w:t xml:space="preserve"> wages in 2012-13 and again in 2013-14</w:t>
      </w:r>
      <w:r w:rsidR="00A11B50" w:rsidRPr="00EF494A">
        <w:t>, putting</w:t>
      </w:r>
      <w:r w:rsidR="00064BDC" w:rsidRPr="00EF494A">
        <w:t xml:space="preserve"> serious </w:t>
      </w:r>
      <w:r w:rsidR="00A11B50" w:rsidRPr="00EF494A">
        <w:t xml:space="preserve">pressure on </w:t>
      </w:r>
      <w:r w:rsidR="00064BDC" w:rsidRPr="00EF494A">
        <w:t xml:space="preserve">non-wage recurrent budget.  Inefficiencies related to teacher management and deployment were also highlighted, as teacher salaries consumed 88 per cent of the education recurrent budget for 2013-14, </w:t>
      </w:r>
      <w:r w:rsidR="00A11B50" w:rsidRPr="00EF494A">
        <w:t>and</w:t>
      </w:r>
      <w:r w:rsidR="00064BDC" w:rsidRPr="00EF494A">
        <w:t xml:space="preserve"> 94 per cent of the sub-national recurrent budget.  </w:t>
      </w:r>
      <w:r w:rsidR="009935E5" w:rsidRPr="00EF494A">
        <w:rPr>
          <w:rFonts w:eastAsia="Calibri"/>
          <w:lang w:eastAsia="en-US"/>
        </w:rPr>
        <w:t>The review prompted t</w:t>
      </w:r>
      <w:r w:rsidR="001E30E3" w:rsidRPr="00EF494A">
        <w:rPr>
          <w:rFonts w:eastAsia="Calibri"/>
          <w:lang w:eastAsia="en-US"/>
        </w:rPr>
        <w:t>he Minist</w:t>
      </w:r>
      <w:r w:rsidR="00CF2BBB" w:rsidRPr="00EF494A">
        <w:rPr>
          <w:rFonts w:eastAsia="Calibri"/>
          <w:lang w:eastAsia="en-US"/>
        </w:rPr>
        <w:t>r</w:t>
      </w:r>
      <w:r w:rsidR="001E30E3" w:rsidRPr="00EF494A">
        <w:rPr>
          <w:rFonts w:eastAsia="Calibri"/>
          <w:lang w:eastAsia="en-US"/>
        </w:rPr>
        <w:t xml:space="preserve">y of Education and Sports </w:t>
      </w:r>
      <w:r w:rsidR="009935E5" w:rsidRPr="00EF494A">
        <w:rPr>
          <w:rFonts w:eastAsia="Calibri"/>
          <w:lang w:eastAsia="en-US"/>
        </w:rPr>
        <w:t xml:space="preserve">to take </w:t>
      </w:r>
      <w:r w:rsidR="001E30E3" w:rsidRPr="00EF494A">
        <w:rPr>
          <w:rFonts w:eastAsia="Calibri"/>
          <w:lang w:eastAsia="en-US"/>
        </w:rPr>
        <w:t xml:space="preserve">some </w:t>
      </w:r>
      <w:r w:rsidR="00CF2BBB" w:rsidRPr="00EF494A">
        <w:rPr>
          <w:rFonts w:eastAsia="Calibri"/>
          <w:lang w:eastAsia="en-US"/>
        </w:rPr>
        <w:t>acti</w:t>
      </w:r>
      <w:r w:rsidR="001E30E3" w:rsidRPr="00EF494A">
        <w:rPr>
          <w:rFonts w:eastAsia="Calibri"/>
          <w:lang w:eastAsia="en-US"/>
        </w:rPr>
        <w:t>on</w:t>
      </w:r>
      <w:r w:rsidRPr="00EF494A">
        <w:rPr>
          <w:rFonts w:eastAsia="Calibri"/>
          <w:lang w:eastAsia="en-US"/>
        </w:rPr>
        <w:t xml:space="preserve">s to address this issue, however further </w:t>
      </w:r>
      <w:r w:rsidR="009935E5" w:rsidRPr="00EF494A">
        <w:rPr>
          <w:rFonts w:eastAsia="Calibri"/>
          <w:lang w:eastAsia="en-US"/>
        </w:rPr>
        <w:t xml:space="preserve">substantive </w:t>
      </w:r>
      <w:r w:rsidRPr="00EF494A">
        <w:rPr>
          <w:rFonts w:eastAsia="Calibri"/>
          <w:lang w:eastAsia="en-US"/>
        </w:rPr>
        <w:t xml:space="preserve">action </w:t>
      </w:r>
      <w:r w:rsidR="00A11B50" w:rsidRPr="00EF494A">
        <w:rPr>
          <w:rFonts w:eastAsia="Calibri"/>
          <w:lang w:eastAsia="en-US"/>
        </w:rPr>
        <w:t>is required.</w:t>
      </w:r>
    </w:p>
    <w:p w:rsidR="009336D3" w:rsidRPr="00EF494A" w:rsidRDefault="00573B47" w:rsidP="009336D3">
      <w:pPr>
        <w:pStyle w:val="BodyText"/>
      </w:pPr>
      <w:r w:rsidRPr="00EF494A">
        <w:t xml:space="preserve">The Government of Laos has requested Australia’s </w:t>
      </w:r>
      <w:r w:rsidR="00A11B50" w:rsidRPr="00EF494A">
        <w:t xml:space="preserve">help in preparing </w:t>
      </w:r>
      <w:r w:rsidRPr="00EF494A">
        <w:t xml:space="preserve">the next </w:t>
      </w:r>
      <w:r w:rsidR="009935E5" w:rsidRPr="00EF494A">
        <w:t>ESDP (2016-2020), an</w:t>
      </w:r>
      <w:r w:rsidRPr="00EF494A">
        <w:t xml:space="preserve"> indication of </w:t>
      </w:r>
      <w:r w:rsidR="009935E5" w:rsidRPr="00EF494A">
        <w:t xml:space="preserve">the high regard for </w:t>
      </w:r>
      <w:r w:rsidRPr="00EF494A">
        <w:t>Australia’</w:t>
      </w:r>
      <w:r w:rsidR="009935E5" w:rsidRPr="00EF494A">
        <w:t>s</w:t>
      </w:r>
      <w:r w:rsidRPr="00EF494A">
        <w:t xml:space="preserve"> leadership role</w:t>
      </w:r>
      <w:r w:rsidR="009935E5" w:rsidRPr="00EF494A">
        <w:t xml:space="preserve"> in the sector</w:t>
      </w:r>
      <w:r w:rsidRPr="00EF494A">
        <w:t>.  In April 2014, Australia funded</w:t>
      </w:r>
      <w:r w:rsidR="00064BDC" w:rsidRPr="00EF494A">
        <w:t>,</w:t>
      </w:r>
      <w:r w:rsidRPr="00EF494A">
        <w:t xml:space="preserve"> </w:t>
      </w:r>
      <w:r w:rsidR="0070053B" w:rsidRPr="00EF494A">
        <w:t>jointly with UNICEF</w:t>
      </w:r>
      <w:r w:rsidR="00064BDC" w:rsidRPr="00EF494A">
        <w:t>,</w:t>
      </w:r>
      <w:r w:rsidR="0070053B" w:rsidRPr="00EF494A">
        <w:t xml:space="preserve"> </w:t>
      </w:r>
      <w:r w:rsidRPr="00EF494A">
        <w:t xml:space="preserve">a workshop as a first stage in developing the new plan. </w:t>
      </w:r>
      <w:r w:rsidR="009336D3" w:rsidRPr="00EF494A">
        <w:t>Australia</w:t>
      </w:r>
      <w:r w:rsidR="00A11B50" w:rsidRPr="00EF494A">
        <w:t xml:space="preserve"> was also asked to help</w:t>
      </w:r>
      <w:r w:rsidR="009336D3" w:rsidRPr="00EF494A">
        <w:t xml:space="preserve"> </w:t>
      </w:r>
      <w:r w:rsidR="0087449A" w:rsidRPr="00EF494A">
        <w:t xml:space="preserve">establish a methodology </w:t>
      </w:r>
      <w:r w:rsidR="00A11B50" w:rsidRPr="00EF494A">
        <w:t>to</w:t>
      </w:r>
      <w:r w:rsidR="0087449A" w:rsidRPr="00EF494A">
        <w:t xml:space="preserve"> review</w:t>
      </w:r>
      <w:r w:rsidR="009336D3" w:rsidRPr="00EF494A">
        <w:t xml:space="preserve"> th</w:t>
      </w:r>
      <w:r w:rsidR="00064BDC" w:rsidRPr="00EF494A">
        <w:t>e Education Law (2007).  C</w:t>
      </w:r>
      <w:r w:rsidR="0070053B" w:rsidRPr="00EF494A">
        <w:t>ritical issues</w:t>
      </w:r>
      <w:r w:rsidR="00064BDC" w:rsidRPr="00EF494A">
        <w:t xml:space="preserve"> highlighted </w:t>
      </w:r>
      <w:r w:rsidR="0070053B" w:rsidRPr="00EF494A">
        <w:t>for further consultation both within government and with development partners</w:t>
      </w:r>
      <w:r w:rsidR="00064BDC" w:rsidRPr="00EF494A">
        <w:t xml:space="preserve"> include </w:t>
      </w:r>
      <w:r w:rsidR="0070053B" w:rsidRPr="00EF494A">
        <w:t>language of instruction and the length of compulsory education</w:t>
      </w:r>
      <w:r w:rsidR="009336D3" w:rsidRPr="00EF494A">
        <w:t>.</w:t>
      </w:r>
      <w:r w:rsidR="0087449A" w:rsidRPr="00EF494A">
        <w:rPr>
          <w:rStyle w:val="FootnoteReference"/>
        </w:rPr>
        <w:footnoteReference w:id="9"/>
      </w:r>
      <w:r w:rsidR="0070053B" w:rsidRPr="00EF494A">
        <w:t xml:space="preserve"> Australia will pursue</w:t>
      </w:r>
      <w:r w:rsidR="00A11B50" w:rsidRPr="00EF494A">
        <w:t xml:space="preserve"> this</w:t>
      </w:r>
      <w:r w:rsidR="0070053B" w:rsidRPr="00EF494A">
        <w:t xml:space="preserve"> further </w:t>
      </w:r>
      <w:r w:rsidR="00064BDC" w:rsidRPr="00EF494A">
        <w:t>through the ESWG.</w:t>
      </w:r>
    </w:p>
    <w:p w:rsidR="00410AE5" w:rsidRPr="00EF494A" w:rsidRDefault="00064BDC" w:rsidP="0037100F">
      <w:pPr>
        <w:pStyle w:val="BodyText"/>
      </w:pPr>
      <w:r w:rsidRPr="00EF494A">
        <w:t>P</w:t>
      </w:r>
      <w:r w:rsidR="00710357" w:rsidRPr="00EF494A">
        <w:t>rogress made in 2012-13</w:t>
      </w:r>
      <w:r w:rsidR="00A11B50" w:rsidRPr="00EF494A">
        <w:t>,</w:t>
      </w:r>
      <w:r w:rsidR="00710357" w:rsidRPr="00EF494A">
        <w:t xml:space="preserve"> with closer alignment between planning and budgeting processes through the preparation of</w:t>
      </w:r>
      <w:r w:rsidR="0037100F" w:rsidRPr="00EF494A">
        <w:t xml:space="preserve"> </w:t>
      </w:r>
      <w:r w:rsidR="00710357" w:rsidRPr="00EF494A">
        <w:t xml:space="preserve">an </w:t>
      </w:r>
      <w:r w:rsidR="0037100F" w:rsidRPr="00EF494A">
        <w:t>Annual Costed Sector Plan</w:t>
      </w:r>
      <w:r w:rsidR="00A11B50" w:rsidRPr="00EF494A">
        <w:t>,</w:t>
      </w:r>
      <w:r w:rsidR="0037100F" w:rsidRPr="00EF494A">
        <w:t xml:space="preserve"> </w:t>
      </w:r>
      <w:r w:rsidR="00710357" w:rsidRPr="00EF494A">
        <w:t>was stalled in 2013-14</w:t>
      </w:r>
      <w:r w:rsidR="0087449A" w:rsidRPr="00EF494A">
        <w:t>,</w:t>
      </w:r>
      <w:r w:rsidR="00710357" w:rsidRPr="00EF494A">
        <w:t xml:space="preserve"> with a delay in the availability of </w:t>
      </w:r>
      <w:r w:rsidR="0037100F" w:rsidRPr="00EF494A">
        <w:t>budget information</w:t>
      </w:r>
      <w:r w:rsidR="00A11B50" w:rsidRPr="00EF494A">
        <w:t xml:space="preserve"> - </w:t>
      </w:r>
      <w:r w:rsidR="0087449A" w:rsidRPr="00EF494A">
        <w:t>likely because of sensitivities</w:t>
      </w:r>
      <w:r w:rsidRPr="00EF494A">
        <w:t xml:space="preserve"> </w:t>
      </w:r>
      <w:r w:rsidR="00A11B50" w:rsidRPr="00EF494A">
        <w:t>surrounding</w:t>
      </w:r>
      <w:r w:rsidRPr="00EF494A">
        <w:t xml:space="preserve"> the budget crisis</w:t>
      </w:r>
      <w:r w:rsidR="00410AE5" w:rsidRPr="00EF494A">
        <w:t>.</w:t>
      </w:r>
    </w:p>
    <w:p w:rsidR="0037100F" w:rsidRPr="00EF494A" w:rsidRDefault="0037100F" w:rsidP="0037100F">
      <w:pPr>
        <w:pStyle w:val="Heading2"/>
        <w:rPr>
          <w:b/>
          <w:color w:val="124486"/>
          <w:sz w:val="22"/>
          <w:szCs w:val="22"/>
          <w:lang w:eastAsia="zh-CN"/>
        </w:rPr>
      </w:pPr>
      <w:r w:rsidRPr="00EF494A">
        <w:rPr>
          <w:b/>
          <w:color w:val="124486"/>
          <w:sz w:val="22"/>
          <w:szCs w:val="22"/>
          <w:lang w:eastAsia="zh-CN"/>
        </w:rPr>
        <w:t>Trade and Investment</w:t>
      </w:r>
    </w:p>
    <w:p w:rsidR="0030282A" w:rsidRPr="00EF494A" w:rsidRDefault="0030282A" w:rsidP="0030282A">
      <w:pPr>
        <w:pStyle w:val="Heading2"/>
        <w:rPr>
          <w:rFonts w:ascii="Franklin Gothic Demi" w:hAnsi="Franklin Gothic Demi"/>
          <w:color w:val="AD495D"/>
        </w:rPr>
      </w:pPr>
      <w:r w:rsidRPr="00EF494A">
        <w:rPr>
          <w:rFonts w:ascii="Franklin Gothic Demi" w:hAnsi="Franklin Gothic Demi"/>
          <w:color w:val="AD495D"/>
        </w:rPr>
        <w:t>Objective 3: policy and institutional impediments to trade and investment addressed in sectors that contribute to inclusive growth</w:t>
      </w:r>
    </w:p>
    <w:tbl>
      <w:tblPr>
        <w:tblStyle w:val="APPR"/>
        <w:tblW w:w="5000" w:type="pct"/>
        <w:tblLook w:val="04A0" w:firstRow="1" w:lastRow="0" w:firstColumn="1" w:lastColumn="0" w:noHBand="0" w:noVBand="1"/>
      </w:tblPr>
      <w:tblGrid>
        <w:gridCol w:w="7536"/>
        <w:gridCol w:w="1241"/>
      </w:tblGrid>
      <w:tr w:rsidR="0030282A" w:rsidRPr="00EF494A" w:rsidTr="00E6556F">
        <w:trPr>
          <w:cnfStyle w:val="100000000000" w:firstRow="1" w:lastRow="0" w:firstColumn="0" w:lastColumn="0" w:oddVBand="0" w:evenVBand="0" w:oddHBand="0" w:evenHBand="0" w:firstRowFirstColumn="0" w:firstRowLastColumn="0" w:lastRowFirstColumn="0" w:lastRowLastColumn="0"/>
        </w:trPr>
        <w:tc>
          <w:tcPr>
            <w:tcW w:w="7494" w:type="dxa"/>
            <w:tcBorders>
              <w:left w:val="nil"/>
              <w:right w:val="nil"/>
            </w:tcBorders>
            <w:hideMark/>
          </w:tcPr>
          <w:p w:rsidR="0030282A" w:rsidRPr="00EF494A" w:rsidRDefault="00F70870" w:rsidP="0030282A">
            <w:pPr>
              <w:pStyle w:val="TableTextEntries"/>
            </w:pPr>
            <w:r w:rsidRPr="00EF494A">
              <w:t xml:space="preserve">Development Outcome: </w:t>
            </w:r>
            <w:r w:rsidR="00C90057" w:rsidRPr="00EF494A">
              <w:t>increased trade and investment in sectors which support poverty reduction</w:t>
            </w:r>
          </w:p>
        </w:tc>
        <w:tc>
          <w:tcPr>
            <w:tcW w:w="1199" w:type="dxa"/>
            <w:tcBorders>
              <w:left w:val="nil"/>
              <w:right w:val="nil"/>
            </w:tcBorders>
            <w:shd w:val="clear" w:color="auto" w:fill="92D050"/>
            <w:noWrap/>
            <w:hideMark/>
          </w:tcPr>
          <w:p w:rsidR="0030282A" w:rsidRPr="00EF494A" w:rsidRDefault="0030282A" w:rsidP="001B7FB0">
            <w:pPr>
              <w:pStyle w:val="TableTextEntries"/>
            </w:pPr>
            <w:r w:rsidRPr="00EF494A">
              <w:t>Green</w:t>
            </w:r>
          </w:p>
        </w:tc>
      </w:tr>
    </w:tbl>
    <w:p w:rsidR="00E6556F" w:rsidRPr="00EF494A" w:rsidRDefault="00E6556F" w:rsidP="00E6556F">
      <w:pPr>
        <w:pStyle w:val="Note"/>
      </w:pPr>
      <w:r w:rsidRPr="00EF494A">
        <w:rPr>
          <w:color w:val="72AF2F"/>
        </w:rPr>
        <w:sym w:font="Webdings" w:char="F067"/>
      </w:r>
      <w:r w:rsidRPr="00EF494A">
        <w:t> </w:t>
      </w:r>
      <w:r w:rsidRPr="00EF494A">
        <w:t xml:space="preserve"> Green. Progress is as expected for this point in time and it is likely the objective will be achieved. Standard program management practices are sufficient.</w:t>
      </w:r>
    </w:p>
    <w:p w:rsidR="00C63171" w:rsidRPr="00EF494A" w:rsidRDefault="00C63171" w:rsidP="00C63171">
      <w:pPr>
        <w:pStyle w:val="BodyText"/>
        <w:rPr>
          <w:b/>
        </w:rPr>
      </w:pPr>
      <w:r w:rsidRPr="00EF494A">
        <w:rPr>
          <w:rFonts w:eastAsia="Calibri"/>
          <w:b/>
          <w:lang w:eastAsia="en-US"/>
        </w:rPr>
        <w:t>Of the seven milestones identified in the Performance Assessment Framework for this objective, six were met.  The rating is the same as last year as progress is well underway and steady.</w:t>
      </w:r>
      <w:r w:rsidRPr="00EF494A">
        <w:rPr>
          <w:b/>
        </w:rPr>
        <w:t xml:space="preserve">  </w:t>
      </w:r>
      <w:r w:rsidRPr="00EF494A">
        <w:rPr>
          <w:rFonts w:eastAsia="Calibri"/>
          <w:b/>
          <w:lang w:eastAsia="en-US"/>
        </w:rPr>
        <w:t>Milestones under this objective are mainly linked to the progress of the Trade Development Facility Phase 2 (2013-</w:t>
      </w:r>
      <w:r w:rsidR="0069039A" w:rsidRPr="00EF494A">
        <w:rPr>
          <w:rFonts w:eastAsia="Calibri"/>
          <w:b/>
          <w:lang w:eastAsia="en-US"/>
        </w:rPr>
        <w:t>17</w:t>
      </w:r>
      <w:r w:rsidRPr="00EF494A">
        <w:rPr>
          <w:rFonts w:eastAsia="Calibri"/>
          <w:b/>
          <w:lang w:eastAsia="en-US"/>
        </w:rPr>
        <w:t>).</w:t>
      </w:r>
    </w:p>
    <w:p w:rsidR="004970AA" w:rsidRPr="00EF494A" w:rsidRDefault="005878A3" w:rsidP="004970AA">
      <w:pPr>
        <w:pStyle w:val="BodyText"/>
      </w:pPr>
      <w:r w:rsidRPr="00EF494A">
        <w:t>Laos’ ranking in the World Bank’s Ease of Doing Business Report improved slightly, up from 163 last year to</w:t>
      </w:r>
      <w:r w:rsidR="00782655" w:rsidRPr="00EF494A">
        <w:t xml:space="preserve"> </w:t>
      </w:r>
      <w:r w:rsidRPr="00EF494A">
        <w:t>159 this year.  Key areas of improvement are in ease of trade across borders and a reduction in the rate of corporate income tax.</w:t>
      </w:r>
      <w:r w:rsidR="003928D2" w:rsidRPr="00EF494A">
        <w:t xml:space="preserve">  </w:t>
      </w:r>
      <w:r w:rsidRPr="00EF494A">
        <w:t>The Lao Ministry of Industry and Commerce has shown continued commitment to trade reforms post-</w:t>
      </w:r>
      <w:r w:rsidR="004970AA" w:rsidRPr="00EF494A">
        <w:t>W</w:t>
      </w:r>
      <w:r w:rsidRPr="00EF494A">
        <w:t>TO accession</w:t>
      </w:r>
      <w:r w:rsidR="00AC534B" w:rsidRPr="00EF494A">
        <w:rPr>
          <w:rStyle w:val="FootnoteReference"/>
        </w:rPr>
        <w:footnoteReference w:id="10"/>
      </w:r>
      <w:r w:rsidRPr="00EF494A">
        <w:t xml:space="preserve">, and is </w:t>
      </w:r>
      <w:r w:rsidR="00A11B50" w:rsidRPr="00EF494A">
        <w:t>increasingly</w:t>
      </w:r>
      <w:r w:rsidR="003928D2" w:rsidRPr="00EF494A">
        <w:t xml:space="preserve"> focus</w:t>
      </w:r>
      <w:r w:rsidR="00A11B50" w:rsidRPr="00EF494A">
        <w:t>ed</w:t>
      </w:r>
      <w:r w:rsidR="003928D2" w:rsidRPr="00EF494A">
        <w:t xml:space="preserve"> </w:t>
      </w:r>
      <w:r w:rsidRPr="00EF494A">
        <w:t>on ASEAN integration.</w:t>
      </w:r>
      <w:r w:rsidR="004970AA" w:rsidRPr="00EF494A">
        <w:t xml:space="preserve">  The Ministry’s leadership of the Trade and Private Sector Development Working Group is strong.</w:t>
      </w:r>
    </w:p>
    <w:p w:rsidR="0037100F" w:rsidRPr="00EF494A" w:rsidRDefault="0037100F" w:rsidP="0037100F">
      <w:pPr>
        <w:pStyle w:val="BodyText"/>
      </w:pPr>
      <w:r w:rsidRPr="00EF494A">
        <w:t>Building on the success of the T</w:t>
      </w:r>
      <w:r w:rsidR="00C63171" w:rsidRPr="00EF494A">
        <w:t>rade Develop</w:t>
      </w:r>
      <w:r w:rsidR="0069039A" w:rsidRPr="00EF494A">
        <w:t xml:space="preserve">ment Facility </w:t>
      </w:r>
      <w:r w:rsidR="003928D2" w:rsidRPr="00EF494A">
        <w:t xml:space="preserve">(TDF) </w:t>
      </w:r>
      <w:r w:rsidR="0069039A" w:rsidRPr="00EF494A">
        <w:t>Phase 1 (2007-13</w:t>
      </w:r>
      <w:r w:rsidR="00C63171" w:rsidRPr="00EF494A">
        <w:t>), Australia’s support to a second phase o</w:t>
      </w:r>
      <w:r w:rsidR="003928D2" w:rsidRPr="00EF494A">
        <w:t>f the TDF</w:t>
      </w:r>
      <w:r w:rsidR="00A11B50" w:rsidRPr="00EF494A">
        <w:t xml:space="preserve"> began</w:t>
      </w:r>
      <w:r w:rsidR="00C63171" w:rsidRPr="00EF494A">
        <w:t xml:space="preserve"> in April 2013.  </w:t>
      </w:r>
      <w:r w:rsidRPr="00EF494A">
        <w:t>The objective</w:t>
      </w:r>
      <w:r w:rsidR="00C63171" w:rsidRPr="00EF494A">
        <w:t xml:space="preserve"> of the facility</w:t>
      </w:r>
      <w:r w:rsidRPr="00EF494A">
        <w:t xml:space="preserve"> is to </w:t>
      </w:r>
      <w:r w:rsidRPr="00EF494A">
        <w:lastRenderedPageBreak/>
        <w:t>support th</w:t>
      </w:r>
      <w:r w:rsidR="00C63171" w:rsidRPr="00EF494A">
        <w:t>e impleme</w:t>
      </w:r>
      <w:r w:rsidR="003928D2" w:rsidRPr="00EF494A">
        <w:t>ntation of government</w:t>
      </w:r>
      <w:r w:rsidRPr="00EF494A">
        <w:t xml:space="preserve"> trade and integration priorities, </w:t>
      </w:r>
      <w:r w:rsidR="00A11B50" w:rsidRPr="00EF494A">
        <w:t xml:space="preserve">and </w:t>
      </w:r>
      <w:r w:rsidRPr="00EF494A">
        <w:t>to improve competitivenes</w:t>
      </w:r>
      <w:r w:rsidR="00C63171" w:rsidRPr="00EF494A">
        <w:t xml:space="preserve">s and diversification </w:t>
      </w:r>
      <w:r w:rsidRPr="00EF494A">
        <w:t>outs</w:t>
      </w:r>
      <w:r w:rsidR="00C63171" w:rsidRPr="00EF494A">
        <w:t>ide the natur</w:t>
      </w:r>
      <w:r w:rsidR="003928D2" w:rsidRPr="00EF494A">
        <w:t>al resource sector.  TDF2</w:t>
      </w:r>
      <w:r w:rsidRPr="00EF494A">
        <w:t xml:space="preserve"> is in </w:t>
      </w:r>
      <w:r w:rsidR="00C63171" w:rsidRPr="00EF494A">
        <w:t xml:space="preserve">the </w:t>
      </w:r>
      <w:r w:rsidRPr="00EF494A">
        <w:t>early stages of implementation. Overall, progress has been</w:t>
      </w:r>
      <w:r w:rsidRPr="00EF494A">
        <w:rPr>
          <w:sz w:val="24"/>
        </w:rPr>
        <w:t xml:space="preserve"> </w:t>
      </w:r>
      <w:r w:rsidR="00C63171" w:rsidRPr="00EF494A">
        <w:t>positive</w:t>
      </w:r>
      <w:r w:rsidRPr="00EF494A">
        <w:t>. Initial work on Non-tariff Measures (NTMs) has commenced</w:t>
      </w:r>
      <w:r w:rsidR="00A11B50" w:rsidRPr="00EF494A">
        <w:t xml:space="preserve"> and a </w:t>
      </w:r>
      <w:r w:rsidRPr="00EF494A">
        <w:t xml:space="preserve">NTMs review panel established to identify and streamline domestic NTMs. This work </w:t>
      </w:r>
      <w:r w:rsidR="00C63171" w:rsidRPr="00EF494A">
        <w:t xml:space="preserve">is </w:t>
      </w:r>
      <w:r w:rsidRPr="00EF494A">
        <w:t>expect</w:t>
      </w:r>
      <w:r w:rsidR="00C63171" w:rsidRPr="00EF494A">
        <w:t>ed</w:t>
      </w:r>
      <w:r w:rsidRPr="00EF494A">
        <w:t xml:space="preserve"> to help </w:t>
      </w:r>
      <w:r w:rsidR="003928D2" w:rsidRPr="00EF494A">
        <w:t>the g</w:t>
      </w:r>
      <w:r w:rsidR="00C63171" w:rsidRPr="00EF494A">
        <w:t>overnment</w:t>
      </w:r>
      <w:r w:rsidRPr="00EF494A">
        <w:t xml:space="preserve"> further reduce barrier</w:t>
      </w:r>
      <w:r w:rsidR="00AE7DE7" w:rsidRPr="00EF494A">
        <w:t>s</w:t>
      </w:r>
      <w:r w:rsidRPr="00EF494A">
        <w:t xml:space="preserve"> to trade.  Preparation for an external NTMs survey is underway to identify the most binding foreign NTMs faced by Lao exporters. </w:t>
      </w:r>
    </w:p>
    <w:p w:rsidR="0037100F" w:rsidRPr="00EF494A" w:rsidRDefault="00AE7DE7" w:rsidP="0037100F">
      <w:pPr>
        <w:pStyle w:val="BodyText"/>
      </w:pPr>
      <w:r w:rsidRPr="00EF494A">
        <w:t>A s</w:t>
      </w:r>
      <w:r w:rsidR="0037100F" w:rsidRPr="00EF494A">
        <w:t>ervices regulatory assessment to map laws and regulations</w:t>
      </w:r>
      <w:r w:rsidRPr="00EF494A">
        <w:t xml:space="preserve"> affecting trade in services</w:t>
      </w:r>
      <w:r w:rsidR="00114E17" w:rsidRPr="00EF494A">
        <w:t xml:space="preserve"> started</w:t>
      </w:r>
      <w:r w:rsidR="0037100F" w:rsidRPr="00EF494A">
        <w:t xml:space="preserve"> in January 2014. This work wil</w:t>
      </w:r>
      <w:r w:rsidRPr="00EF494A">
        <w:t xml:space="preserve">l help assess the </w:t>
      </w:r>
      <w:r w:rsidR="0037100F" w:rsidRPr="00EF494A">
        <w:t xml:space="preserve">consistency </w:t>
      </w:r>
      <w:r w:rsidRPr="00EF494A">
        <w:t xml:space="preserve">of laws and regulations </w:t>
      </w:r>
      <w:r w:rsidR="0037100F" w:rsidRPr="00EF494A">
        <w:t>with WTO and ASEAN commitments</w:t>
      </w:r>
      <w:r w:rsidR="00782655" w:rsidRPr="00EF494A">
        <w:t xml:space="preserve"> and it </w:t>
      </w:r>
      <w:r w:rsidR="004970AA" w:rsidRPr="00EF494A">
        <w:t xml:space="preserve">will </w:t>
      </w:r>
      <w:r w:rsidR="00782655" w:rsidRPr="00EF494A">
        <w:t xml:space="preserve">also </w:t>
      </w:r>
      <w:r w:rsidR="004970AA" w:rsidRPr="00EF494A">
        <w:t>assist in developing</w:t>
      </w:r>
      <w:r w:rsidRPr="00EF494A">
        <w:t xml:space="preserve"> a better </w:t>
      </w:r>
      <w:r w:rsidR="0037100F" w:rsidRPr="00EF494A">
        <w:t>understand</w:t>
      </w:r>
      <w:r w:rsidRPr="00EF494A">
        <w:t>ing of the</w:t>
      </w:r>
      <w:r w:rsidR="0037100F" w:rsidRPr="00EF494A">
        <w:t xml:space="preserve"> institutional constraints and restrictions that impair s</w:t>
      </w:r>
      <w:r w:rsidRPr="00EF494A">
        <w:t>ervices sector growth</w:t>
      </w:r>
      <w:r w:rsidR="0037100F" w:rsidRPr="00EF494A">
        <w:t xml:space="preserve">. </w:t>
      </w:r>
      <w:r w:rsidRPr="00EF494A">
        <w:t xml:space="preserve"> An a</w:t>
      </w:r>
      <w:r w:rsidR="0037100F" w:rsidRPr="00EF494A">
        <w:t xml:space="preserve">ssessment of </w:t>
      </w:r>
      <w:r w:rsidR="0069039A" w:rsidRPr="00EF494A">
        <w:t xml:space="preserve">the </w:t>
      </w:r>
      <w:r w:rsidR="0037100F" w:rsidRPr="00EF494A">
        <w:t xml:space="preserve">institutional and regulatory framework for </w:t>
      </w:r>
      <w:r w:rsidRPr="00EF494A">
        <w:t xml:space="preserve">the </w:t>
      </w:r>
      <w:r w:rsidR="0037100F" w:rsidRPr="00EF494A">
        <w:t>tele</w:t>
      </w:r>
      <w:r w:rsidRPr="00EF494A">
        <w:t xml:space="preserve">communication sector started in March 2014.  </w:t>
      </w:r>
      <w:r w:rsidR="0037100F" w:rsidRPr="00EF494A">
        <w:t>WTO accession require</w:t>
      </w:r>
      <w:r w:rsidRPr="00EF494A">
        <w:t>s</w:t>
      </w:r>
      <w:r w:rsidR="0069039A" w:rsidRPr="00EF494A">
        <w:t xml:space="preserve"> the framework</w:t>
      </w:r>
      <w:r w:rsidR="0037100F" w:rsidRPr="00EF494A">
        <w:t xml:space="preserve"> to comply with </w:t>
      </w:r>
      <w:r w:rsidR="004970AA" w:rsidRPr="00EF494A">
        <w:t xml:space="preserve">the </w:t>
      </w:r>
      <w:r w:rsidR="0069039A" w:rsidRPr="00EF494A">
        <w:t>WTO’s telecommunication</w:t>
      </w:r>
      <w:r w:rsidR="0037100F" w:rsidRPr="00EF494A">
        <w:t xml:space="preserve"> reference paper</w:t>
      </w:r>
      <w:r w:rsidR="0069039A" w:rsidRPr="00EF494A">
        <w:t>,</w:t>
      </w:r>
      <w:r w:rsidR="0037100F" w:rsidRPr="00EF494A">
        <w:t xml:space="preserve"> including obligations to prevent anti</w:t>
      </w:r>
      <w:r w:rsidR="004970AA" w:rsidRPr="00EF494A">
        <w:t>-</w:t>
      </w:r>
      <w:r w:rsidR="0037100F" w:rsidRPr="00EF494A">
        <w:t>competitive practices, access to interconnection and the need for an independent regulator.</w:t>
      </w:r>
    </w:p>
    <w:p w:rsidR="0037100F" w:rsidRPr="00EF494A" w:rsidRDefault="00C50C3B" w:rsidP="0037100F">
      <w:pPr>
        <w:pStyle w:val="BodyText"/>
      </w:pPr>
      <w:r>
        <w:t>Our trade sector assistance launched a</w:t>
      </w:r>
      <w:r w:rsidR="00AE7DE7" w:rsidRPr="00EF494A">
        <w:t xml:space="preserve"> </w:t>
      </w:r>
      <w:r w:rsidR="0037100F" w:rsidRPr="00EF494A">
        <w:t xml:space="preserve">Business Assistance Facility (BAF) </w:t>
      </w:r>
      <w:r w:rsidR="00AE7DE7" w:rsidRPr="00EF494A">
        <w:t>in December 2013</w:t>
      </w:r>
      <w:r w:rsidR="0069039A" w:rsidRPr="00EF494A">
        <w:t xml:space="preserve"> to </w:t>
      </w:r>
      <w:r w:rsidR="00114E17" w:rsidRPr="00EF494A">
        <w:t xml:space="preserve">help </w:t>
      </w:r>
      <w:r w:rsidR="0069039A" w:rsidRPr="00EF494A">
        <w:t>businesses grow and become more competitive through the use of matching grants and business advisory services</w:t>
      </w:r>
      <w:r w:rsidR="00AE7DE7" w:rsidRPr="00EF494A">
        <w:t xml:space="preserve">.  </w:t>
      </w:r>
      <w:r w:rsidR="00E20D8F" w:rsidRPr="00EF494A">
        <w:t>Seventeen</w:t>
      </w:r>
      <w:r w:rsidR="0037100F" w:rsidRPr="00EF494A">
        <w:t xml:space="preserve"> </w:t>
      </w:r>
      <w:r w:rsidR="0069039A" w:rsidRPr="00EF494A">
        <w:t>application</w:t>
      </w:r>
      <w:r w:rsidR="004970AA" w:rsidRPr="00EF494A">
        <w:t>s</w:t>
      </w:r>
      <w:r w:rsidR="0069039A" w:rsidRPr="00EF494A">
        <w:t xml:space="preserve"> for funding through the BAF have been approved</w:t>
      </w:r>
      <w:r w:rsidR="001F1A88" w:rsidRPr="00EF494A">
        <w:t xml:space="preserve">.  Eight </w:t>
      </w:r>
      <w:r w:rsidR="00E20D8F" w:rsidRPr="00EF494A">
        <w:t>of the 17 applications were from female entrepren</w:t>
      </w:r>
      <w:r w:rsidR="001F1A88" w:rsidRPr="00EF494A">
        <w:t>eurs</w:t>
      </w:r>
      <w:r w:rsidR="0069039A" w:rsidRPr="00EF494A">
        <w:t>.</w:t>
      </w:r>
    </w:p>
    <w:p w:rsidR="0037100F" w:rsidRPr="00EF494A" w:rsidRDefault="00C50C3B" w:rsidP="0037100F">
      <w:pPr>
        <w:pStyle w:val="BodyText"/>
      </w:pPr>
      <w:r>
        <w:t>Continued support was provided to t</w:t>
      </w:r>
      <w:r w:rsidR="00AE7DE7" w:rsidRPr="00EF494A">
        <w:t xml:space="preserve">he </w:t>
      </w:r>
      <w:r w:rsidR="0037100F" w:rsidRPr="00EF494A">
        <w:t>Garment Skills Development Centre (GSDC)</w:t>
      </w:r>
      <w:r>
        <w:t xml:space="preserve">. </w:t>
      </w:r>
      <w:r w:rsidR="0037100F" w:rsidRPr="00EF494A">
        <w:t xml:space="preserve"> </w:t>
      </w:r>
      <w:r>
        <w:t xml:space="preserve">The centre </w:t>
      </w:r>
      <w:r w:rsidR="0037100F" w:rsidRPr="00EF494A">
        <w:t>provide</w:t>
      </w:r>
      <w:r>
        <w:t>d</w:t>
      </w:r>
      <w:r w:rsidR="0037100F" w:rsidRPr="00EF494A">
        <w:t xml:space="preserve"> training services to garment factory workers </w:t>
      </w:r>
      <w:r w:rsidR="00114E17" w:rsidRPr="00EF494A">
        <w:t xml:space="preserve">and </w:t>
      </w:r>
      <w:r w:rsidR="0037100F" w:rsidRPr="00EF494A">
        <w:t xml:space="preserve">for individuals </w:t>
      </w:r>
      <w:r w:rsidR="00E16FD9" w:rsidRPr="00EF494A">
        <w:t xml:space="preserve">from other sub-sectors </w:t>
      </w:r>
      <w:r w:rsidR="0037100F" w:rsidRPr="00EF494A">
        <w:t>who wish to establish t</w:t>
      </w:r>
      <w:r w:rsidR="00E16FD9" w:rsidRPr="00EF494A">
        <w:t>heir own businesses</w:t>
      </w:r>
      <w:r w:rsidR="0037100F" w:rsidRPr="00EF494A">
        <w:t xml:space="preserve">. </w:t>
      </w:r>
      <w:r w:rsidR="00AE7DE7" w:rsidRPr="00EF494A">
        <w:t>Ninety-six</w:t>
      </w:r>
      <w:r w:rsidR="0037100F" w:rsidRPr="00EF494A">
        <w:t xml:space="preserve"> people (</w:t>
      </w:r>
      <w:r w:rsidR="00AE7DE7" w:rsidRPr="00EF494A">
        <w:t>including 87 women) benefited from training</w:t>
      </w:r>
      <w:r w:rsidR="0037100F" w:rsidRPr="00EF494A">
        <w:t xml:space="preserve"> </w:t>
      </w:r>
      <w:r w:rsidR="00114E17" w:rsidRPr="00EF494A">
        <w:t xml:space="preserve">in </w:t>
      </w:r>
      <w:r w:rsidR="0037100F" w:rsidRPr="00EF494A">
        <w:t xml:space="preserve">the reporting period.  </w:t>
      </w:r>
      <w:r w:rsidR="00E16FD9" w:rsidRPr="00EF494A">
        <w:t xml:space="preserve">Good progress is </w:t>
      </w:r>
      <w:r w:rsidR="0037100F" w:rsidRPr="00EF494A">
        <w:t>be</w:t>
      </w:r>
      <w:r w:rsidR="00AE7DE7" w:rsidRPr="00EF494A">
        <w:t xml:space="preserve">ing made on the </w:t>
      </w:r>
      <w:r w:rsidR="00114E17" w:rsidRPr="00EF494A">
        <w:t xml:space="preserve">GSDC’s </w:t>
      </w:r>
      <w:r w:rsidR="00AE7DE7" w:rsidRPr="00EF494A">
        <w:t>transition</w:t>
      </w:r>
      <w:r w:rsidR="0037100F" w:rsidRPr="00EF494A">
        <w:t xml:space="preserve"> towards a fully sustainable operating model, with financial and operational independence.</w:t>
      </w:r>
    </w:p>
    <w:p w:rsidR="0037100F" w:rsidRPr="00EF494A" w:rsidRDefault="00E16FD9" w:rsidP="0037100F">
      <w:pPr>
        <w:pStyle w:val="BodyText"/>
      </w:pPr>
      <w:r w:rsidRPr="00EF494A">
        <w:t>Research and policy analysis under the</w:t>
      </w:r>
      <w:r w:rsidR="0037100F" w:rsidRPr="00EF494A">
        <w:t xml:space="preserve"> Diagnostic Trade Integration</w:t>
      </w:r>
      <w:r w:rsidRPr="00EF494A">
        <w:t xml:space="preserve"> Study Challenge Facility</w:t>
      </w:r>
      <w:r w:rsidR="00542EFE">
        <w:t>, which draws on Trade Development Facility funding,</w:t>
      </w:r>
      <w:r w:rsidR="001466EE">
        <w:t xml:space="preserve"> </w:t>
      </w:r>
      <w:r w:rsidR="0037100F" w:rsidRPr="00EF494A">
        <w:t xml:space="preserve">is progressing well. </w:t>
      </w:r>
      <w:r w:rsidR="004970AA" w:rsidRPr="00EF494A">
        <w:t>A</w:t>
      </w:r>
      <w:r w:rsidRPr="00EF494A">
        <w:t xml:space="preserve">n application process </w:t>
      </w:r>
      <w:r w:rsidR="0037100F" w:rsidRPr="00EF494A">
        <w:t>for</w:t>
      </w:r>
      <w:r w:rsidR="00114E17" w:rsidRPr="00EF494A">
        <w:t xml:space="preserve"> </w:t>
      </w:r>
      <w:r w:rsidR="0037100F" w:rsidRPr="00EF494A">
        <w:t>proposals has been establis</w:t>
      </w:r>
      <w:r w:rsidR="00F91DD3" w:rsidRPr="00EF494A">
        <w:t>hed, and activities such as</w:t>
      </w:r>
      <w:r w:rsidR="001C3BBB" w:rsidRPr="00EF494A">
        <w:t xml:space="preserve"> </w:t>
      </w:r>
      <w:r w:rsidR="00F91DD3" w:rsidRPr="00EF494A">
        <w:t>implementing a regulation for the Manufacturing Law</w:t>
      </w:r>
      <w:r w:rsidR="00D02B9B" w:rsidRPr="00EF494A">
        <w:t xml:space="preserve"> (2013)</w:t>
      </w:r>
      <w:r w:rsidR="00F91DD3" w:rsidRPr="00EF494A">
        <w:t xml:space="preserve"> and undertaking assessments on barriers to free </w:t>
      </w:r>
      <w:r w:rsidR="00114E17" w:rsidRPr="00EF494A">
        <w:t xml:space="preserve">domestic </w:t>
      </w:r>
      <w:r w:rsidR="00F91DD3" w:rsidRPr="00EF494A">
        <w:t>movement of goods</w:t>
      </w:r>
      <w:r w:rsidR="00114E17" w:rsidRPr="00EF494A">
        <w:t>,</w:t>
      </w:r>
      <w:r w:rsidR="00F91DD3" w:rsidRPr="00EF494A">
        <w:t xml:space="preserve"> </w:t>
      </w:r>
      <w:r w:rsidR="001C3BBB" w:rsidRPr="00EF494A">
        <w:t>were</w:t>
      </w:r>
      <w:r w:rsidR="0037100F" w:rsidRPr="00EF494A">
        <w:t xml:space="preserve"> approved by the P</w:t>
      </w:r>
      <w:r w:rsidR="001C3BBB" w:rsidRPr="00EF494A">
        <w:t>rogram Executive Committee</w:t>
      </w:r>
      <w:r w:rsidR="0037100F" w:rsidRPr="00EF494A">
        <w:t xml:space="preserve"> in April 2014. </w:t>
      </w:r>
    </w:p>
    <w:p w:rsidR="005B6A93" w:rsidRPr="00EF494A" w:rsidRDefault="005B6A93" w:rsidP="005B6A93">
      <w:pPr>
        <w:pStyle w:val="Heading2"/>
        <w:rPr>
          <w:b/>
          <w:color w:val="124486"/>
          <w:sz w:val="22"/>
          <w:szCs w:val="22"/>
          <w:lang w:eastAsia="zh-CN"/>
        </w:rPr>
      </w:pPr>
      <w:r w:rsidRPr="00EF494A">
        <w:rPr>
          <w:b/>
          <w:color w:val="124486"/>
          <w:sz w:val="22"/>
          <w:szCs w:val="22"/>
          <w:lang w:eastAsia="zh-CN"/>
        </w:rPr>
        <w:t>Rural Development</w:t>
      </w:r>
    </w:p>
    <w:p w:rsidR="00551C5B" w:rsidRPr="00EF494A" w:rsidRDefault="00551C5B" w:rsidP="00551C5B">
      <w:pPr>
        <w:spacing w:before="60" w:after="60"/>
        <w:rPr>
          <w:rFonts w:ascii="Franklin Gothic Demi" w:eastAsia="Times New Roman" w:hAnsi="Franklin Gothic Demi" w:cs="Arial"/>
          <w:color w:val="AD495D"/>
          <w:kern w:val="28"/>
          <w:sz w:val="24"/>
          <w:szCs w:val="28"/>
        </w:rPr>
      </w:pPr>
      <w:r w:rsidRPr="00EF494A">
        <w:rPr>
          <w:rFonts w:ascii="Franklin Gothic Demi" w:eastAsia="Times New Roman" w:hAnsi="Franklin Gothic Demi" w:cs="Arial"/>
          <w:color w:val="AD495D"/>
          <w:kern w:val="28"/>
          <w:sz w:val="24"/>
          <w:szCs w:val="28"/>
        </w:rPr>
        <w:t xml:space="preserve">Objective 4: Improve inclusive access to finance, productive assets, and market opportunities </w:t>
      </w:r>
    </w:p>
    <w:tbl>
      <w:tblPr>
        <w:tblStyle w:val="APPR"/>
        <w:tblW w:w="5000" w:type="pct"/>
        <w:tblLook w:val="04A0" w:firstRow="1" w:lastRow="0" w:firstColumn="1" w:lastColumn="0" w:noHBand="0" w:noVBand="1"/>
      </w:tblPr>
      <w:tblGrid>
        <w:gridCol w:w="7536"/>
        <w:gridCol w:w="1241"/>
      </w:tblGrid>
      <w:tr w:rsidR="00551C5B" w:rsidRPr="00EF494A" w:rsidTr="00E6556F">
        <w:trPr>
          <w:cnfStyle w:val="100000000000" w:firstRow="1" w:lastRow="0" w:firstColumn="0" w:lastColumn="0" w:oddVBand="0" w:evenVBand="0" w:oddHBand="0" w:evenHBand="0" w:firstRowFirstColumn="0" w:firstRowLastColumn="0" w:lastRowFirstColumn="0" w:lastRowLastColumn="0"/>
        </w:trPr>
        <w:tc>
          <w:tcPr>
            <w:tcW w:w="7494" w:type="dxa"/>
            <w:tcBorders>
              <w:left w:val="nil"/>
              <w:right w:val="nil"/>
            </w:tcBorders>
            <w:hideMark/>
          </w:tcPr>
          <w:p w:rsidR="00551C5B" w:rsidRPr="00EF494A" w:rsidRDefault="00F70870" w:rsidP="001B7FB0">
            <w:pPr>
              <w:pStyle w:val="TableTextEntries"/>
            </w:pPr>
            <w:r w:rsidRPr="00EF494A">
              <w:t xml:space="preserve">Development Outcome: </w:t>
            </w:r>
            <w:r w:rsidR="00642027" w:rsidRPr="00EF494A">
              <w:t xml:space="preserve">less than </w:t>
            </w:r>
            <w:r w:rsidRPr="00EF494A">
              <w:t xml:space="preserve">a </w:t>
            </w:r>
            <w:r w:rsidR="00642027" w:rsidRPr="00EF494A">
              <w:t>quarter of the population living below the poverty line</w:t>
            </w:r>
          </w:p>
        </w:tc>
        <w:tc>
          <w:tcPr>
            <w:tcW w:w="1199" w:type="dxa"/>
            <w:tcBorders>
              <w:left w:val="nil"/>
              <w:right w:val="nil"/>
            </w:tcBorders>
            <w:shd w:val="clear" w:color="auto" w:fill="92D050"/>
            <w:noWrap/>
            <w:hideMark/>
          </w:tcPr>
          <w:p w:rsidR="00551C5B" w:rsidRPr="00EF494A" w:rsidRDefault="00551C5B" w:rsidP="001B7FB0">
            <w:pPr>
              <w:pStyle w:val="TableTextEntries"/>
            </w:pPr>
            <w:r w:rsidRPr="00EF494A">
              <w:t>Green</w:t>
            </w:r>
          </w:p>
        </w:tc>
      </w:tr>
    </w:tbl>
    <w:p w:rsidR="00E6556F" w:rsidRPr="00EF494A" w:rsidRDefault="00E6556F" w:rsidP="00E6556F">
      <w:pPr>
        <w:pStyle w:val="Note"/>
      </w:pPr>
      <w:r w:rsidRPr="00EF494A">
        <w:rPr>
          <w:color w:val="72AF2F"/>
        </w:rPr>
        <w:sym w:font="Webdings" w:char="F067"/>
      </w:r>
      <w:r w:rsidRPr="00EF494A">
        <w:t> </w:t>
      </w:r>
      <w:r w:rsidRPr="00EF494A">
        <w:t xml:space="preserve"> Green. Progress is as expected for this point in time and it is likely the objective will be achieved. Standard program management practices are sufficient.</w:t>
      </w:r>
    </w:p>
    <w:p w:rsidR="00E01294" w:rsidRPr="00EF494A" w:rsidRDefault="00642027" w:rsidP="00551C5B">
      <w:pPr>
        <w:pStyle w:val="BodyText"/>
        <w:rPr>
          <w:b/>
        </w:rPr>
      </w:pPr>
      <w:r w:rsidRPr="00EF494A">
        <w:rPr>
          <w:b/>
        </w:rPr>
        <w:t>Overall progress in 2013 has been good. Five of the eight milestones have been met</w:t>
      </w:r>
      <w:r w:rsidR="00114E17" w:rsidRPr="00EF494A">
        <w:rPr>
          <w:b/>
        </w:rPr>
        <w:t>.</w:t>
      </w:r>
      <w:r w:rsidRPr="00EF494A">
        <w:rPr>
          <w:b/>
        </w:rPr>
        <w:t xml:space="preserve"> </w:t>
      </w:r>
      <w:r w:rsidR="00114E17" w:rsidRPr="00EF494A">
        <w:rPr>
          <w:b/>
        </w:rPr>
        <w:t xml:space="preserve"> T</w:t>
      </w:r>
      <w:r w:rsidRPr="00EF494A">
        <w:rPr>
          <w:b/>
        </w:rPr>
        <w:t xml:space="preserve">hree are partially met and expected to be completed within the year. </w:t>
      </w:r>
    </w:p>
    <w:p w:rsidR="00C114D2" w:rsidRPr="00EF494A" w:rsidRDefault="001466EE" w:rsidP="00C114D2">
      <w:pPr>
        <w:pStyle w:val="BodyText"/>
      </w:pPr>
      <w:r>
        <w:t>Notwithstanding</w:t>
      </w:r>
      <w:r w:rsidR="00C114D2" w:rsidRPr="00EF494A">
        <w:t xml:space="preserve"> new economic opportunities</w:t>
      </w:r>
      <w:r>
        <w:t xml:space="preserve"> emerging in Laos</w:t>
      </w:r>
      <w:r w:rsidR="00C114D2" w:rsidRPr="00EF494A">
        <w:t xml:space="preserve">, sections of rural Laos continue to be impoverished and vulnerable.  Critical enabling factors such as access to social transfers (in cash or in kind) </w:t>
      </w:r>
      <w:r w:rsidR="00B771F9" w:rsidRPr="00EF494A">
        <w:t xml:space="preserve">through social protection schemes </w:t>
      </w:r>
      <w:r w:rsidR="00C114D2" w:rsidRPr="00EF494A">
        <w:t xml:space="preserve">and financial services can enable the rural population to invest in diversified livelihood strategies. </w:t>
      </w:r>
    </w:p>
    <w:p w:rsidR="00BE30EC" w:rsidRPr="00EF494A" w:rsidRDefault="00F40CFA" w:rsidP="00B771F9">
      <w:pPr>
        <w:pStyle w:val="BodyText"/>
      </w:pPr>
      <w:r w:rsidRPr="00EF494A">
        <w:lastRenderedPageBreak/>
        <w:t xml:space="preserve">Lao </w:t>
      </w:r>
      <w:r w:rsidR="00114E17" w:rsidRPr="00EF494A">
        <w:t xml:space="preserve">Government </w:t>
      </w:r>
      <w:r w:rsidRPr="00EF494A">
        <w:t>social protection expenditure for the poor is about 0.6 per cent</w:t>
      </w:r>
      <w:r w:rsidR="00114E17" w:rsidRPr="00EF494A">
        <w:t>,</w:t>
      </w:r>
      <w:r w:rsidRPr="00EF494A">
        <w:t xml:space="preserve"> while the average for non-poor is 2 per cent.  The average social protection expenditure on women is about 1 per cent and for men it is 1.7 per cent.</w:t>
      </w:r>
      <w:r w:rsidRPr="00070282">
        <w:rPr>
          <w:rStyle w:val="FootnoteReference"/>
        </w:rPr>
        <w:footnoteReference w:id="11"/>
      </w:r>
      <w:r w:rsidRPr="00070282">
        <w:rPr>
          <w:rStyle w:val="FootnoteReference"/>
        </w:rPr>
        <w:t xml:space="preserve"> </w:t>
      </w:r>
      <w:r w:rsidRPr="00EF494A">
        <w:t xml:space="preserve"> Lao PDR has made international commitment</w:t>
      </w:r>
      <w:r w:rsidR="007414C0" w:rsidRPr="00EF494A">
        <w:t xml:space="preserve">s to establish a universal </w:t>
      </w:r>
      <w:r w:rsidRPr="00EF494A">
        <w:t>social protection system</w:t>
      </w:r>
      <w:r w:rsidR="00B61DC5" w:rsidRPr="00EF494A">
        <w:t>.</w:t>
      </w:r>
    </w:p>
    <w:p w:rsidR="00AE1542" w:rsidRPr="00EF494A" w:rsidRDefault="005B6A93" w:rsidP="00C114D2">
      <w:pPr>
        <w:pStyle w:val="BodyText"/>
      </w:pPr>
      <w:r w:rsidRPr="00EF494A">
        <w:t xml:space="preserve">Less than 10 per cent of Lao households have access to formal financial services. Financial inclusion involves the delivery of a wide range of financial services such as savings, credit, insurance, remittances and payment services to the poor who traditionally could not participate in formal financial systems. </w:t>
      </w:r>
    </w:p>
    <w:p w:rsidR="00C86619" w:rsidRPr="00EF494A" w:rsidRDefault="00C86619" w:rsidP="00C86619">
      <w:pPr>
        <w:pStyle w:val="BodyText"/>
      </w:pPr>
      <w:r w:rsidRPr="00EF494A">
        <w:t>UXO</w:t>
      </w:r>
      <w:r w:rsidR="00B50F44" w:rsidRPr="00EF494A">
        <w:t xml:space="preserve"> continue</w:t>
      </w:r>
      <w:r w:rsidR="00114E17" w:rsidRPr="00EF494A">
        <w:t>s</w:t>
      </w:r>
      <w:r w:rsidRPr="00EF494A">
        <w:t xml:space="preserve"> to hinder </w:t>
      </w:r>
      <w:r w:rsidR="00B50F44" w:rsidRPr="00EF494A">
        <w:t>the ability of rural communities</w:t>
      </w:r>
      <w:r w:rsidRPr="00EF494A">
        <w:t xml:space="preserve"> to safely cultivate land</w:t>
      </w:r>
      <w:r w:rsidR="00114E17" w:rsidRPr="00EF494A">
        <w:t>,</w:t>
      </w:r>
      <w:r w:rsidRPr="00EF494A">
        <w:t xml:space="preserve"> affect</w:t>
      </w:r>
      <w:r w:rsidR="00114E17" w:rsidRPr="00EF494A">
        <w:t>ing</w:t>
      </w:r>
      <w:r w:rsidRPr="00EF494A">
        <w:t xml:space="preserve"> food security</w:t>
      </w:r>
      <w:r w:rsidR="00114E17" w:rsidRPr="00EF494A">
        <w:t xml:space="preserve">, </w:t>
      </w:r>
      <w:r w:rsidRPr="00EF494A">
        <w:t>income generation opportunities</w:t>
      </w:r>
      <w:r w:rsidR="00B50F44" w:rsidRPr="00EF494A">
        <w:t xml:space="preserve"> and poverty reduction.</w:t>
      </w:r>
    </w:p>
    <w:p w:rsidR="00AE1542" w:rsidRPr="00EF494A" w:rsidRDefault="00AE1542" w:rsidP="00AE1542">
      <w:pPr>
        <w:pStyle w:val="BodyText"/>
      </w:pPr>
      <w:r w:rsidRPr="00EF494A">
        <w:t xml:space="preserve">Under Australia’s principal investment in rural development – the Laos-Australia Rural Livelihoods Program (LARLP), </w:t>
      </w:r>
      <w:r w:rsidR="005B6A93" w:rsidRPr="00EF494A">
        <w:t xml:space="preserve">two </w:t>
      </w:r>
      <w:r w:rsidR="005B6A93" w:rsidRPr="00EF494A">
        <w:rPr>
          <w:b/>
        </w:rPr>
        <w:t>financial inclusion initiatives</w:t>
      </w:r>
      <w:r w:rsidR="005B6A93" w:rsidRPr="00EF494A">
        <w:t xml:space="preserve"> </w:t>
      </w:r>
      <w:r w:rsidR="00AC5B60" w:rsidRPr="00EF494A">
        <w:t xml:space="preserve">were started </w:t>
      </w:r>
      <w:r w:rsidRPr="00EF494A">
        <w:t>in 2013</w:t>
      </w:r>
      <w:r w:rsidR="00AC5B60" w:rsidRPr="00EF494A">
        <w:t>, in partnership with GIZ</w:t>
      </w:r>
      <w:r w:rsidR="0094339B">
        <w:rPr>
          <w:rStyle w:val="FootnoteReference"/>
        </w:rPr>
        <w:footnoteReference w:id="12"/>
      </w:r>
      <w:r w:rsidR="00AC5B60" w:rsidRPr="00EF494A">
        <w:t xml:space="preserve"> and </w:t>
      </w:r>
      <w:r w:rsidR="0094339B">
        <w:t>the United Nations Capital Development Fund (</w:t>
      </w:r>
      <w:r w:rsidR="00AC5B60" w:rsidRPr="00EF494A">
        <w:t>UNCDF</w:t>
      </w:r>
      <w:r w:rsidR="0094339B">
        <w:t>)</w:t>
      </w:r>
      <w:r w:rsidR="005B6A93" w:rsidRPr="00EF494A">
        <w:t>. Despite delay</w:t>
      </w:r>
      <w:r w:rsidR="00AC5B60" w:rsidRPr="00EF494A">
        <w:t xml:space="preserve">s </w:t>
      </w:r>
      <w:r w:rsidR="005B6A93" w:rsidRPr="00EF494A">
        <w:t>in</w:t>
      </w:r>
      <w:r w:rsidRPr="00EF494A">
        <w:t xml:space="preserve"> start</w:t>
      </w:r>
      <w:r w:rsidR="00AC5B60" w:rsidRPr="00EF494A">
        <w:t>ing</w:t>
      </w:r>
      <w:r w:rsidR="005B6A93" w:rsidRPr="00EF494A">
        <w:t xml:space="preserve"> both projects, 54 village banks and 7 newly-licensed micro-finance institutions now operate. Because of these achievements, more than 10,900 poor women and men have i</w:t>
      </w:r>
      <w:r w:rsidR="00AC5B60" w:rsidRPr="00EF494A">
        <w:t>mproved</w:t>
      </w:r>
      <w:r w:rsidR="005B6A93" w:rsidRPr="00EF494A">
        <w:t xml:space="preserve"> access to m</w:t>
      </w:r>
      <w:r w:rsidRPr="00EF494A">
        <w:t>uch</w:t>
      </w:r>
      <w:r w:rsidR="00AC5B60" w:rsidRPr="00EF494A">
        <w:t>-</w:t>
      </w:r>
      <w:r w:rsidRPr="00EF494A">
        <w:t>needed financial services. Complementing this work, financial literacy modules were prepared to educate rural communities about the importance of savings, effective loan utilisation, repayment and avoiding credit traps. Financial literacy activities are expected to commence implementation in late 2014.</w:t>
      </w:r>
    </w:p>
    <w:p w:rsidR="005B6A93" w:rsidRPr="00EF494A" w:rsidRDefault="005B6A93" w:rsidP="00C114D2">
      <w:pPr>
        <w:pStyle w:val="BodyText"/>
      </w:pPr>
      <w:r w:rsidRPr="00EF494A">
        <w:t>Other on-going</w:t>
      </w:r>
      <w:r w:rsidR="00A4658F" w:rsidRPr="00EF494A">
        <w:t xml:space="preserve"> work includes strengthening the</w:t>
      </w:r>
      <w:r w:rsidRPr="00EF494A">
        <w:t xml:space="preserve"> financial services sector through technical assistance and training to t</w:t>
      </w:r>
      <w:r w:rsidR="00A4658F" w:rsidRPr="00EF494A">
        <w:t xml:space="preserve">he Bank of Laos. Australia’s support enabled </w:t>
      </w:r>
      <w:r w:rsidRPr="00EF494A">
        <w:t>the Micro Finance</w:t>
      </w:r>
      <w:r w:rsidR="00A4658F" w:rsidRPr="00EF494A">
        <w:t xml:space="preserve"> Association (MFA), </w:t>
      </w:r>
      <w:r w:rsidRPr="00EF494A">
        <w:t xml:space="preserve">akin to </w:t>
      </w:r>
      <w:r w:rsidR="00A4658F" w:rsidRPr="00EF494A">
        <w:t xml:space="preserve">a </w:t>
      </w:r>
      <w:r w:rsidRPr="00EF494A">
        <w:t>civil society voice</w:t>
      </w:r>
      <w:r w:rsidR="00A4658F" w:rsidRPr="00EF494A">
        <w:t xml:space="preserve"> in the finance sector</w:t>
      </w:r>
      <w:r w:rsidR="005278BA" w:rsidRPr="00EF494A">
        <w:t>,</w:t>
      </w:r>
      <w:r w:rsidR="00A4658F" w:rsidRPr="00EF494A">
        <w:t xml:space="preserve"> </w:t>
      </w:r>
      <w:r w:rsidR="00FD6342" w:rsidRPr="00EF494A">
        <w:t xml:space="preserve">to </w:t>
      </w:r>
      <w:r w:rsidR="00A4658F" w:rsidRPr="00EF494A">
        <w:t>receive</w:t>
      </w:r>
      <w:r w:rsidRPr="00EF494A">
        <w:t xml:space="preserve"> </w:t>
      </w:r>
      <w:r w:rsidR="005278BA" w:rsidRPr="00EF494A">
        <w:t xml:space="preserve">a </w:t>
      </w:r>
      <w:r w:rsidR="00A4658F" w:rsidRPr="00EF494A">
        <w:t>temporary license to operate, d</w:t>
      </w:r>
      <w:r w:rsidRPr="00EF494A">
        <w:t>espite initial misgivings from the Bank of La</w:t>
      </w:r>
      <w:r w:rsidR="00A4658F" w:rsidRPr="00EF494A">
        <w:t>os.</w:t>
      </w:r>
    </w:p>
    <w:p w:rsidR="007414C0" w:rsidRPr="00EF494A" w:rsidRDefault="007414C0" w:rsidP="007414C0">
      <w:pPr>
        <w:spacing w:after="160" w:line="280" w:lineRule="exact"/>
        <w:rPr>
          <w:rFonts w:ascii="Franklin Gothic Book" w:eastAsia="Times New Roman" w:hAnsi="Franklin Gothic Book"/>
          <w:sz w:val="21"/>
        </w:rPr>
      </w:pPr>
      <w:r w:rsidRPr="00EF494A">
        <w:rPr>
          <w:rFonts w:ascii="Franklin Gothic Book" w:eastAsia="Times New Roman" w:hAnsi="Franklin Gothic Book"/>
          <w:sz w:val="21"/>
        </w:rPr>
        <w:t>The</w:t>
      </w:r>
      <w:r w:rsidRPr="00EF494A">
        <w:rPr>
          <w:rFonts w:ascii="Franklin Gothic Book" w:eastAsia="Times New Roman" w:hAnsi="Franklin Gothic Book"/>
          <w:b/>
          <w:sz w:val="21"/>
        </w:rPr>
        <w:t xml:space="preserve"> </w:t>
      </w:r>
      <w:r w:rsidRPr="00EF494A">
        <w:rPr>
          <w:rFonts w:ascii="Franklin Gothic Book" w:eastAsia="Times New Roman" w:hAnsi="Franklin Gothic Book"/>
          <w:sz w:val="21"/>
        </w:rPr>
        <w:t xml:space="preserve">procurement and partners’ selection processes for the </w:t>
      </w:r>
      <w:r w:rsidRPr="00EF494A">
        <w:rPr>
          <w:rFonts w:ascii="Franklin Gothic Book" w:eastAsia="Times New Roman" w:hAnsi="Franklin Gothic Book"/>
          <w:b/>
          <w:sz w:val="21"/>
        </w:rPr>
        <w:t>social protection initiative</w:t>
      </w:r>
      <w:r w:rsidRPr="00EF494A">
        <w:rPr>
          <w:rFonts w:ascii="Franklin Gothic Book" w:eastAsia="Times New Roman" w:hAnsi="Franklin Gothic Book"/>
          <w:sz w:val="21"/>
        </w:rPr>
        <w:t xml:space="preserve"> under LARLP were completed by December 2013. </w:t>
      </w:r>
      <w:r w:rsidR="0094339B">
        <w:rPr>
          <w:rFonts w:ascii="Franklin Gothic Book" w:eastAsia="Times New Roman" w:hAnsi="Franklin Gothic Book"/>
          <w:sz w:val="21"/>
        </w:rPr>
        <w:t xml:space="preserve"> </w:t>
      </w:r>
      <w:r w:rsidRPr="00EF494A">
        <w:rPr>
          <w:rFonts w:ascii="Franklin Gothic Book" w:eastAsia="Times New Roman" w:hAnsi="Franklin Gothic Book"/>
          <w:sz w:val="21"/>
        </w:rPr>
        <w:t>Australia supported the Lao Government to strengthen its knowledge of, and capacity to, deliver social protection. Three government ministries</w:t>
      </w:r>
      <w:r w:rsidRPr="00EF494A">
        <w:rPr>
          <w:rStyle w:val="FootnoteReference"/>
          <w:rFonts w:eastAsia="Times New Roman"/>
        </w:rPr>
        <w:footnoteReference w:id="13"/>
      </w:r>
      <w:r w:rsidRPr="00EF494A">
        <w:rPr>
          <w:rFonts w:ascii="Franklin Gothic Book" w:eastAsia="Times New Roman" w:hAnsi="Franklin Gothic Book"/>
          <w:sz w:val="21"/>
        </w:rPr>
        <w:t xml:space="preserve"> and the National Committee on Rural Development and Poverty Eradication participated in a two-week certificate course and a regional policy conference on social protection. </w:t>
      </w:r>
      <w:r w:rsidR="00FD6342" w:rsidRPr="00EF494A">
        <w:rPr>
          <w:rFonts w:ascii="Franklin Gothic Book" w:eastAsia="Times New Roman" w:hAnsi="Franklin Gothic Book"/>
          <w:sz w:val="21"/>
        </w:rPr>
        <w:t>The Lao Government’s</w:t>
      </w:r>
      <w:r w:rsidRPr="00EF494A">
        <w:rPr>
          <w:rFonts w:ascii="Franklin Gothic Book" w:eastAsia="Times New Roman" w:hAnsi="Franklin Gothic Book"/>
          <w:sz w:val="21"/>
        </w:rPr>
        <w:t xml:space="preserve"> on-going budget crisis </w:t>
      </w:r>
      <w:r w:rsidR="00FD6342" w:rsidRPr="00EF494A">
        <w:rPr>
          <w:rFonts w:ascii="Franklin Gothic Book" w:eastAsia="Times New Roman" w:hAnsi="Franklin Gothic Book"/>
          <w:sz w:val="21"/>
        </w:rPr>
        <w:t>represents a major risk for the social protection initiative</w:t>
      </w:r>
      <w:r w:rsidRPr="00EF494A">
        <w:rPr>
          <w:rFonts w:ascii="Franklin Gothic Book" w:eastAsia="Times New Roman" w:hAnsi="Franklin Gothic Book"/>
          <w:sz w:val="21"/>
        </w:rPr>
        <w:t xml:space="preserve">. </w:t>
      </w:r>
    </w:p>
    <w:p w:rsidR="005B6A93" w:rsidRPr="00EF494A" w:rsidRDefault="007B1EEA" w:rsidP="00C114D2">
      <w:pPr>
        <w:pStyle w:val="BodyText"/>
      </w:pPr>
      <w:r w:rsidRPr="00EF494A">
        <w:t>T</w:t>
      </w:r>
      <w:r w:rsidR="005B6A93" w:rsidRPr="00EF494A">
        <w:t xml:space="preserve">he </w:t>
      </w:r>
      <w:r w:rsidR="005B6A93" w:rsidRPr="00EF494A">
        <w:rPr>
          <w:b/>
        </w:rPr>
        <w:t>Laos Australia NGO Co</w:t>
      </w:r>
      <w:r w:rsidR="00910C14" w:rsidRPr="00EF494A">
        <w:rPr>
          <w:b/>
        </w:rPr>
        <w:t>operation Agreements</w:t>
      </w:r>
      <w:r w:rsidR="00910C14" w:rsidRPr="00EF494A">
        <w:t xml:space="preserve"> (LANGOCA) </w:t>
      </w:r>
      <w:r w:rsidR="00FD6342" w:rsidRPr="00EF494A">
        <w:t xml:space="preserve">program ended </w:t>
      </w:r>
      <w:r w:rsidRPr="00EF494A">
        <w:t>in December 2013. I</w:t>
      </w:r>
      <w:r w:rsidR="005B6A93" w:rsidRPr="00EF494A">
        <w:t xml:space="preserve">n its </w:t>
      </w:r>
      <w:r w:rsidR="00FD6342" w:rsidRPr="00EF494A">
        <w:t>final</w:t>
      </w:r>
      <w:r w:rsidR="005B6A93" w:rsidRPr="00EF494A">
        <w:t xml:space="preserve"> year, LANGOCA continued to directly benefit rural households in five provinces, enabling them to access reliable income sources and thus mitigate the effects of the lean </w:t>
      </w:r>
      <w:r w:rsidR="005B6A93" w:rsidRPr="00EF494A">
        <w:lastRenderedPageBreak/>
        <w:t>harvest season. In 2013, more than 9,500 people (</w:t>
      </w:r>
      <w:r w:rsidR="00FD6342" w:rsidRPr="00EF494A">
        <w:t xml:space="preserve">around </w:t>
      </w:r>
      <w:r w:rsidR="005B6A93" w:rsidRPr="00EF494A">
        <w:t>5,000 women) increased their production of</w:t>
      </w:r>
      <w:r w:rsidRPr="00EF494A">
        <w:t>,</w:t>
      </w:r>
      <w:r w:rsidR="005B6A93" w:rsidRPr="00EF494A">
        <w:t xml:space="preserve"> and access to</w:t>
      </w:r>
      <w:r w:rsidRPr="00EF494A">
        <w:t>,</w:t>
      </w:r>
      <w:r w:rsidR="005B6A93" w:rsidRPr="00EF494A">
        <w:t xml:space="preserve"> food due to rice banks and irrigation systems</w:t>
      </w:r>
      <w:r w:rsidRPr="00EF494A">
        <w:t xml:space="preserve"> established by the program</w:t>
      </w:r>
      <w:r w:rsidR="005B6A93" w:rsidRPr="00EF494A">
        <w:t xml:space="preserve">. </w:t>
      </w:r>
      <w:r w:rsidRPr="00EF494A">
        <w:t xml:space="preserve"> </w:t>
      </w:r>
      <w:r w:rsidR="005B6A93" w:rsidRPr="00EF494A">
        <w:t>Rural communities also benefited from stronger capacities to prepare and respond to disasters. Village authorities in 24 out of</w:t>
      </w:r>
      <w:r w:rsidRPr="00EF494A">
        <w:t xml:space="preserve"> 70 villages in Met (Vientiane P</w:t>
      </w:r>
      <w:r w:rsidR="005B6A93" w:rsidRPr="00EF494A">
        <w:t>rovin</w:t>
      </w:r>
      <w:r w:rsidRPr="00EF494A">
        <w:t>ce), Ta Oy and Kalum (Saravane P</w:t>
      </w:r>
      <w:r w:rsidR="005B6A93" w:rsidRPr="00EF494A">
        <w:t>rovince) are now able to plan and respond to</w:t>
      </w:r>
      <w:r w:rsidRPr="00EF494A">
        <w:t xml:space="preserve"> disasters</w:t>
      </w:r>
      <w:r w:rsidR="005B6A93" w:rsidRPr="00EF494A">
        <w:t xml:space="preserve"> resulting in </w:t>
      </w:r>
      <w:r w:rsidR="00FD6342" w:rsidRPr="00EF494A">
        <w:t xml:space="preserve">a classification of </w:t>
      </w:r>
      <w:r w:rsidR="005B6A93" w:rsidRPr="00EF494A">
        <w:t xml:space="preserve">their villages </w:t>
      </w:r>
      <w:r w:rsidR="00FD6342" w:rsidRPr="00EF494A">
        <w:t xml:space="preserve">by District authorities </w:t>
      </w:r>
      <w:r w:rsidR="005B6A93" w:rsidRPr="00EF494A">
        <w:t>as resilient villages.</w:t>
      </w:r>
    </w:p>
    <w:p w:rsidR="005B6A93" w:rsidRPr="00EF494A" w:rsidRDefault="00C86619" w:rsidP="00C114D2">
      <w:pPr>
        <w:pStyle w:val="BodyText"/>
      </w:pPr>
      <w:r w:rsidRPr="00EF494A">
        <w:t>T</w:t>
      </w:r>
      <w:r w:rsidR="005B6A93" w:rsidRPr="00EF494A">
        <w:t xml:space="preserve">hrough our support to </w:t>
      </w:r>
      <w:r w:rsidRPr="00EF494A">
        <w:t xml:space="preserve">the </w:t>
      </w:r>
      <w:r w:rsidR="00FD6342" w:rsidRPr="00EF494A">
        <w:t xml:space="preserve">UNDP-managed </w:t>
      </w:r>
      <w:r w:rsidR="005B6A93" w:rsidRPr="00EF494A">
        <w:rPr>
          <w:b/>
        </w:rPr>
        <w:t>UXO</w:t>
      </w:r>
      <w:r w:rsidR="005B6A93" w:rsidRPr="00EF494A">
        <w:t xml:space="preserve"> Trust Fund, Australia contributed to the clearance of more than 870 hectares of land. As a result, more than 70,0</w:t>
      </w:r>
      <w:r w:rsidRPr="00EF494A">
        <w:t>00 people in contaminated</w:t>
      </w:r>
      <w:r w:rsidR="005B6A93" w:rsidRPr="00EF494A">
        <w:t xml:space="preserve"> areas no</w:t>
      </w:r>
      <w:r w:rsidRPr="00EF494A">
        <w:t>w have access to safe land that</w:t>
      </w:r>
      <w:r w:rsidR="005B6A93" w:rsidRPr="00EF494A">
        <w:t xml:space="preserve"> can be utilise</w:t>
      </w:r>
      <w:r w:rsidRPr="00EF494A">
        <w:t>d for productive purposes. M</w:t>
      </w:r>
      <w:r w:rsidR="005B6A93" w:rsidRPr="00EF494A">
        <w:t>ore than 1,300 roving tasks were conducted in more than 900 villages</w:t>
      </w:r>
      <w:r w:rsidR="00FD6342" w:rsidRPr="00EF494A">
        <w:t>,</w:t>
      </w:r>
      <w:r w:rsidR="005B6A93" w:rsidRPr="00EF494A">
        <w:t xml:space="preserve"> removing 20,790 items of UXO including 9,083 sub-munitions. More than 489 risk education activities were conducted reaching 131,593 people (including 67,423 women). </w:t>
      </w:r>
    </w:p>
    <w:p w:rsidR="005B6A93" w:rsidRPr="00EF494A" w:rsidRDefault="00C86619" w:rsidP="00C114D2">
      <w:pPr>
        <w:pStyle w:val="BodyText"/>
      </w:pPr>
      <w:r w:rsidRPr="00EF494A">
        <w:t xml:space="preserve">Under </w:t>
      </w:r>
      <w:r w:rsidR="005B6A93" w:rsidRPr="00EF494A">
        <w:t>LA</w:t>
      </w:r>
      <w:r w:rsidRPr="00EF494A">
        <w:t>NGOCA</w:t>
      </w:r>
      <w:r w:rsidR="005B6A93" w:rsidRPr="00EF494A">
        <w:t xml:space="preserve">, a total of 16.6 hectares of land were cleared of UXO in 2013, benefitting 200 </w:t>
      </w:r>
      <w:r w:rsidR="00FD6342" w:rsidRPr="00EF494A">
        <w:t>people</w:t>
      </w:r>
      <w:r w:rsidR="005B6A93" w:rsidRPr="00EF494A">
        <w:t xml:space="preserve"> (114 women) who utilised the land for paddy field expansion in four villages. The cleared land is now being used for mulberry garden</w:t>
      </w:r>
      <w:r w:rsidRPr="00EF494A">
        <w:t>s</w:t>
      </w:r>
      <w:r w:rsidR="005B6A93" w:rsidRPr="00EF494A">
        <w:t>, coffee plantation</w:t>
      </w:r>
      <w:r w:rsidRPr="00EF494A">
        <w:t>s</w:t>
      </w:r>
      <w:r w:rsidR="005B6A93" w:rsidRPr="00EF494A">
        <w:t>, rice field</w:t>
      </w:r>
      <w:r w:rsidRPr="00EF494A">
        <w:t>s and</w:t>
      </w:r>
      <w:r w:rsidR="005B6A93" w:rsidRPr="00EF494A">
        <w:t xml:space="preserve"> fish pond</w:t>
      </w:r>
      <w:r w:rsidRPr="00EF494A">
        <w:t>s</w:t>
      </w:r>
      <w:r w:rsidR="005B6A93" w:rsidRPr="00EF494A">
        <w:t>.</w:t>
      </w:r>
    </w:p>
    <w:p w:rsidR="005B6A93" w:rsidRPr="00EF494A" w:rsidRDefault="00C86619" w:rsidP="00C114D2">
      <w:pPr>
        <w:pStyle w:val="BodyText"/>
      </w:pPr>
      <w:r w:rsidRPr="00EF494A">
        <w:t xml:space="preserve">The Lao </w:t>
      </w:r>
      <w:r w:rsidR="00FD6342" w:rsidRPr="00EF494A">
        <w:t>Government’s</w:t>
      </w:r>
      <w:r w:rsidR="005B6A93" w:rsidRPr="00EF494A">
        <w:t xml:space="preserve"> support for UXO </w:t>
      </w:r>
      <w:r w:rsidR="00542EFE">
        <w:t>clearance activities</w:t>
      </w:r>
      <w:r w:rsidR="00FD6342" w:rsidRPr="00EF494A">
        <w:t>,</w:t>
      </w:r>
      <w:r w:rsidR="005B6A93" w:rsidRPr="00EF494A">
        <w:t xml:space="preserve"> as evidenced by </w:t>
      </w:r>
      <w:r w:rsidR="00FD6342" w:rsidRPr="00EF494A">
        <w:t xml:space="preserve">the </w:t>
      </w:r>
      <w:r w:rsidR="005B6A93" w:rsidRPr="00EF494A">
        <w:t>national budget allocation</w:t>
      </w:r>
      <w:r w:rsidR="00FD6342" w:rsidRPr="00EF494A">
        <w:t>,</w:t>
      </w:r>
      <w:r w:rsidR="005B6A93" w:rsidRPr="00EF494A">
        <w:t xml:space="preserve"> is still limited. The current fiscal crisis </w:t>
      </w:r>
      <w:r w:rsidR="00FD6342" w:rsidRPr="00EF494A">
        <w:t xml:space="preserve">saw a </w:t>
      </w:r>
      <w:r w:rsidR="005B6A93" w:rsidRPr="00EF494A">
        <w:t xml:space="preserve">budget allocation </w:t>
      </w:r>
      <w:r w:rsidR="00FD6342" w:rsidRPr="00EF494A">
        <w:t xml:space="preserve">sufficient only </w:t>
      </w:r>
      <w:r w:rsidR="005B6A93" w:rsidRPr="00EF494A">
        <w:t>to cover minimal office costs of the national over</w:t>
      </w:r>
      <w:r w:rsidR="00004480" w:rsidRPr="00EF494A">
        <w:t>sight agency. T</w:t>
      </w:r>
      <w:r w:rsidR="005B6A93" w:rsidRPr="00EF494A">
        <w:t>he la</w:t>
      </w:r>
      <w:r w:rsidR="00004480" w:rsidRPr="00EF494A">
        <w:t>ck of a reliable baseline on</w:t>
      </w:r>
      <w:r w:rsidR="005B6A93" w:rsidRPr="00EF494A">
        <w:t xml:space="preserve"> UXO contamination </w:t>
      </w:r>
      <w:r w:rsidR="00D852FF" w:rsidRPr="00EF494A">
        <w:t xml:space="preserve">remains </w:t>
      </w:r>
      <w:r w:rsidR="00542EFE">
        <w:t>an issue</w:t>
      </w:r>
      <w:r w:rsidR="00D852FF" w:rsidRPr="00EF494A">
        <w:t xml:space="preserve">, as does </w:t>
      </w:r>
      <w:r w:rsidR="00BF0F05" w:rsidRPr="00EF494A">
        <w:t xml:space="preserve">an </w:t>
      </w:r>
      <w:r w:rsidR="005B6A93" w:rsidRPr="00EF494A">
        <w:t>absence of clarity on land clearance prioritisation and verification of post-clearance utilisation. Donors, including Australia, have been advocating for greater accountability and transpar</w:t>
      </w:r>
      <w:r w:rsidR="00004480" w:rsidRPr="00EF494A">
        <w:t xml:space="preserve">ency on the </w:t>
      </w:r>
      <w:r w:rsidR="00BF0F05" w:rsidRPr="00EF494A">
        <w:t xml:space="preserve">part of UNDP and the government </w:t>
      </w:r>
      <w:r w:rsidR="00D852FF" w:rsidRPr="00EF494A">
        <w:t>on</w:t>
      </w:r>
      <w:r w:rsidR="00BF0F05" w:rsidRPr="00EF494A">
        <w:t xml:space="preserve"> these matters.</w:t>
      </w:r>
    </w:p>
    <w:p w:rsidR="004D16DB" w:rsidRPr="00EF494A" w:rsidRDefault="004D16DB" w:rsidP="004D16DB">
      <w:pPr>
        <w:keepNext/>
        <w:spacing w:before="360" w:after="120"/>
        <w:outlineLvl w:val="1"/>
        <w:rPr>
          <w:rFonts w:ascii="Franklin Gothic Demi" w:eastAsia="Times New Roman" w:hAnsi="Franklin Gothic Demi" w:cs="Arial"/>
          <w:color w:val="AD495D"/>
          <w:kern w:val="28"/>
          <w:sz w:val="24"/>
          <w:szCs w:val="28"/>
        </w:rPr>
      </w:pPr>
      <w:r w:rsidRPr="00EF494A">
        <w:rPr>
          <w:rFonts w:ascii="Franklin Gothic Demi" w:eastAsia="Times New Roman" w:hAnsi="Franklin Gothic Demi" w:cs="Arial"/>
          <w:color w:val="AD495D"/>
          <w:kern w:val="28"/>
          <w:sz w:val="24"/>
          <w:szCs w:val="28"/>
        </w:rPr>
        <w:t xml:space="preserve">Objective 5: Improve physical access to markets and basic services </w:t>
      </w:r>
    </w:p>
    <w:tbl>
      <w:tblPr>
        <w:tblStyle w:val="APPR"/>
        <w:tblW w:w="5000" w:type="pct"/>
        <w:tblLook w:val="04A0" w:firstRow="1" w:lastRow="0" w:firstColumn="1" w:lastColumn="0" w:noHBand="0" w:noVBand="1"/>
      </w:tblPr>
      <w:tblGrid>
        <w:gridCol w:w="7536"/>
        <w:gridCol w:w="1241"/>
      </w:tblGrid>
      <w:tr w:rsidR="004D16DB" w:rsidRPr="00EF494A" w:rsidTr="00E6556F">
        <w:trPr>
          <w:cnfStyle w:val="100000000000" w:firstRow="1" w:lastRow="0" w:firstColumn="0" w:lastColumn="0" w:oddVBand="0" w:evenVBand="0" w:oddHBand="0" w:evenHBand="0" w:firstRowFirstColumn="0" w:firstRowLastColumn="0" w:lastRowFirstColumn="0" w:lastRowLastColumn="0"/>
        </w:trPr>
        <w:tc>
          <w:tcPr>
            <w:tcW w:w="7494" w:type="dxa"/>
            <w:tcBorders>
              <w:left w:val="nil"/>
              <w:right w:val="nil"/>
            </w:tcBorders>
            <w:hideMark/>
          </w:tcPr>
          <w:p w:rsidR="004D16DB" w:rsidRPr="00EF494A" w:rsidRDefault="00F70870" w:rsidP="001B7FB0">
            <w:pPr>
              <w:pStyle w:val="TableTextEntries"/>
            </w:pPr>
            <w:r w:rsidRPr="00EF494A">
              <w:t xml:space="preserve">Development Outcome: </w:t>
            </w:r>
            <w:r w:rsidR="004D16DB" w:rsidRPr="00EF494A">
              <w:t>less than quarter of the population living below the poverty line</w:t>
            </w:r>
          </w:p>
        </w:tc>
        <w:tc>
          <w:tcPr>
            <w:tcW w:w="1199" w:type="dxa"/>
            <w:tcBorders>
              <w:left w:val="nil"/>
              <w:right w:val="nil"/>
            </w:tcBorders>
            <w:shd w:val="clear" w:color="auto" w:fill="92D050"/>
            <w:noWrap/>
            <w:hideMark/>
          </w:tcPr>
          <w:p w:rsidR="004D16DB" w:rsidRPr="00EF494A" w:rsidRDefault="004D16DB" w:rsidP="001B7FB0">
            <w:pPr>
              <w:pStyle w:val="TableTextEntries"/>
            </w:pPr>
            <w:r w:rsidRPr="00EF494A">
              <w:t>Green</w:t>
            </w:r>
          </w:p>
        </w:tc>
      </w:tr>
    </w:tbl>
    <w:p w:rsidR="00E6556F" w:rsidRPr="00EF494A" w:rsidRDefault="00E6556F" w:rsidP="00E6556F">
      <w:pPr>
        <w:pStyle w:val="Note"/>
      </w:pPr>
      <w:r w:rsidRPr="00EF494A">
        <w:rPr>
          <w:color w:val="72AF2F"/>
        </w:rPr>
        <w:sym w:font="Webdings" w:char="F067"/>
      </w:r>
      <w:r w:rsidRPr="00EF494A">
        <w:t> </w:t>
      </w:r>
      <w:r w:rsidRPr="00EF494A">
        <w:t xml:space="preserve"> Green. Progress is as expected for this point in time and it is likely the objective will be achieved. Standard program management practices are sufficient.</w:t>
      </w:r>
    </w:p>
    <w:p w:rsidR="00E61608" w:rsidRPr="00EF494A" w:rsidRDefault="00E61608" w:rsidP="005B6A93">
      <w:pPr>
        <w:keepNext/>
        <w:keepLines/>
        <w:spacing w:before="20" w:after="20" w:line="180" w:lineRule="atLeast"/>
        <w:rPr>
          <w:rFonts w:ascii="Franklin Gothic Book" w:eastAsia="Times New Roman" w:hAnsi="Franklin Gothic Book"/>
          <w:iCs/>
          <w:sz w:val="16"/>
          <w:szCs w:val="16"/>
        </w:rPr>
      </w:pPr>
    </w:p>
    <w:p w:rsidR="00573DBE" w:rsidRPr="00EF494A" w:rsidRDefault="00573DBE" w:rsidP="00B55E77">
      <w:pPr>
        <w:pStyle w:val="BodyText"/>
        <w:rPr>
          <w:b/>
        </w:rPr>
      </w:pPr>
      <w:r w:rsidRPr="00EF494A">
        <w:rPr>
          <w:b/>
        </w:rPr>
        <w:t xml:space="preserve">Good progress has been made against this objective. All four milestones in 2013-14 have been met as a result of improved performance and impressive achievements under the Poverty Reduction Fund II (PRFII) and the Northern Transport Network Improvement Project (NTNIP). </w:t>
      </w:r>
    </w:p>
    <w:p w:rsidR="00622573" w:rsidRPr="00EF494A" w:rsidRDefault="00D85A1A" w:rsidP="00D85A1A">
      <w:pPr>
        <w:spacing w:after="160" w:line="280" w:lineRule="exact"/>
        <w:rPr>
          <w:rFonts w:ascii="Franklin Gothic Book" w:hAnsi="Franklin Gothic Book"/>
          <w:sz w:val="21"/>
          <w:szCs w:val="21"/>
        </w:rPr>
      </w:pPr>
      <w:r w:rsidRPr="00EF494A">
        <w:rPr>
          <w:rFonts w:ascii="Franklin Gothic Book" w:hAnsi="Franklin Gothic Book"/>
          <w:sz w:val="21"/>
          <w:szCs w:val="21"/>
        </w:rPr>
        <w:t xml:space="preserve">While the road network in Laos has expanded significantly in recent years, 30 per cent of rural villages still have no dry or wet season access. An estimated 80 per cent of the rural road network is in poor condition, which is significant given the rural network accounts for 41 per cent of the country’s total road network. </w:t>
      </w:r>
    </w:p>
    <w:p w:rsidR="00D85A1A" w:rsidRPr="00EF494A" w:rsidRDefault="00D85A1A" w:rsidP="00D85A1A">
      <w:pPr>
        <w:spacing w:after="160" w:line="280" w:lineRule="exact"/>
        <w:rPr>
          <w:rFonts w:ascii="Franklin Gothic Book" w:hAnsi="Franklin Gothic Book"/>
          <w:sz w:val="21"/>
          <w:szCs w:val="21"/>
        </w:rPr>
      </w:pPr>
      <w:r w:rsidRPr="00EF494A">
        <w:rPr>
          <w:rFonts w:ascii="Franklin Gothic Book" w:hAnsi="Franklin Gothic Book"/>
          <w:sz w:val="21"/>
          <w:szCs w:val="21"/>
        </w:rPr>
        <w:t xml:space="preserve">In recognition of the strong relationship between access to rural infrastructure, income generation and poverty reduction, Australia pursues a program </w:t>
      </w:r>
      <w:r w:rsidR="008506D2" w:rsidRPr="00EF494A">
        <w:rPr>
          <w:rFonts w:ascii="Franklin Gothic Book" w:hAnsi="Franklin Gothic Book"/>
          <w:sz w:val="21"/>
          <w:szCs w:val="21"/>
        </w:rPr>
        <w:t>to i</w:t>
      </w:r>
      <w:r w:rsidRPr="00EF494A">
        <w:rPr>
          <w:rFonts w:ascii="Franklin Gothic Book" w:hAnsi="Franklin Gothic Book"/>
          <w:sz w:val="21"/>
          <w:szCs w:val="21"/>
        </w:rPr>
        <w:t>mprov</w:t>
      </w:r>
      <w:r w:rsidR="008506D2" w:rsidRPr="00EF494A">
        <w:rPr>
          <w:rFonts w:ascii="Franklin Gothic Book" w:hAnsi="Franklin Gothic Book"/>
          <w:sz w:val="21"/>
          <w:szCs w:val="21"/>
        </w:rPr>
        <w:t>e</w:t>
      </w:r>
      <w:r w:rsidRPr="00EF494A">
        <w:rPr>
          <w:rFonts w:ascii="Franklin Gothic Book" w:hAnsi="Franklin Gothic Book"/>
          <w:sz w:val="21"/>
          <w:szCs w:val="21"/>
        </w:rPr>
        <w:t xml:space="preserve"> rural infrastructure. NTNIP ($18.8 million, 2007 to 2014) is </w:t>
      </w:r>
      <w:r w:rsidR="0076734F" w:rsidRPr="00EF494A">
        <w:rPr>
          <w:rFonts w:ascii="Franklin Gothic Book" w:hAnsi="Franklin Gothic Book"/>
          <w:sz w:val="21"/>
          <w:szCs w:val="21"/>
        </w:rPr>
        <w:t xml:space="preserve">a </w:t>
      </w:r>
      <w:r w:rsidRPr="00EF494A">
        <w:rPr>
          <w:rFonts w:ascii="Franklin Gothic Book" w:hAnsi="Franklin Gothic Book"/>
          <w:sz w:val="21"/>
          <w:szCs w:val="21"/>
        </w:rPr>
        <w:t>road project t</w:t>
      </w:r>
      <w:r w:rsidR="008506D2" w:rsidRPr="00EF494A">
        <w:rPr>
          <w:rFonts w:ascii="Franklin Gothic Book" w:hAnsi="Franklin Gothic Book"/>
          <w:sz w:val="21"/>
          <w:szCs w:val="21"/>
        </w:rPr>
        <w:t>o</w:t>
      </w:r>
      <w:r w:rsidRPr="00EF494A">
        <w:rPr>
          <w:rFonts w:ascii="Franklin Gothic Book" w:hAnsi="Franklin Gothic Book"/>
          <w:sz w:val="21"/>
          <w:szCs w:val="21"/>
        </w:rPr>
        <w:t xml:space="preserve"> facilitate increased economic growth by improving the national highway, linking the major centre of Luang Prabang with the Lao-Thai border, and building 82 kilometres of rural access roads. PRFII ($20 million, 2011 to 2017) is a community-based infrastructure initiative that </w:t>
      </w:r>
      <w:r w:rsidR="005278BA" w:rsidRPr="00EF494A">
        <w:rPr>
          <w:rFonts w:ascii="Franklin Gothic Book" w:hAnsi="Franklin Gothic Book"/>
          <w:sz w:val="21"/>
          <w:szCs w:val="21"/>
        </w:rPr>
        <w:t xml:space="preserve">provides basic infrastructure such as rural roads, water and sanitation facilities and health clinics, which </w:t>
      </w:r>
      <w:r w:rsidRPr="00EF494A">
        <w:rPr>
          <w:rFonts w:ascii="Franklin Gothic Book" w:hAnsi="Franklin Gothic Book"/>
          <w:sz w:val="21"/>
          <w:szCs w:val="21"/>
        </w:rPr>
        <w:t>improves access of poor remote villages to livelihood opportunities and essential services.</w:t>
      </w:r>
    </w:p>
    <w:p w:rsidR="00D85A1A" w:rsidRPr="00EF494A" w:rsidRDefault="00D85A1A" w:rsidP="00D85A1A">
      <w:pPr>
        <w:spacing w:after="160" w:line="280" w:lineRule="exact"/>
        <w:rPr>
          <w:rFonts w:ascii="Franklin Gothic Book" w:hAnsi="Franklin Gothic Book"/>
          <w:sz w:val="21"/>
          <w:szCs w:val="21"/>
        </w:rPr>
      </w:pPr>
      <w:r w:rsidRPr="00EF494A">
        <w:rPr>
          <w:rFonts w:ascii="Franklin Gothic Book" w:hAnsi="Franklin Gothic Book"/>
          <w:sz w:val="21"/>
          <w:szCs w:val="21"/>
        </w:rPr>
        <w:lastRenderedPageBreak/>
        <w:t>In 2013, 205 kilometres of rural roads were constructed and rehabilitated under these Australian-supported initiatives. With Australian support, 41 kilometres of rural paved roads were completed under NTNIP</w:t>
      </w:r>
      <w:r w:rsidR="008506D2" w:rsidRPr="00EF494A">
        <w:rPr>
          <w:rFonts w:ascii="Franklin Gothic Book" w:hAnsi="Franklin Gothic Book"/>
          <w:sz w:val="21"/>
          <w:szCs w:val="21"/>
        </w:rPr>
        <w:t xml:space="preserve">.  Under the </w:t>
      </w:r>
      <w:r w:rsidRPr="00EF494A">
        <w:rPr>
          <w:rFonts w:ascii="Franklin Gothic Book" w:hAnsi="Franklin Gothic Book"/>
          <w:sz w:val="21"/>
          <w:szCs w:val="21"/>
        </w:rPr>
        <w:t xml:space="preserve">PRFII, around 164 kilometres of rural roads were built. The construction of these rural roads </w:t>
      </w:r>
      <w:r w:rsidR="008506D2" w:rsidRPr="00EF494A">
        <w:rPr>
          <w:rFonts w:ascii="Franklin Gothic Book" w:hAnsi="Franklin Gothic Book"/>
          <w:sz w:val="21"/>
          <w:szCs w:val="21"/>
        </w:rPr>
        <w:t>provided</w:t>
      </w:r>
      <w:r w:rsidRPr="00EF494A">
        <w:rPr>
          <w:rFonts w:ascii="Franklin Gothic Book" w:hAnsi="Franklin Gothic Book"/>
          <w:sz w:val="21"/>
          <w:szCs w:val="21"/>
        </w:rPr>
        <w:t xml:space="preserve"> more than 63,600 people</w:t>
      </w:r>
      <w:r w:rsidR="008506D2" w:rsidRPr="00EF494A">
        <w:rPr>
          <w:rFonts w:ascii="Franklin Gothic Book" w:hAnsi="Franklin Gothic Book"/>
          <w:sz w:val="21"/>
          <w:szCs w:val="21"/>
        </w:rPr>
        <w:t xml:space="preserve"> with </w:t>
      </w:r>
      <w:r w:rsidRPr="00EF494A">
        <w:rPr>
          <w:rFonts w:ascii="Franklin Gothic Book" w:hAnsi="Franklin Gothic Book"/>
          <w:sz w:val="21"/>
          <w:szCs w:val="21"/>
        </w:rPr>
        <w:t>improved access to local markets and basic services. </w:t>
      </w:r>
      <w:r w:rsidR="008506D2" w:rsidRPr="00EF494A">
        <w:rPr>
          <w:rFonts w:ascii="Franklin Gothic Book" w:hAnsi="Franklin Gothic Book"/>
          <w:sz w:val="21"/>
          <w:szCs w:val="21"/>
        </w:rPr>
        <w:t>M</w:t>
      </w:r>
      <w:r w:rsidRPr="00EF494A">
        <w:rPr>
          <w:rFonts w:ascii="Franklin Gothic Book" w:hAnsi="Franklin Gothic Book"/>
          <w:sz w:val="21"/>
          <w:szCs w:val="21"/>
        </w:rPr>
        <w:t xml:space="preserve">ore than 81,000 people were provided with access to safe water with the construction of water and sanitation facilities in poor rural communities </w:t>
      </w:r>
      <w:r w:rsidR="008506D2" w:rsidRPr="00EF494A">
        <w:rPr>
          <w:rFonts w:ascii="Franklin Gothic Book" w:hAnsi="Franklin Gothic Book"/>
          <w:sz w:val="21"/>
          <w:szCs w:val="21"/>
        </w:rPr>
        <w:t xml:space="preserve">under </w:t>
      </w:r>
      <w:r w:rsidRPr="00EF494A">
        <w:rPr>
          <w:rFonts w:ascii="Franklin Gothic Book" w:hAnsi="Franklin Gothic Book"/>
          <w:sz w:val="21"/>
          <w:szCs w:val="21"/>
        </w:rPr>
        <w:t xml:space="preserve">PRFII </w:t>
      </w:r>
      <w:r w:rsidR="005278BA" w:rsidRPr="00EF494A">
        <w:rPr>
          <w:rFonts w:ascii="Franklin Gothic Book" w:hAnsi="Franklin Gothic Book"/>
          <w:sz w:val="21"/>
          <w:szCs w:val="21"/>
        </w:rPr>
        <w:t>and</w:t>
      </w:r>
      <w:r w:rsidRPr="00EF494A">
        <w:rPr>
          <w:rFonts w:ascii="Franklin Gothic Book" w:hAnsi="Franklin Gothic Book"/>
          <w:sz w:val="21"/>
          <w:szCs w:val="21"/>
        </w:rPr>
        <w:t xml:space="preserve"> LANGOCA</w:t>
      </w:r>
      <w:r w:rsidR="001466EE">
        <w:rPr>
          <w:rFonts w:ascii="Franklin Gothic Book" w:hAnsi="Franklin Gothic Book"/>
          <w:sz w:val="21"/>
          <w:szCs w:val="21"/>
        </w:rPr>
        <w:t>.</w:t>
      </w:r>
      <w:r w:rsidR="007739F9" w:rsidRPr="00EF494A">
        <w:rPr>
          <w:rStyle w:val="FootnoteReference"/>
        </w:rPr>
        <w:footnoteReference w:id="14"/>
      </w:r>
    </w:p>
    <w:p w:rsidR="00D85A1A" w:rsidRPr="00EF494A" w:rsidRDefault="00D85A1A" w:rsidP="00D85A1A">
      <w:pPr>
        <w:spacing w:after="160" w:line="280" w:lineRule="exact"/>
        <w:rPr>
          <w:rFonts w:ascii="Franklin Gothic Book" w:hAnsi="Franklin Gothic Book"/>
          <w:sz w:val="21"/>
          <w:szCs w:val="21"/>
        </w:rPr>
      </w:pPr>
      <w:r w:rsidRPr="00EF494A">
        <w:rPr>
          <w:rFonts w:ascii="Franklin Gothic Book" w:hAnsi="Franklin Gothic Book"/>
          <w:sz w:val="21"/>
          <w:szCs w:val="21"/>
        </w:rPr>
        <w:t>Through Australia’s consistent advocacy</w:t>
      </w:r>
      <w:r w:rsidR="006C0638">
        <w:rPr>
          <w:rFonts w:ascii="Franklin Gothic Book" w:hAnsi="Franklin Gothic Book"/>
          <w:sz w:val="21"/>
          <w:szCs w:val="21"/>
        </w:rPr>
        <w:t xml:space="preserve"> to government</w:t>
      </w:r>
      <w:r w:rsidRPr="00EF494A">
        <w:rPr>
          <w:rFonts w:ascii="Franklin Gothic Book" w:hAnsi="Franklin Gothic Book"/>
          <w:sz w:val="21"/>
          <w:szCs w:val="21"/>
        </w:rPr>
        <w:t xml:space="preserve">, social and environmental safeguards </w:t>
      </w:r>
      <w:r w:rsidR="005278BA" w:rsidRPr="00EF494A">
        <w:rPr>
          <w:rFonts w:ascii="Franklin Gothic Book" w:hAnsi="Franklin Gothic Book"/>
          <w:sz w:val="21"/>
          <w:szCs w:val="21"/>
        </w:rPr>
        <w:t>have been</w:t>
      </w:r>
      <w:r w:rsidRPr="00EF494A">
        <w:rPr>
          <w:rFonts w:ascii="Franklin Gothic Book" w:hAnsi="Franklin Gothic Book"/>
          <w:sz w:val="21"/>
          <w:szCs w:val="21"/>
        </w:rPr>
        <w:t xml:space="preserve"> adopted by PRFII. The PRF safeguards frameworks are comprehensive and clearly articulate the management protocols and responsible persons. Translated into English and Lao, the frameworks feature an accessible ‘negative list’ which is an inventory of activities excluded from PRF funding</w:t>
      </w:r>
      <w:r w:rsidR="008506D2" w:rsidRPr="00EF494A">
        <w:rPr>
          <w:rFonts w:ascii="Franklin Gothic Book" w:hAnsi="Franklin Gothic Book"/>
          <w:sz w:val="21"/>
          <w:szCs w:val="21"/>
        </w:rPr>
        <w:t xml:space="preserve"> due </w:t>
      </w:r>
      <w:r w:rsidRPr="00EF494A">
        <w:rPr>
          <w:rFonts w:ascii="Franklin Gothic Book" w:hAnsi="Franklin Gothic Book"/>
          <w:sz w:val="21"/>
          <w:szCs w:val="21"/>
        </w:rPr>
        <w:t xml:space="preserve">to their adverse social and environmental impacts (e.g. acquisition of land and involuntary resettlement, expansion of existing settlements in critical habitats, adverse impacts on ethnic groups). Environmental safeguard standards and disaster guidelines are also integrated into the standard design for sub-project infrastructure. </w:t>
      </w:r>
    </w:p>
    <w:p w:rsidR="00D85A1A" w:rsidRPr="00EF494A" w:rsidRDefault="00D85A1A" w:rsidP="00D85A1A">
      <w:pPr>
        <w:spacing w:after="160" w:line="280" w:lineRule="exact"/>
        <w:rPr>
          <w:rFonts w:ascii="Arial" w:hAnsi="Arial" w:cs="Arial"/>
          <w:szCs w:val="20"/>
        </w:rPr>
      </w:pPr>
      <w:r w:rsidRPr="00EF494A">
        <w:rPr>
          <w:rFonts w:ascii="Franklin Gothic Book" w:hAnsi="Franklin Gothic Book"/>
          <w:sz w:val="21"/>
          <w:szCs w:val="21"/>
        </w:rPr>
        <w:t>PRF also implements disabled access strategies along with its community driven village planning approach. However, there is limited demonstration of the inclusion and participation of people living with disabilit</w:t>
      </w:r>
      <w:r w:rsidR="005278BA" w:rsidRPr="00EF494A">
        <w:rPr>
          <w:rFonts w:ascii="Franklin Gothic Book" w:hAnsi="Franklin Gothic Book"/>
          <w:sz w:val="21"/>
          <w:szCs w:val="21"/>
        </w:rPr>
        <w:t>ies</w:t>
      </w:r>
      <w:r w:rsidRPr="00EF494A">
        <w:rPr>
          <w:rFonts w:ascii="Franklin Gothic Book" w:hAnsi="Franklin Gothic Book"/>
          <w:sz w:val="21"/>
          <w:szCs w:val="21"/>
        </w:rPr>
        <w:t xml:space="preserve"> in the planning and implementation processes of PRF. Universal design standards on accessible infrastructure is integrated into PRF standard designs. </w:t>
      </w:r>
    </w:p>
    <w:p w:rsidR="005278BA" w:rsidRPr="00EF494A" w:rsidRDefault="00D85A1A" w:rsidP="00D85A1A">
      <w:pPr>
        <w:spacing w:after="160" w:line="280" w:lineRule="exact"/>
        <w:rPr>
          <w:rFonts w:ascii="Franklin Gothic Book" w:hAnsi="Franklin Gothic Book"/>
          <w:sz w:val="21"/>
          <w:szCs w:val="21"/>
        </w:rPr>
      </w:pPr>
      <w:r w:rsidRPr="00EF494A">
        <w:rPr>
          <w:rFonts w:ascii="Franklin Gothic Book" w:hAnsi="Franklin Gothic Book"/>
          <w:sz w:val="21"/>
          <w:szCs w:val="21"/>
        </w:rPr>
        <w:t>In February 2014, financing partners of PRFII participated in a mid-term review</w:t>
      </w:r>
      <w:r w:rsidR="008506D2" w:rsidRPr="00EF494A">
        <w:rPr>
          <w:rFonts w:ascii="Franklin Gothic Book" w:hAnsi="Franklin Gothic Book"/>
          <w:sz w:val="21"/>
          <w:szCs w:val="21"/>
        </w:rPr>
        <w:t>.</w:t>
      </w:r>
      <w:r w:rsidRPr="00EF494A">
        <w:rPr>
          <w:rFonts w:ascii="Franklin Gothic Book" w:hAnsi="Franklin Gothic Book"/>
          <w:sz w:val="21"/>
          <w:szCs w:val="21"/>
        </w:rPr>
        <w:t xml:space="preserve"> </w:t>
      </w:r>
      <w:r w:rsidR="008506D2" w:rsidRPr="00EF494A">
        <w:rPr>
          <w:rFonts w:ascii="Franklin Gothic Book" w:hAnsi="Franklin Gothic Book"/>
          <w:sz w:val="21"/>
          <w:szCs w:val="21"/>
        </w:rPr>
        <w:t xml:space="preserve"> T</w:t>
      </w:r>
      <w:r w:rsidRPr="00EF494A">
        <w:rPr>
          <w:rFonts w:ascii="Franklin Gothic Book" w:hAnsi="Franklin Gothic Book"/>
          <w:sz w:val="21"/>
          <w:szCs w:val="21"/>
        </w:rPr>
        <w:t>he</w:t>
      </w:r>
      <w:r w:rsidR="008506D2" w:rsidRPr="00EF494A">
        <w:rPr>
          <w:rFonts w:ascii="Franklin Gothic Book" w:hAnsi="Franklin Gothic Book"/>
          <w:sz w:val="21"/>
          <w:szCs w:val="21"/>
        </w:rPr>
        <w:t xml:space="preserve"> </w:t>
      </w:r>
      <w:r w:rsidRPr="00EF494A">
        <w:rPr>
          <w:rFonts w:ascii="Franklin Gothic Book" w:hAnsi="Franklin Gothic Book"/>
          <w:sz w:val="21"/>
          <w:szCs w:val="21"/>
        </w:rPr>
        <w:t xml:space="preserve">independent evaluation team </w:t>
      </w:r>
      <w:r w:rsidR="008506D2" w:rsidRPr="00EF494A">
        <w:rPr>
          <w:rFonts w:ascii="Franklin Gothic Book" w:hAnsi="Franklin Gothic Book"/>
          <w:sz w:val="21"/>
          <w:szCs w:val="21"/>
        </w:rPr>
        <w:t>found</w:t>
      </w:r>
      <w:r w:rsidRPr="00EF494A">
        <w:rPr>
          <w:rFonts w:ascii="Franklin Gothic Book" w:hAnsi="Franklin Gothic Book"/>
          <w:sz w:val="21"/>
          <w:szCs w:val="21"/>
        </w:rPr>
        <w:t xml:space="preserve"> that Australia</w:t>
      </w:r>
      <w:r w:rsidR="005278BA" w:rsidRPr="00EF494A">
        <w:rPr>
          <w:rFonts w:ascii="Franklin Gothic Book" w:hAnsi="Franklin Gothic Book"/>
          <w:sz w:val="21"/>
          <w:szCs w:val="21"/>
        </w:rPr>
        <w:t>’s support to PRFII was an effective means of delivering infrastructure investments to support economic growth and promote income security in poor and remote communities.</w:t>
      </w:r>
    </w:p>
    <w:p w:rsidR="005B6A93" w:rsidRPr="00EF494A" w:rsidRDefault="005B6A93" w:rsidP="005B6A93">
      <w:pPr>
        <w:pStyle w:val="Heading2"/>
        <w:rPr>
          <w:b/>
          <w:color w:val="124486"/>
          <w:sz w:val="22"/>
          <w:szCs w:val="22"/>
          <w:lang w:eastAsia="zh-CN"/>
        </w:rPr>
      </w:pPr>
      <w:r w:rsidRPr="00EF494A">
        <w:rPr>
          <w:b/>
          <w:color w:val="124486"/>
          <w:sz w:val="22"/>
          <w:szCs w:val="22"/>
          <w:lang w:eastAsia="zh-CN"/>
        </w:rPr>
        <w:t>Strategy-wide initiatives</w:t>
      </w:r>
    </w:p>
    <w:p w:rsidR="00EC1EA4" w:rsidRPr="00EF494A" w:rsidRDefault="005B6A93" w:rsidP="00EC1EA4">
      <w:pPr>
        <w:pStyle w:val="BodyText"/>
      </w:pPr>
      <w:r w:rsidRPr="00EF494A">
        <w:rPr>
          <w:b/>
          <w:color w:val="C00000"/>
        </w:rPr>
        <w:t>Australia-Laos Scholarship Program</w:t>
      </w:r>
      <w:r w:rsidRPr="00EF494A">
        <w:rPr>
          <w:b/>
        </w:rPr>
        <w:t>:</w:t>
      </w:r>
      <w:r w:rsidR="003E6F35" w:rsidRPr="00EF494A">
        <w:rPr>
          <w:b/>
        </w:rPr>
        <w:t xml:space="preserve"> </w:t>
      </w:r>
      <w:r w:rsidR="00EC1EA4" w:rsidRPr="00EF494A">
        <w:t>in 2013</w:t>
      </w:r>
      <w:r w:rsidR="009542F8" w:rsidRPr="00EF494A">
        <w:t>,</w:t>
      </w:r>
      <w:r w:rsidR="00EC1EA4" w:rsidRPr="00EF494A">
        <w:t xml:space="preserve"> the </w:t>
      </w:r>
      <w:r w:rsidR="00725397" w:rsidRPr="00EF494A">
        <w:t xml:space="preserve">Lao-Australia Scholarships </w:t>
      </w:r>
      <w:r w:rsidR="009542F8" w:rsidRPr="00EF494A">
        <w:t>P</w:t>
      </w:r>
      <w:r w:rsidR="00EC1EA4" w:rsidRPr="00EF494A">
        <w:t>rogram awarded 50</w:t>
      </w:r>
      <w:r w:rsidRPr="00EF494A">
        <w:t xml:space="preserve"> </w:t>
      </w:r>
      <w:r w:rsidR="00EC1EA4" w:rsidRPr="00EF494A">
        <w:t xml:space="preserve">Australia Awards </w:t>
      </w:r>
      <w:r w:rsidRPr="00EF494A">
        <w:t>scholarships</w:t>
      </w:r>
      <w:r w:rsidR="00EC1EA4" w:rsidRPr="00EF494A">
        <w:t>,</w:t>
      </w:r>
      <w:r w:rsidRPr="00EF494A">
        <w:t xml:space="preserve"> including three Australia Awards Leadership Program scho</w:t>
      </w:r>
      <w:r w:rsidR="00725397" w:rsidRPr="00EF494A">
        <w:t>larships. G</w:t>
      </w:r>
      <w:r w:rsidRPr="00EF494A">
        <w:t>ender parity</w:t>
      </w:r>
      <w:r w:rsidR="00725397" w:rsidRPr="00EF494A">
        <w:t xml:space="preserve"> was achieved for Australia Awards scholarships</w:t>
      </w:r>
      <w:r w:rsidR="00EC1EA4" w:rsidRPr="00EF494A">
        <w:t>,</w:t>
      </w:r>
      <w:r w:rsidRPr="00EF494A">
        <w:t xml:space="preserve"> and </w:t>
      </w:r>
      <w:r w:rsidR="008506D2" w:rsidRPr="00EF494A">
        <w:t xml:space="preserve">the </w:t>
      </w:r>
      <w:r w:rsidRPr="00EF494A">
        <w:t>target</w:t>
      </w:r>
      <w:r w:rsidR="008506D2" w:rsidRPr="00EF494A">
        <w:t xml:space="preserve"> of</w:t>
      </w:r>
      <w:r w:rsidRPr="00EF494A">
        <w:t xml:space="preserve"> 25 scholarships being awarded to scholars from the public sector</w:t>
      </w:r>
      <w:r w:rsidR="00725397" w:rsidRPr="00EF494A">
        <w:t xml:space="preserve"> was realised</w:t>
      </w:r>
      <w:r w:rsidRPr="00EF494A">
        <w:t xml:space="preserve">. </w:t>
      </w:r>
      <w:r w:rsidR="008506D2" w:rsidRPr="00EF494A">
        <w:t xml:space="preserve">  In 2013, 36 short-term </w:t>
      </w:r>
      <w:r w:rsidR="00EC1EA4" w:rsidRPr="00EF494A">
        <w:t>Australia Awards Fellowships</w:t>
      </w:r>
      <w:r w:rsidR="009542F8" w:rsidRPr="00EF494A">
        <w:t xml:space="preserve"> were offered</w:t>
      </w:r>
      <w:r w:rsidR="00EC1EA4" w:rsidRPr="00EF494A">
        <w:t xml:space="preserve"> in the area</w:t>
      </w:r>
      <w:r w:rsidR="009542F8" w:rsidRPr="00EF494A">
        <w:t>s</w:t>
      </w:r>
      <w:r w:rsidR="00EC1EA4" w:rsidRPr="00EF494A">
        <w:t xml:space="preserve"> of health, food security and</w:t>
      </w:r>
      <w:r w:rsidR="009542F8" w:rsidRPr="00EF494A">
        <w:t xml:space="preserve"> economic growth</w:t>
      </w:r>
      <w:r w:rsidR="00EC1EA4" w:rsidRPr="00EF494A">
        <w:t>.</w:t>
      </w:r>
      <w:r w:rsidR="005C7437" w:rsidRPr="00EF494A">
        <w:t xml:space="preserve">  </w:t>
      </w:r>
      <w:r w:rsidR="00B56E24" w:rsidRPr="00EF494A">
        <w:t>Under the Laos Australia National Scholarship (LANS) program</w:t>
      </w:r>
      <w:r w:rsidR="009542F8" w:rsidRPr="00EF494A">
        <w:t>,</w:t>
      </w:r>
      <w:r w:rsidR="00B56E24" w:rsidRPr="00EF494A">
        <w:t xml:space="preserve"> </w:t>
      </w:r>
      <w:r w:rsidR="005C7437" w:rsidRPr="00EF494A">
        <w:t>70 scholarships</w:t>
      </w:r>
      <w:r w:rsidR="00B56E24" w:rsidRPr="00EF494A">
        <w:t xml:space="preserve"> were awarded</w:t>
      </w:r>
      <w:r w:rsidR="005C7437" w:rsidRPr="00EF494A">
        <w:t xml:space="preserve"> </w:t>
      </w:r>
      <w:r w:rsidR="009542F8" w:rsidRPr="00EF494A">
        <w:t>to students from disadvantaged</w:t>
      </w:r>
      <w:r w:rsidR="005C7437" w:rsidRPr="00EF494A">
        <w:t xml:space="preserve"> backgrounds for bachelor degree study at the National University o</w:t>
      </w:r>
      <w:r w:rsidR="00B56E24" w:rsidRPr="00EF494A">
        <w:t>f Laos</w:t>
      </w:r>
      <w:r w:rsidR="000A1F86" w:rsidRPr="00EF494A">
        <w:t xml:space="preserve"> (NUoL)</w:t>
      </w:r>
      <w:r w:rsidR="009542F8" w:rsidRPr="00EF494A">
        <w:t>.</w:t>
      </w:r>
      <w:r w:rsidR="00596431" w:rsidRPr="00EF494A">
        <w:rPr>
          <w:rStyle w:val="FootnoteReference"/>
        </w:rPr>
        <w:footnoteReference w:id="15"/>
      </w:r>
    </w:p>
    <w:p w:rsidR="005B6A93" w:rsidRPr="00EF494A" w:rsidRDefault="00EC1EA4" w:rsidP="003E6F35">
      <w:pPr>
        <w:pStyle w:val="BodyText"/>
      </w:pPr>
      <w:r w:rsidRPr="00EF494A">
        <w:t xml:space="preserve">Under the </w:t>
      </w:r>
      <w:r w:rsidR="005B6A93" w:rsidRPr="00EF494A">
        <w:t xml:space="preserve">LANS </w:t>
      </w:r>
      <w:r w:rsidRPr="00EF494A">
        <w:t xml:space="preserve">program, there were ongoing challenges with delays in obtaining </w:t>
      </w:r>
      <w:r w:rsidR="005B6A93" w:rsidRPr="00EF494A">
        <w:t>academic progress report</w:t>
      </w:r>
      <w:r w:rsidR="006C0638">
        <w:t>s</w:t>
      </w:r>
      <w:r w:rsidRPr="00EF494A">
        <w:t xml:space="preserve"> for students</w:t>
      </w:r>
      <w:r w:rsidR="005B6A93" w:rsidRPr="00EF494A">
        <w:t xml:space="preserve">.  </w:t>
      </w:r>
      <w:r w:rsidR="000A1F86" w:rsidRPr="00EF494A">
        <w:t xml:space="preserve">There has since been some improvement in the timeliness of </w:t>
      </w:r>
      <w:r w:rsidR="000A1F86" w:rsidRPr="00EF494A">
        <w:lastRenderedPageBreak/>
        <w:t xml:space="preserve">academic reporting after </w:t>
      </w:r>
      <w:r w:rsidRPr="00EF494A">
        <w:t xml:space="preserve">Australia </w:t>
      </w:r>
      <w:r w:rsidR="006C0638">
        <w:t xml:space="preserve">discussed </w:t>
      </w:r>
      <w:r w:rsidRPr="00EF494A">
        <w:t>th</w:t>
      </w:r>
      <w:r w:rsidR="001466EE">
        <w:t>e</w:t>
      </w:r>
      <w:r w:rsidRPr="00EF494A">
        <w:t xml:space="preserve"> issue</w:t>
      </w:r>
      <w:r w:rsidR="005B6A93" w:rsidRPr="00EF494A">
        <w:t xml:space="preserve"> with members of the </w:t>
      </w:r>
      <w:r w:rsidR="000A1F86" w:rsidRPr="00EF494A">
        <w:t xml:space="preserve">NUoL </w:t>
      </w:r>
      <w:r w:rsidR="005B6A93" w:rsidRPr="00EF494A">
        <w:t xml:space="preserve">senior executive and with </w:t>
      </w:r>
      <w:r w:rsidR="000A1F86" w:rsidRPr="00EF494A">
        <w:t xml:space="preserve">the </w:t>
      </w:r>
      <w:r w:rsidR="005B6A93" w:rsidRPr="00EF494A">
        <w:t>Ministry of Education and Sport</w:t>
      </w:r>
      <w:r w:rsidRPr="00EF494A">
        <w:t>s</w:t>
      </w:r>
      <w:r w:rsidR="000A1F86" w:rsidRPr="00EF494A">
        <w:t>.</w:t>
      </w:r>
    </w:p>
    <w:p w:rsidR="00E3374E" w:rsidRPr="00EF494A" w:rsidRDefault="001C7974" w:rsidP="00E3374E">
      <w:pPr>
        <w:pStyle w:val="BodyText"/>
      </w:pPr>
      <w:r w:rsidRPr="00EF494A">
        <w:t>As part of on</w:t>
      </w:r>
      <w:r w:rsidR="00EA4CA5" w:rsidRPr="00EF494A">
        <w:t>going monitoring and evaluation, an independent audit was carried out in 2013 on the transp</w:t>
      </w:r>
      <w:r w:rsidR="003824EF" w:rsidRPr="00EF494A">
        <w:t xml:space="preserve">arency of the Australia Awards </w:t>
      </w:r>
      <w:r w:rsidR="00EA4CA5" w:rsidRPr="00EF494A">
        <w:t>selection process.  The audit found the scholarship selection systems and procedures were logical, administratively pract</w:t>
      </w:r>
      <w:r w:rsidR="003824EF" w:rsidRPr="00EF494A">
        <w:t>ical and robust.</w:t>
      </w:r>
    </w:p>
    <w:p w:rsidR="005B6A93" w:rsidRPr="00EF494A" w:rsidRDefault="00725397" w:rsidP="003E6F35">
      <w:pPr>
        <w:pStyle w:val="BodyText"/>
      </w:pPr>
      <w:r w:rsidRPr="00EF494A">
        <w:t xml:space="preserve">The Laos-Australia Scholarship Program </w:t>
      </w:r>
      <w:r w:rsidR="000A1F86" w:rsidRPr="00EF494A">
        <w:t>ended</w:t>
      </w:r>
      <w:r w:rsidRPr="00EF494A">
        <w:t xml:space="preserve"> in December 2013</w:t>
      </w:r>
      <w:r w:rsidR="000A1F86" w:rsidRPr="00EF494A">
        <w:t>.</w:t>
      </w:r>
      <w:r w:rsidRPr="00EF494A">
        <w:t xml:space="preserve"> </w:t>
      </w:r>
      <w:r w:rsidR="000A1F86" w:rsidRPr="00EF494A">
        <w:t xml:space="preserve"> </w:t>
      </w:r>
      <w:r w:rsidRPr="00EF494A">
        <w:t>Australia’</w:t>
      </w:r>
      <w:r w:rsidR="00EA2F49" w:rsidRPr="00EF494A">
        <w:t>s new $20</w:t>
      </w:r>
      <w:r w:rsidR="00991F20" w:rsidRPr="00EF494A">
        <w:t> </w:t>
      </w:r>
      <w:r w:rsidR="00EA2F49" w:rsidRPr="00EF494A">
        <w:t xml:space="preserve">million </w:t>
      </w:r>
      <w:r w:rsidRPr="00EF494A">
        <w:t>investment in human resource development in Lao PDR – the Laos-</w:t>
      </w:r>
      <w:r w:rsidR="005B6A93" w:rsidRPr="00EF494A">
        <w:t>Australia Institute</w:t>
      </w:r>
      <w:r w:rsidR="000A1F86" w:rsidRPr="00EF494A">
        <w:t xml:space="preserve"> (LAI, </w:t>
      </w:r>
      <w:r w:rsidRPr="00EF494A">
        <w:t>2014-201</w:t>
      </w:r>
      <w:r w:rsidR="005A2421" w:rsidRPr="00EF494A">
        <w:t>7</w:t>
      </w:r>
      <w:r w:rsidRPr="00EF494A">
        <w:t>)</w:t>
      </w:r>
      <w:r w:rsidR="005B6A93" w:rsidRPr="00EF494A">
        <w:t xml:space="preserve"> </w:t>
      </w:r>
      <w:r w:rsidRPr="00EF494A">
        <w:t>– was mobilised in January 2014</w:t>
      </w:r>
      <w:r w:rsidR="00BA204C" w:rsidRPr="00EF494A">
        <w:t xml:space="preserve"> without any gaps in the delivery of Australia Awards.  </w:t>
      </w:r>
      <w:r w:rsidR="00E00865" w:rsidRPr="00EF494A">
        <w:t xml:space="preserve">The program is on track.  </w:t>
      </w:r>
      <w:r w:rsidR="000A1F86" w:rsidRPr="00EF494A">
        <w:t>In its</w:t>
      </w:r>
      <w:r w:rsidR="0087515D" w:rsidRPr="00EF494A">
        <w:t xml:space="preserve"> first </w:t>
      </w:r>
      <w:r w:rsidR="005B6A93" w:rsidRPr="00EF494A">
        <w:t>six months</w:t>
      </w:r>
      <w:r w:rsidR="00220101" w:rsidRPr="00EF494A">
        <w:t xml:space="preserve"> the </w:t>
      </w:r>
      <w:r w:rsidR="000A1F86" w:rsidRPr="00EF494A">
        <w:t>LAI</w:t>
      </w:r>
      <w:r w:rsidR="001C7974" w:rsidRPr="00EF494A">
        <w:t xml:space="preserve"> has</w:t>
      </w:r>
      <w:r w:rsidR="006C0638">
        <w:t>:</w:t>
      </w:r>
      <w:r w:rsidR="001C7974" w:rsidRPr="00EF494A">
        <w:t xml:space="preserve"> </w:t>
      </w:r>
      <w:r w:rsidR="000A1F86" w:rsidRPr="00EF494A">
        <w:t xml:space="preserve">begun to implement </w:t>
      </w:r>
      <w:r w:rsidR="006C0638">
        <w:t xml:space="preserve">a </w:t>
      </w:r>
      <w:r w:rsidR="00EA2F49" w:rsidRPr="00EF494A">
        <w:t>human resource development progra</w:t>
      </w:r>
      <w:r w:rsidR="00522591" w:rsidRPr="00EF494A">
        <w:t>m within target ministries;</w:t>
      </w:r>
      <w:r w:rsidR="00EA2F49" w:rsidRPr="00EF494A">
        <w:t xml:space="preserve"> </w:t>
      </w:r>
      <w:r w:rsidR="000A1F86" w:rsidRPr="00EF494A">
        <w:t>managed</w:t>
      </w:r>
      <w:r w:rsidR="00EA2F49" w:rsidRPr="00EF494A">
        <w:t xml:space="preserve"> the selection process for</w:t>
      </w:r>
      <w:r w:rsidR="00522591" w:rsidRPr="00EF494A">
        <w:t xml:space="preserve"> 2014 Australia Awards scholar</w:t>
      </w:r>
      <w:r w:rsidR="001D13ED" w:rsidRPr="00EF494A">
        <w:t>s</w:t>
      </w:r>
      <w:r w:rsidR="006C0638">
        <w:t>;</w:t>
      </w:r>
      <w:r w:rsidR="001C7974" w:rsidRPr="00EF494A">
        <w:t xml:space="preserve"> undertaken a review of English language training</w:t>
      </w:r>
      <w:r w:rsidR="006C0638">
        <w:t>;</w:t>
      </w:r>
      <w:r w:rsidR="001C7974" w:rsidRPr="00EF494A">
        <w:t xml:space="preserve"> prepared a feasibility study for the expansion of the LANS program to provincial universities</w:t>
      </w:r>
      <w:r w:rsidR="006C0638">
        <w:t>;</w:t>
      </w:r>
      <w:r w:rsidR="00522591" w:rsidRPr="00EF494A">
        <w:t xml:space="preserve"> and </w:t>
      </w:r>
      <w:r w:rsidR="000A1F86" w:rsidRPr="00EF494A">
        <w:t xml:space="preserve">started </w:t>
      </w:r>
      <w:r w:rsidR="00522591" w:rsidRPr="00EF494A">
        <w:t>planning for building renovations to the existing English Language Resource Centre</w:t>
      </w:r>
      <w:r w:rsidR="000A1F86" w:rsidRPr="00EF494A">
        <w:t xml:space="preserve">, where </w:t>
      </w:r>
      <w:r w:rsidR="00522591" w:rsidRPr="00EF494A">
        <w:t>the L</w:t>
      </w:r>
      <w:r w:rsidR="000A1F86" w:rsidRPr="00EF494A">
        <w:t>AI</w:t>
      </w:r>
      <w:r w:rsidR="00522591" w:rsidRPr="00EF494A">
        <w:t xml:space="preserve"> will be co-located.</w:t>
      </w:r>
    </w:p>
    <w:p w:rsidR="005B6A93" w:rsidRPr="00EF494A" w:rsidRDefault="005B6A93" w:rsidP="005B6A93">
      <w:pPr>
        <w:pStyle w:val="BodyText"/>
      </w:pPr>
      <w:r w:rsidRPr="00EF494A">
        <w:rPr>
          <w:b/>
          <w:color w:val="C00000"/>
        </w:rPr>
        <w:t xml:space="preserve">Public Financial </w:t>
      </w:r>
      <w:r w:rsidR="00EB6AE1" w:rsidRPr="00EF494A">
        <w:rPr>
          <w:b/>
          <w:color w:val="C00000"/>
        </w:rPr>
        <w:t>Management Strengthening Program</w:t>
      </w:r>
      <w:r w:rsidRPr="00EF494A">
        <w:rPr>
          <w:b/>
          <w:color w:val="C00000"/>
        </w:rPr>
        <w:t>:</w:t>
      </w:r>
      <w:r w:rsidRPr="00EF494A">
        <w:rPr>
          <w:b/>
          <w:color w:val="AD495D"/>
          <w:kern w:val="28"/>
          <w:sz w:val="24"/>
          <w:szCs w:val="28"/>
        </w:rPr>
        <w:t xml:space="preserve"> </w:t>
      </w:r>
      <w:r w:rsidRPr="00EF494A">
        <w:t>PFM ref</w:t>
      </w:r>
      <w:r w:rsidR="00EB6AE1" w:rsidRPr="00EF494A">
        <w:t xml:space="preserve">orm regressed </w:t>
      </w:r>
      <w:r w:rsidR="000A1F86" w:rsidRPr="00EF494A">
        <w:t xml:space="preserve">in </w:t>
      </w:r>
      <w:r w:rsidR="00EB6AE1" w:rsidRPr="00EF494A">
        <w:t>2013-14.  The civil servant salary increase (by a further 40 per</w:t>
      </w:r>
      <w:r w:rsidR="00991F20" w:rsidRPr="00EF494A">
        <w:t xml:space="preserve"> </w:t>
      </w:r>
      <w:r w:rsidR="00EB6AE1" w:rsidRPr="00EF494A">
        <w:t>cent) in 2013-14</w:t>
      </w:r>
      <w:r w:rsidR="000A1F86" w:rsidRPr="00EF494A">
        <w:t>,</w:t>
      </w:r>
      <w:r w:rsidR="00EB6AE1" w:rsidRPr="00EF494A">
        <w:t xml:space="preserve"> with</w:t>
      </w:r>
      <w:r w:rsidR="0015487B">
        <w:t xml:space="preserve">in the context of </w:t>
      </w:r>
      <w:r w:rsidR="00EB6AE1" w:rsidRPr="00EF494A">
        <w:t>a weak revenue forecast</w:t>
      </w:r>
      <w:r w:rsidR="0015487B">
        <w:t>,</w:t>
      </w:r>
      <w:r w:rsidR="00EB6AE1" w:rsidRPr="00EF494A">
        <w:t xml:space="preserve"> has further </w:t>
      </w:r>
      <w:r w:rsidR="000A1F86" w:rsidRPr="00EF494A">
        <w:t>highlighted the need for PFM reform.</w:t>
      </w:r>
      <w:r w:rsidR="0015487B">
        <w:t xml:space="preserve">  </w:t>
      </w:r>
      <w:r w:rsidR="00EB6AE1" w:rsidRPr="00EF494A">
        <w:t xml:space="preserve">Transparency issues </w:t>
      </w:r>
      <w:r w:rsidR="000A1F86" w:rsidRPr="00EF494A">
        <w:t xml:space="preserve">over </w:t>
      </w:r>
      <w:r w:rsidR="00EB6AE1" w:rsidRPr="00EF494A">
        <w:t xml:space="preserve">the </w:t>
      </w:r>
      <w:r w:rsidRPr="00EF494A">
        <w:t>state annual financia</w:t>
      </w:r>
      <w:r w:rsidR="00EB6AE1" w:rsidRPr="00EF494A">
        <w:t>l report ha</w:t>
      </w:r>
      <w:r w:rsidR="000A1F86" w:rsidRPr="00EF494A">
        <w:t>ve</w:t>
      </w:r>
      <w:r w:rsidR="00EB6AE1" w:rsidRPr="00EF494A">
        <w:t xml:space="preserve"> worsened over 201</w:t>
      </w:r>
      <w:r w:rsidR="000A1F86" w:rsidRPr="00EF494A">
        <w:t>3</w:t>
      </w:r>
      <w:r w:rsidR="00EB6AE1" w:rsidRPr="00EF494A">
        <w:t>-</w:t>
      </w:r>
      <w:r w:rsidRPr="00EF494A">
        <w:t>14</w:t>
      </w:r>
      <w:r w:rsidR="00EB6AE1" w:rsidRPr="00EF494A">
        <w:t xml:space="preserve">, and there is limited information available </w:t>
      </w:r>
      <w:r w:rsidRPr="00EF494A">
        <w:t xml:space="preserve">on </w:t>
      </w:r>
      <w:r w:rsidR="00EB6AE1" w:rsidRPr="00EF494A">
        <w:t>the 2013-</w:t>
      </w:r>
      <w:r w:rsidRPr="00EF494A">
        <w:t>14 budget.</w:t>
      </w:r>
      <w:r w:rsidR="00EB6AE1" w:rsidRPr="00EF494A">
        <w:t xml:space="preserve"> </w:t>
      </w:r>
      <w:r w:rsidRPr="00EF494A">
        <w:t xml:space="preserve"> </w:t>
      </w:r>
      <w:r w:rsidR="000A1F86" w:rsidRPr="00EF494A">
        <w:t>It is</w:t>
      </w:r>
      <w:r w:rsidR="00EB6AE1" w:rsidRPr="00EF494A">
        <w:t xml:space="preserve"> still unclear</w:t>
      </w:r>
      <w:r w:rsidR="000A1F86" w:rsidRPr="00EF494A">
        <w:t>, for example, if</w:t>
      </w:r>
      <w:r w:rsidR="00EB6AE1" w:rsidRPr="00EF494A">
        <w:t xml:space="preserve"> school operating </w:t>
      </w:r>
      <w:r w:rsidRPr="00EF494A">
        <w:t xml:space="preserve">grants </w:t>
      </w:r>
      <w:r w:rsidR="00EB6AE1" w:rsidRPr="00EF494A">
        <w:t>will be delivered in 2014-15.</w:t>
      </w:r>
      <w:r w:rsidR="0015487B">
        <w:t xml:space="preserve"> </w:t>
      </w:r>
      <w:r w:rsidRPr="00EF494A">
        <w:t xml:space="preserve">The PFM Strengthening </w:t>
      </w:r>
      <w:r w:rsidR="00E00865" w:rsidRPr="00EF494A">
        <w:t>P</w:t>
      </w:r>
      <w:r w:rsidRPr="00EF494A">
        <w:t>rogram</w:t>
      </w:r>
      <w:r w:rsidR="00E00865" w:rsidRPr="00EF494A">
        <w:t>, which was a multi-donor initiative funded by Australia and managed by the World Bank,</w:t>
      </w:r>
      <w:r w:rsidRPr="00EF494A">
        <w:t xml:space="preserve"> </w:t>
      </w:r>
      <w:r w:rsidR="000A1F86" w:rsidRPr="00EF494A">
        <w:t>ended</w:t>
      </w:r>
      <w:r w:rsidRPr="00EF494A">
        <w:t xml:space="preserve"> in December 2013</w:t>
      </w:r>
      <w:r w:rsidR="00E00865" w:rsidRPr="00EF494A">
        <w:t xml:space="preserve">.  </w:t>
      </w:r>
    </w:p>
    <w:p w:rsidR="000D184A" w:rsidRPr="00EF494A" w:rsidRDefault="00FA3A9B" w:rsidP="00A0372B">
      <w:pPr>
        <w:pStyle w:val="BodyText"/>
      </w:pPr>
      <w:r w:rsidRPr="00EF494A">
        <w:rPr>
          <w:b/>
          <w:color w:val="C00000"/>
        </w:rPr>
        <w:t xml:space="preserve">Humanitarian assistance: </w:t>
      </w:r>
      <w:r w:rsidR="000D184A" w:rsidRPr="00EF494A">
        <w:t xml:space="preserve">in 2013, Laos </w:t>
      </w:r>
      <w:r w:rsidR="00991F20" w:rsidRPr="00EF494A">
        <w:t xml:space="preserve">escaped major serious weather events but it </w:t>
      </w:r>
      <w:r w:rsidR="000D184A" w:rsidRPr="00EF494A">
        <w:t>encountered its worst dengue epidemic to date</w:t>
      </w:r>
      <w:r w:rsidR="00622573" w:rsidRPr="00EF494A">
        <w:t xml:space="preserve"> (</w:t>
      </w:r>
      <w:r w:rsidR="000D184A" w:rsidRPr="00EF494A">
        <w:t>11,863 reported cases, including 47 deaths</w:t>
      </w:r>
      <w:r w:rsidR="00622573" w:rsidRPr="00EF494A">
        <w:t xml:space="preserve">, </w:t>
      </w:r>
      <w:r w:rsidR="000D184A" w:rsidRPr="00EF494A">
        <w:t>mostly children</w:t>
      </w:r>
      <w:r w:rsidR="00622573" w:rsidRPr="00EF494A">
        <w:t>)</w:t>
      </w:r>
      <w:r w:rsidR="000D184A" w:rsidRPr="00EF494A">
        <w:t>. Australian support to the dengue response ($300,000, 2013)</w:t>
      </w:r>
      <w:r w:rsidR="00E61DAC" w:rsidRPr="00EF494A">
        <w:t>,</w:t>
      </w:r>
      <w:r w:rsidR="000D184A" w:rsidRPr="00EF494A">
        <w:t xml:space="preserve"> led by the Ministry of Health</w:t>
      </w:r>
      <w:r w:rsidR="00E61DAC" w:rsidRPr="00EF494A">
        <w:t>,</w:t>
      </w:r>
      <w:r w:rsidR="000D184A" w:rsidRPr="00EF494A">
        <w:t xml:space="preserve"> enabled the </w:t>
      </w:r>
      <w:r w:rsidR="00E61DAC" w:rsidRPr="00EF494A">
        <w:t xml:space="preserve">Lao </w:t>
      </w:r>
      <w:r w:rsidR="000D184A" w:rsidRPr="00EF494A">
        <w:t>Government to enhance community-based vector control activities</w:t>
      </w:r>
      <w:r w:rsidR="00E61DAC" w:rsidRPr="00EF494A">
        <w:t>,</w:t>
      </w:r>
      <w:r w:rsidR="000D184A" w:rsidRPr="00EF494A">
        <w:t xml:space="preserve"> improve clinical management of dengue cases</w:t>
      </w:r>
      <w:r w:rsidR="00E61DAC" w:rsidRPr="00EF494A">
        <w:t>,</w:t>
      </w:r>
      <w:r w:rsidR="000D184A" w:rsidRPr="00EF494A">
        <w:t xml:space="preserve"> and enhanced surveillance </w:t>
      </w:r>
      <w:r w:rsidR="00E61DAC" w:rsidRPr="00EF494A">
        <w:t xml:space="preserve">to </w:t>
      </w:r>
      <w:r w:rsidR="000D184A" w:rsidRPr="00EF494A">
        <w:t>provide daily information for decision making.</w:t>
      </w:r>
    </w:p>
    <w:p w:rsidR="00A15F00" w:rsidRPr="00EF494A" w:rsidRDefault="000D733F" w:rsidP="00EA1F13">
      <w:pPr>
        <w:pStyle w:val="Heading3"/>
        <w:rPr>
          <w:b w:val="0"/>
          <w:color w:val="007FAD"/>
          <w:sz w:val="28"/>
          <w:szCs w:val="28"/>
          <w:lang w:eastAsia="en-AU"/>
        </w:rPr>
      </w:pPr>
      <w:r w:rsidRPr="00EF494A">
        <w:rPr>
          <w:b w:val="0"/>
          <w:color w:val="007FAD"/>
          <w:sz w:val="28"/>
          <w:szCs w:val="28"/>
          <w:lang w:eastAsia="en-AU"/>
        </w:rPr>
        <w:t>Mutual Obligations</w:t>
      </w:r>
    </w:p>
    <w:p w:rsidR="00090F04" w:rsidRPr="00EF494A" w:rsidRDefault="008E6A46" w:rsidP="00A15F00">
      <w:pPr>
        <w:pStyle w:val="BodyText"/>
      </w:pPr>
      <w:r w:rsidRPr="00EF494A">
        <w:t xml:space="preserve">The strategic development priorities of the </w:t>
      </w:r>
      <w:r w:rsidR="00E61DAC" w:rsidRPr="00EF494A">
        <w:t xml:space="preserve">Lao </w:t>
      </w:r>
      <w:r w:rsidRPr="00EF494A">
        <w:t>Government are defined in the 7</w:t>
      </w:r>
      <w:r w:rsidRPr="00EF494A">
        <w:rPr>
          <w:vertAlign w:val="superscript"/>
        </w:rPr>
        <w:t>th</w:t>
      </w:r>
      <w:r w:rsidRPr="00EF494A">
        <w:t xml:space="preserve"> National Socio-Economic Development P</w:t>
      </w:r>
      <w:r w:rsidR="00090F04" w:rsidRPr="00EF494A">
        <w:t>lan.  Preparations have begun on</w:t>
      </w:r>
      <w:r w:rsidRPr="00EF494A">
        <w:t xml:space="preserve"> the development of an 8</w:t>
      </w:r>
      <w:r w:rsidRPr="00EF494A">
        <w:rPr>
          <w:vertAlign w:val="superscript"/>
        </w:rPr>
        <w:t>th</w:t>
      </w:r>
      <w:r w:rsidRPr="00EF494A">
        <w:t xml:space="preserve"> NSEDP, expected to retain a similar focus as the </w:t>
      </w:r>
      <w:r w:rsidR="00E61DAC" w:rsidRPr="00EF494A">
        <w:t>7th</w:t>
      </w:r>
      <w:r w:rsidRPr="00EF494A">
        <w:t xml:space="preserve"> plan.  Education and human resourc</w:t>
      </w:r>
      <w:r w:rsidR="00090F04" w:rsidRPr="00EF494A">
        <w:t xml:space="preserve">e development are key pillars of the NSEDP, and </w:t>
      </w:r>
      <w:r w:rsidR="00E61DAC" w:rsidRPr="00EF494A">
        <w:t xml:space="preserve">are budget </w:t>
      </w:r>
      <w:r w:rsidR="00090F04" w:rsidRPr="00EF494A">
        <w:t>prioritie</w:t>
      </w:r>
      <w:r w:rsidR="00E61DAC" w:rsidRPr="00EF494A">
        <w:t>s</w:t>
      </w:r>
      <w:r w:rsidR="00676840" w:rsidRPr="00EF494A">
        <w:t xml:space="preserve"> </w:t>
      </w:r>
      <w:r w:rsidR="00090F04" w:rsidRPr="00EF494A">
        <w:t>complement</w:t>
      </w:r>
      <w:r w:rsidR="00E61DAC" w:rsidRPr="00EF494A">
        <w:t>ing our</w:t>
      </w:r>
      <w:r w:rsidR="00090F04" w:rsidRPr="00EF494A">
        <w:t xml:space="preserve"> aid investment</w:t>
      </w:r>
      <w:r w:rsidR="00E61DAC" w:rsidRPr="00EF494A">
        <w:t>s</w:t>
      </w:r>
      <w:r w:rsidR="00090F04" w:rsidRPr="00EF494A">
        <w:t xml:space="preserve">.  </w:t>
      </w:r>
    </w:p>
    <w:p w:rsidR="00A15F00" w:rsidRPr="00EF494A" w:rsidRDefault="00090F04" w:rsidP="00A15F00">
      <w:pPr>
        <w:pStyle w:val="BodyText"/>
      </w:pPr>
      <w:r w:rsidRPr="00EF494A">
        <w:t xml:space="preserve">The Lao </w:t>
      </w:r>
      <w:r w:rsidR="00E61DAC" w:rsidRPr="00EF494A">
        <w:t>Government</w:t>
      </w:r>
      <w:r w:rsidRPr="00EF494A">
        <w:t xml:space="preserve"> has continued to pursue the decentralisation of service delivery, and provided human and budget resources to support this.  This complements Australia’s strong focus on improving the quality of basic services, particularly to the most disadvantaged.  </w:t>
      </w:r>
      <w:r w:rsidR="00991F20" w:rsidRPr="00EF494A">
        <w:t>Little progress has been made over 2013-14 across the donor community to enhance the mutual accountability agenda.</w:t>
      </w:r>
    </w:p>
    <w:p w:rsidR="000426DF" w:rsidRPr="00EF494A" w:rsidRDefault="000D733F" w:rsidP="00EA1F13">
      <w:pPr>
        <w:pStyle w:val="Heading3"/>
        <w:rPr>
          <w:rFonts w:ascii="Franklin Gothic Book" w:hAnsi="Franklin Gothic Book" w:cs="Times New Roman"/>
          <w:b w:val="0"/>
          <w:color w:val="auto"/>
          <w:sz w:val="21"/>
          <w:szCs w:val="24"/>
        </w:rPr>
      </w:pPr>
      <w:r w:rsidRPr="00EF494A">
        <w:rPr>
          <w:b w:val="0"/>
          <w:color w:val="007FAD"/>
          <w:sz w:val="28"/>
          <w:szCs w:val="28"/>
          <w:lang w:eastAsia="en-AU"/>
        </w:rPr>
        <w:t>Program Quality and Management</w:t>
      </w:r>
    </w:p>
    <w:p w:rsidR="001D13ED" w:rsidRPr="00EF494A" w:rsidRDefault="001D13ED" w:rsidP="00E21550">
      <w:pPr>
        <w:pStyle w:val="ListBullet"/>
        <w:numPr>
          <w:ilvl w:val="0"/>
          <w:numId w:val="0"/>
        </w:numPr>
        <w:tabs>
          <w:tab w:val="clear" w:pos="284"/>
        </w:tabs>
      </w:pPr>
      <w:r w:rsidRPr="00EF494A">
        <w:t xml:space="preserve">The Laos Country Program has good capacity to generate and use performance information.  There is an established </w:t>
      </w:r>
      <w:r w:rsidR="00920170" w:rsidRPr="00EF494A">
        <w:t xml:space="preserve">Performance </w:t>
      </w:r>
      <w:r w:rsidR="00E61DAC" w:rsidRPr="00EF494A">
        <w:t>Assessment</w:t>
      </w:r>
      <w:r w:rsidR="00920170" w:rsidRPr="00EF494A">
        <w:t xml:space="preserve"> Framework (PAF)</w:t>
      </w:r>
      <w:r w:rsidRPr="00EF494A">
        <w:t xml:space="preserve"> covering all sectors</w:t>
      </w:r>
      <w:r w:rsidR="00E00865" w:rsidRPr="00EF494A">
        <w:t xml:space="preserve"> of the </w:t>
      </w:r>
      <w:r w:rsidR="00E00865" w:rsidRPr="00EF494A">
        <w:lastRenderedPageBreak/>
        <w:t>country strategy</w:t>
      </w:r>
      <w:r w:rsidRPr="00EF494A">
        <w:t xml:space="preserve">, </w:t>
      </w:r>
      <w:r w:rsidR="00E61DAC" w:rsidRPr="00EF494A">
        <w:t xml:space="preserve">and </w:t>
      </w:r>
      <w:r w:rsidRPr="00EF494A">
        <w:t>define</w:t>
      </w:r>
      <w:r w:rsidR="00E61DAC" w:rsidRPr="00EF494A">
        <w:t>d</w:t>
      </w:r>
      <w:r w:rsidRPr="00EF494A">
        <w:t xml:space="preserve"> annual milestones</w:t>
      </w:r>
      <w:r w:rsidR="00E61DAC" w:rsidRPr="00EF494A">
        <w:t xml:space="preserve"> to measure </w:t>
      </w:r>
      <w:r w:rsidRPr="00EF494A">
        <w:t>progress. The Laos Country Program has implemented recommendations and management responses</w:t>
      </w:r>
      <w:r w:rsidR="002D5E09" w:rsidRPr="00EF494A">
        <w:t xml:space="preserve"> from 2012-13 (refer </w:t>
      </w:r>
      <w:r w:rsidR="002D5E09" w:rsidRPr="00EF494A">
        <w:rPr>
          <w:b/>
        </w:rPr>
        <w:t xml:space="preserve">Annex </w:t>
      </w:r>
      <w:r w:rsidR="009F5DDA" w:rsidRPr="00EF494A">
        <w:rPr>
          <w:b/>
        </w:rPr>
        <w:t>B</w:t>
      </w:r>
      <w:r w:rsidR="002D5E09" w:rsidRPr="00EF494A">
        <w:t>).</w:t>
      </w:r>
    </w:p>
    <w:p w:rsidR="002D5E09" w:rsidRPr="00EF494A" w:rsidRDefault="002F6410" w:rsidP="00E21550">
      <w:pPr>
        <w:pStyle w:val="ListBullet"/>
        <w:numPr>
          <w:ilvl w:val="0"/>
          <w:numId w:val="0"/>
        </w:numPr>
        <w:tabs>
          <w:tab w:val="clear" w:pos="284"/>
        </w:tabs>
      </w:pPr>
      <w:r w:rsidRPr="00EF494A">
        <w:t xml:space="preserve">In </w:t>
      </w:r>
      <w:r w:rsidR="002D5E09" w:rsidRPr="00EF494A">
        <w:t xml:space="preserve">2013-14, major investments in rural development, basic education </w:t>
      </w:r>
      <w:r w:rsidR="00EA4CA5" w:rsidRPr="00EF494A">
        <w:t>and human res</w:t>
      </w:r>
      <w:r w:rsidR="002D5E09" w:rsidRPr="00EF494A">
        <w:t xml:space="preserve">ource development </w:t>
      </w:r>
      <w:r w:rsidR="00EA4CA5" w:rsidRPr="00EF494A">
        <w:t xml:space="preserve">and scholarships </w:t>
      </w:r>
      <w:r w:rsidR="002D5E09" w:rsidRPr="00EF494A">
        <w:t xml:space="preserve">were design and/or mobilised.  These portfolio designs pulled together various activities </w:t>
      </w:r>
      <w:r w:rsidR="00EA4CA5" w:rsidRPr="00EF494A">
        <w:t xml:space="preserve">under </w:t>
      </w:r>
      <w:r w:rsidR="002D5E09" w:rsidRPr="00EF494A">
        <w:t>single initiative</w:t>
      </w:r>
      <w:r w:rsidR="00EA4CA5" w:rsidRPr="00EF494A">
        <w:t>s</w:t>
      </w:r>
      <w:r w:rsidR="002D5E09" w:rsidRPr="00EF494A">
        <w:t>, ensuring the Laos Country Program investment profile remains highly consolidated for the medium term.</w:t>
      </w:r>
    </w:p>
    <w:p w:rsidR="00EA4CA5" w:rsidRPr="00EF494A" w:rsidRDefault="00EA4CA5" w:rsidP="00E21550">
      <w:pPr>
        <w:pStyle w:val="ListBullet"/>
        <w:numPr>
          <w:ilvl w:val="0"/>
          <w:numId w:val="0"/>
        </w:numPr>
        <w:tabs>
          <w:tab w:val="clear" w:pos="284"/>
        </w:tabs>
      </w:pPr>
      <w:r w:rsidRPr="00EF494A">
        <w:t xml:space="preserve">The evaluations listed to be undertaken in 2013-14 in last year’s APPR have been completed.   Further details about progress and a list of planned evaluations for 2014-15 are provided in </w:t>
      </w:r>
      <w:r w:rsidRPr="00EF494A">
        <w:rPr>
          <w:b/>
        </w:rPr>
        <w:t xml:space="preserve">Annex </w:t>
      </w:r>
      <w:r w:rsidR="009F5DDA" w:rsidRPr="00EF494A">
        <w:rPr>
          <w:b/>
        </w:rPr>
        <w:t>C</w:t>
      </w:r>
      <w:r w:rsidRPr="00EF494A">
        <w:t>.</w:t>
      </w:r>
    </w:p>
    <w:p w:rsidR="000D184A" w:rsidRPr="00EF494A" w:rsidRDefault="00EA4CA5" w:rsidP="000D184A">
      <w:pPr>
        <w:pStyle w:val="ListBullet"/>
        <w:numPr>
          <w:ilvl w:val="0"/>
          <w:numId w:val="0"/>
        </w:numPr>
      </w:pPr>
      <w:r w:rsidRPr="00EF494A">
        <w:t>T</w:t>
      </w:r>
      <w:r w:rsidR="000D184A" w:rsidRPr="00EF494A">
        <w:t xml:space="preserve">hree </w:t>
      </w:r>
      <w:r w:rsidRPr="00EF494A">
        <w:t>major independent evaluations were undertaken</w:t>
      </w:r>
      <w:r w:rsidR="00CA565E" w:rsidRPr="00EF494A">
        <w:t xml:space="preserve"> on Australia’s </w:t>
      </w:r>
      <w:r w:rsidRPr="00EF494A">
        <w:t>s</w:t>
      </w:r>
      <w:r w:rsidR="000D184A" w:rsidRPr="00EF494A">
        <w:t xml:space="preserve">upport to </w:t>
      </w:r>
      <w:r w:rsidR="00F20E9F" w:rsidRPr="00EF494A">
        <w:t xml:space="preserve">LANGOCA, PRFII and the </w:t>
      </w:r>
      <w:r w:rsidR="00CA565E" w:rsidRPr="00EF494A">
        <w:t>UXO s</w:t>
      </w:r>
      <w:r w:rsidR="00F20E9F" w:rsidRPr="00EF494A">
        <w:t>ector</w:t>
      </w:r>
      <w:r w:rsidR="000D184A" w:rsidRPr="00EF494A">
        <w:t xml:space="preserve">. </w:t>
      </w:r>
      <w:r w:rsidR="00F20E9F" w:rsidRPr="00EF494A">
        <w:t>Evaluation outcomes were shared with stakeholders through debriefing, and</w:t>
      </w:r>
      <w:r w:rsidR="0015487B">
        <w:t>,</w:t>
      </w:r>
      <w:r w:rsidR="000D184A" w:rsidRPr="00EF494A">
        <w:t xml:space="preserve"> in the case of LANGOCA, </w:t>
      </w:r>
      <w:r w:rsidR="00CA565E" w:rsidRPr="00EF494A">
        <w:t>through a comprehensive lessons learned w</w:t>
      </w:r>
      <w:r w:rsidR="00F20E9F" w:rsidRPr="00EF494A">
        <w:t>orkshop held in June 2014</w:t>
      </w:r>
      <w:r w:rsidR="000D184A" w:rsidRPr="00EF494A">
        <w:t>.</w:t>
      </w:r>
      <w:r w:rsidR="00F77D87" w:rsidRPr="00EF494A">
        <w:t xml:space="preserve"> </w:t>
      </w:r>
      <w:r w:rsidR="000D184A" w:rsidRPr="00EF494A">
        <w:t xml:space="preserve"> The P</w:t>
      </w:r>
      <w:r w:rsidR="00F20E9F" w:rsidRPr="00EF494A">
        <w:t xml:space="preserve">RFII review </w:t>
      </w:r>
      <w:r w:rsidR="002F6410" w:rsidRPr="00EF494A">
        <w:t xml:space="preserve">highlighted </w:t>
      </w:r>
      <w:r w:rsidR="00F77D87" w:rsidRPr="00EF494A">
        <w:t xml:space="preserve">positive </w:t>
      </w:r>
      <w:r w:rsidR="000D184A" w:rsidRPr="00EF494A">
        <w:t xml:space="preserve">outcomes </w:t>
      </w:r>
      <w:r w:rsidR="00F20E9F" w:rsidRPr="00EF494A">
        <w:t>achieved</w:t>
      </w:r>
      <w:r w:rsidR="009C385C" w:rsidRPr="00EF494A">
        <w:t xml:space="preserve">, particularly </w:t>
      </w:r>
      <w:r w:rsidR="00F77D87" w:rsidRPr="00EF494A">
        <w:t xml:space="preserve">through </w:t>
      </w:r>
      <w:r w:rsidR="009C385C" w:rsidRPr="00EF494A">
        <w:t>the use of a</w:t>
      </w:r>
      <w:r w:rsidR="000D184A" w:rsidRPr="00EF494A">
        <w:t xml:space="preserve"> </w:t>
      </w:r>
      <w:r w:rsidR="009C385C" w:rsidRPr="00EF494A">
        <w:t>community-driven d</w:t>
      </w:r>
      <w:r w:rsidR="000D184A" w:rsidRPr="00EF494A">
        <w:t>evelopment app</w:t>
      </w:r>
      <w:r w:rsidR="009C385C" w:rsidRPr="00EF494A">
        <w:t xml:space="preserve">roach </w:t>
      </w:r>
      <w:r w:rsidR="00F77D87" w:rsidRPr="00EF494A">
        <w:t xml:space="preserve">within </w:t>
      </w:r>
      <w:r w:rsidR="002F6410" w:rsidRPr="00EF494A">
        <w:t xml:space="preserve">a </w:t>
      </w:r>
      <w:r w:rsidR="00F77D87" w:rsidRPr="00EF494A">
        <w:t>restrictive operating environment</w:t>
      </w:r>
      <w:r w:rsidR="000D184A" w:rsidRPr="00EF494A">
        <w:t>.</w:t>
      </w:r>
    </w:p>
    <w:p w:rsidR="000D733F" w:rsidRPr="00EF494A" w:rsidRDefault="000D733F" w:rsidP="000D733F">
      <w:pPr>
        <w:pStyle w:val="Heading3"/>
      </w:pPr>
      <w:r w:rsidRPr="00EF494A">
        <w:t xml:space="preserve">Analysis of Quality at Implementation </w:t>
      </w:r>
      <w:r w:rsidR="00A85871" w:rsidRPr="00EF494A">
        <w:t>Reports</w:t>
      </w:r>
    </w:p>
    <w:p w:rsidR="00892806" w:rsidRPr="00EF494A" w:rsidRDefault="00892806" w:rsidP="00920170">
      <w:pPr>
        <w:pStyle w:val="ListBullet"/>
        <w:numPr>
          <w:ilvl w:val="0"/>
          <w:numId w:val="0"/>
        </w:numPr>
      </w:pPr>
      <w:r w:rsidRPr="00EF494A">
        <w:t xml:space="preserve">A summary table of Quality at Implementation </w:t>
      </w:r>
      <w:r w:rsidR="00A85871" w:rsidRPr="00EF494A">
        <w:t>ratings for the Laos</w:t>
      </w:r>
      <w:r w:rsidR="00463F96" w:rsidRPr="00EF494A">
        <w:t xml:space="preserve"> </w:t>
      </w:r>
      <w:r w:rsidRPr="00EF494A">
        <w:t xml:space="preserve">Country Program for 2013-14 is </w:t>
      </w:r>
      <w:r w:rsidR="00A85871" w:rsidRPr="00EF494A">
        <w:t>at</w:t>
      </w:r>
      <w:r w:rsidRPr="00EF494A">
        <w:t xml:space="preserve"> </w:t>
      </w:r>
      <w:r w:rsidRPr="00EF494A">
        <w:rPr>
          <w:b/>
        </w:rPr>
        <w:t xml:space="preserve">Annex </w:t>
      </w:r>
      <w:r w:rsidR="009F5DDA" w:rsidRPr="00EF494A">
        <w:rPr>
          <w:b/>
        </w:rPr>
        <w:t>D</w:t>
      </w:r>
      <w:r w:rsidRPr="00EF494A">
        <w:t>.</w:t>
      </w:r>
    </w:p>
    <w:p w:rsidR="00372213" w:rsidRPr="00EF494A" w:rsidRDefault="00FA3A9B" w:rsidP="00372213">
      <w:pPr>
        <w:pStyle w:val="Heading3"/>
      </w:pPr>
      <w:r w:rsidRPr="00EF494A">
        <w:t>Gender</w:t>
      </w:r>
      <w:r w:rsidR="00372213" w:rsidRPr="00EF494A">
        <w:t>, Disability Inclusive Development and Nutrition</w:t>
      </w:r>
    </w:p>
    <w:p w:rsidR="00985B92" w:rsidRPr="00EF494A" w:rsidRDefault="00985B92" w:rsidP="00985B92">
      <w:pPr>
        <w:pStyle w:val="Heading3"/>
        <w:rPr>
          <w:rFonts w:ascii="Franklin Gothic Book" w:hAnsi="Franklin Gothic Book" w:cs="Times New Roman"/>
          <w:b w:val="0"/>
          <w:color w:val="auto"/>
          <w:kern w:val="0"/>
          <w:sz w:val="21"/>
          <w:szCs w:val="24"/>
        </w:rPr>
      </w:pPr>
      <w:r w:rsidRPr="00EF494A">
        <w:rPr>
          <w:rFonts w:ascii="Franklin Gothic Book" w:hAnsi="Franklin Gothic Book" w:cs="Times New Roman"/>
          <w:b w:val="0"/>
          <w:color w:val="auto"/>
          <w:kern w:val="0"/>
          <w:sz w:val="21"/>
          <w:szCs w:val="24"/>
        </w:rPr>
        <w:t xml:space="preserve">Further reporting on aid program performance relating to gender, disability inclusive development and nutrition is provided in </w:t>
      </w:r>
      <w:r w:rsidRPr="00EF494A">
        <w:rPr>
          <w:rFonts w:ascii="Franklin Gothic Book" w:hAnsi="Franklin Gothic Book" w:cs="Times New Roman"/>
          <w:color w:val="auto"/>
          <w:kern w:val="0"/>
          <w:sz w:val="21"/>
          <w:szCs w:val="24"/>
        </w:rPr>
        <w:t xml:space="preserve">Annex </w:t>
      </w:r>
      <w:r w:rsidR="009F5DDA" w:rsidRPr="00EF494A">
        <w:rPr>
          <w:rFonts w:ascii="Franklin Gothic Book" w:hAnsi="Franklin Gothic Book" w:cs="Times New Roman"/>
          <w:color w:val="auto"/>
          <w:kern w:val="0"/>
          <w:sz w:val="21"/>
          <w:szCs w:val="24"/>
        </w:rPr>
        <w:t>E</w:t>
      </w:r>
      <w:r w:rsidRPr="00EF494A">
        <w:rPr>
          <w:rFonts w:ascii="Franklin Gothic Book" w:hAnsi="Franklin Gothic Book" w:cs="Times New Roman"/>
          <w:b w:val="0"/>
          <w:color w:val="auto"/>
          <w:kern w:val="0"/>
          <w:sz w:val="21"/>
          <w:szCs w:val="24"/>
        </w:rPr>
        <w:t>.</w:t>
      </w:r>
    </w:p>
    <w:p w:rsidR="000D733F" w:rsidRPr="00EF494A" w:rsidRDefault="000D733F" w:rsidP="000D733F">
      <w:pPr>
        <w:pStyle w:val="Heading3"/>
      </w:pPr>
      <w:r w:rsidRPr="00EF494A">
        <w:t xml:space="preserve">Performance </w:t>
      </w:r>
      <w:r w:rsidR="004F4630" w:rsidRPr="00EF494A">
        <w:t>of key delivery partners</w:t>
      </w:r>
    </w:p>
    <w:p w:rsidR="001B30E5" w:rsidRPr="00EF494A" w:rsidRDefault="001B30E5" w:rsidP="00223535">
      <w:pPr>
        <w:pStyle w:val="ListBullet"/>
        <w:numPr>
          <w:ilvl w:val="0"/>
          <w:numId w:val="0"/>
        </w:numPr>
      </w:pPr>
      <w:r w:rsidRPr="00EF494A">
        <w:t xml:space="preserve">The World Bank continues to be our largest single partner delivering an estimated </w:t>
      </w:r>
      <w:r w:rsidR="00144F6F" w:rsidRPr="00EF494A">
        <w:t>28</w:t>
      </w:r>
      <w:r w:rsidRPr="00EF494A">
        <w:t xml:space="preserve"> per cent of bilateral aid funds to implement aid activities in 2013–14.</w:t>
      </w:r>
      <w:r w:rsidR="00F40214" w:rsidRPr="00EF494A">
        <w:t xml:space="preserve"> </w:t>
      </w:r>
      <w:r w:rsidR="0082287D" w:rsidRPr="00EF494A">
        <w:t>I</w:t>
      </w:r>
      <w:r w:rsidR="00B236A8" w:rsidRPr="00EF494A">
        <w:t>ts</w:t>
      </w:r>
      <w:r w:rsidR="00F40214" w:rsidRPr="00EF494A">
        <w:t xml:space="preserve"> management of the PRFII and TDFII is effective, particularly in </w:t>
      </w:r>
      <w:r w:rsidR="007823C0" w:rsidRPr="00EF494A">
        <w:t>raising</w:t>
      </w:r>
      <w:r w:rsidR="00F40214" w:rsidRPr="00EF494A">
        <w:t xml:space="preserve"> sensitive issues </w:t>
      </w:r>
      <w:r w:rsidR="00B236A8" w:rsidRPr="00EF494A">
        <w:t xml:space="preserve">on </w:t>
      </w:r>
      <w:r w:rsidR="00F40214" w:rsidRPr="00EF494A">
        <w:t xml:space="preserve">program implementation, such as resettlement or the government’s contribution to policy reform.  </w:t>
      </w:r>
      <w:r w:rsidR="00CE1387" w:rsidRPr="00EF494A">
        <w:t>U</w:t>
      </w:r>
      <w:r w:rsidR="00C92CD2" w:rsidRPr="00EF494A">
        <w:t>N</w:t>
      </w:r>
      <w:r w:rsidR="00CE1387" w:rsidRPr="00EF494A">
        <w:t xml:space="preserve"> agencies, namely UNDP, UNICEF, WFP and UNCDF, </w:t>
      </w:r>
      <w:r w:rsidR="0082287D" w:rsidRPr="00EF494A">
        <w:t xml:space="preserve">delivered </w:t>
      </w:r>
      <w:r w:rsidR="00144F6F" w:rsidRPr="00EF494A">
        <w:t>29 per cent</w:t>
      </w:r>
      <w:r w:rsidR="00CE1387" w:rsidRPr="00EF494A">
        <w:t xml:space="preserve"> per cent of the aid budget for 2013-14.  </w:t>
      </w:r>
      <w:r w:rsidRPr="00EF494A">
        <w:t>UNDP</w:t>
      </w:r>
      <w:r w:rsidR="00D01B15" w:rsidRPr="00EF494A">
        <w:t xml:space="preserve"> is an important partner for Australia’s assist</w:t>
      </w:r>
      <w:r w:rsidR="00CE1387" w:rsidRPr="00EF494A">
        <w:t xml:space="preserve">ance </w:t>
      </w:r>
      <w:r w:rsidR="00C92CD2" w:rsidRPr="00EF494A">
        <w:t>for</w:t>
      </w:r>
      <w:r w:rsidR="00CE1387" w:rsidRPr="00EF494A">
        <w:t xml:space="preserve"> UXO clearance</w:t>
      </w:r>
      <w:r w:rsidR="00D01B15" w:rsidRPr="00EF494A">
        <w:t xml:space="preserve">.  </w:t>
      </w:r>
      <w:r w:rsidRPr="00EF494A">
        <w:t xml:space="preserve">UNICEF </w:t>
      </w:r>
      <w:r w:rsidR="00CE1387" w:rsidRPr="00EF494A">
        <w:t>continued to be an effective and responsive partner.  UNICEF has demonstrated strong program-delivery capabilities in 2013-14, particularly in the delivery of WASH facilities</w:t>
      </w:r>
      <w:r w:rsidR="00C92CD2" w:rsidRPr="00EF494A">
        <w:t xml:space="preserve">.  It </w:t>
      </w:r>
      <w:r w:rsidR="00CE1387" w:rsidRPr="00EF494A">
        <w:t xml:space="preserve">has also been an effective partner in policy dialogue in the education sector.  </w:t>
      </w:r>
      <w:r w:rsidRPr="00EF494A">
        <w:t>World Food Program (WFP) delivery model and management approach</w:t>
      </w:r>
      <w:r w:rsidR="0015487B">
        <w:t xml:space="preserve"> could be improved by greater</w:t>
      </w:r>
      <w:r w:rsidRPr="00EF494A">
        <w:t xml:space="preserve"> attention to report</w:t>
      </w:r>
      <w:r w:rsidR="00C92CD2" w:rsidRPr="00EF494A">
        <w:t>ing</w:t>
      </w:r>
      <w:r w:rsidRPr="00EF494A">
        <w:t xml:space="preserve"> on results. </w:t>
      </w:r>
    </w:p>
    <w:p w:rsidR="007648BA" w:rsidRPr="00EF494A" w:rsidRDefault="001B30E5" w:rsidP="00223535">
      <w:pPr>
        <w:pStyle w:val="ListBullet"/>
        <w:numPr>
          <w:ilvl w:val="0"/>
          <w:numId w:val="0"/>
        </w:numPr>
      </w:pPr>
      <w:r w:rsidRPr="00EF494A">
        <w:t xml:space="preserve">International </w:t>
      </w:r>
      <w:r w:rsidR="00C92CD2" w:rsidRPr="00EF494A">
        <w:t>NGO</w:t>
      </w:r>
      <w:r w:rsidR="007648BA" w:rsidRPr="00EF494A">
        <w:t xml:space="preserve">s </w:t>
      </w:r>
      <w:r w:rsidRPr="00EF494A">
        <w:t>continue to be importan</w:t>
      </w:r>
      <w:r w:rsidR="0082287D" w:rsidRPr="00EF494A">
        <w:t xml:space="preserve">t </w:t>
      </w:r>
      <w:r w:rsidRPr="00EF494A">
        <w:t>partners</w:t>
      </w:r>
      <w:r w:rsidR="007648BA" w:rsidRPr="00EF494A">
        <w:t xml:space="preserve">.  </w:t>
      </w:r>
      <w:r w:rsidR="00144F6F" w:rsidRPr="00EF494A">
        <w:t>2013-14 saw the finalisation of the LANGOCA program and the preparation of new work with NGOs</w:t>
      </w:r>
      <w:r w:rsidR="00C92CD2" w:rsidRPr="00EF494A">
        <w:t>.  T</w:t>
      </w:r>
      <w:r w:rsidR="00144F6F" w:rsidRPr="00EF494A">
        <w:t xml:space="preserve">here was no significant expenditure to report on NGOs as part of the Laos Country Program. </w:t>
      </w:r>
      <w:r w:rsidR="007648BA" w:rsidRPr="00EF494A">
        <w:t>R</w:t>
      </w:r>
      <w:r w:rsidRPr="00EF494A">
        <w:t xml:space="preserve">ecent draft </w:t>
      </w:r>
      <w:r w:rsidR="007648BA" w:rsidRPr="00EF494A">
        <w:t xml:space="preserve">Lao </w:t>
      </w:r>
      <w:r w:rsidR="00C92CD2" w:rsidRPr="00EF494A">
        <w:t>Government</w:t>
      </w:r>
      <w:r w:rsidR="007648BA" w:rsidRPr="00EF494A">
        <w:t xml:space="preserve"> </w:t>
      </w:r>
      <w:r w:rsidRPr="00EF494A">
        <w:t>decree</w:t>
      </w:r>
      <w:r w:rsidR="007648BA" w:rsidRPr="00EF494A">
        <w:t xml:space="preserve">s </w:t>
      </w:r>
      <w:r w:rsidR="00C92CD2" w:rsidRPr="00EF494A">
        <w:t>on</w:t>
      </w:r>
      <w:r w:rsidR="007648BA" w:rsidRPr="00EF494A">
        <w:t xml:space="preserve"> INGOs and NPAs</w:t>
      </w:r>
      <w:r w:rsidRPr="00EF494A">
        <w:t xml:space="preserve"> </w:t>
      </w:r>
      <w:r w:rsidR="00C92CD2" w:rsidRPr="00EF494A">
        <w:t xml:space="preserve">(Not-For-Profit Associations, the local title for domestic Lao NGOs) suggests the government plans to introduce greater </w:t>
      </w:r>
      <w:r w:rsidRPr="00EF494A">
        <w:t>restriction</w:t>
      </w:r>
      <w:r w:rsidR="007648BA" w:rsidRPr="00EF494A">
        <w:t xml:space="preserve">s </w:t>
      </w:r>
      <w:r w:rsidR="0012534E" w:rsidRPr="00EF494A">
        <w:t xml:space="preserve">over the </w:t>
      </w:r>
      <w:r w:rsidR="007648BA" w:rsidRPr="00EF494A">
        <w:t>operati</w:t>
      </w:r>
      <w:r w:rsidR="0012534E" w:rsidRPr="00EF494A">
        <w:t>on</w:t>
      </w:r>
      <w:r w:rsidR="007648BA" w:rsidRPr="00EF494A">
        <w:t xml:space="preserve"> </w:t>
      </w:r>
      <w:r w:rsidR="0012534E" w:rsidRPr="00EF494A">
        <w:t xml:space="preserve">of </w:t>
      </w:r>
      <w:r w:rsidR="007648BA" w:rsidRPr="00EF494A">
        <w:t>civil society groups</w:t>
      </w:r>
      <w:r w:rsidRPr="00EF494A">
        <w:t xml:space="preserve">. </w:t>
      </w:r>
      <w:r w:rsidR="007648BA" w:rsidRPr="00EF494A">
        <w:t>In the education sector, however, the government has extended the E</w:t>
      </w:r>
      <w:r w:rsidR="0012534E" w:rsidRPr="00EF494A">
        <w:t>SWG</w:t>
      </w:r>
      <w:r w:rsidR="007648BA" w:rsidRPr="00EF494A">
        <w:t xml:space="preserve"> structure to enable NGOs to lead technical groups.</w:t>
      </w:r>
    </w:p>
    <w:p w:rsidR="005A2421" w:rsidRPr="00EF494A" w:rsidRDefault="00144F6F" w:rsidP="00223535">
      <w:pPr>
        <w:pStyle w:val="ListBullet"/>
        <w:numPr>
          <w:ilvl w:val="0"/>
          <w:numId w:val="0"/>
        </w:numPr>
      </w:pPr>
      <w:r w:rsidRPr="00EF494A">
        <w:lastRenderedPageBreak/>
        <w:t>Managing Contractors are becoming increasingly important delivery partners for the Laos Country Program</w:t>
      </w:r>
      <w:r w:rsidR="0012534E" w:rsidRPr="00EF494A">
        <w:t>,</w:t>
      </w:r>
      <w:r w:rsidRPr="00EF494A">
        <w:t xml:space="preserve"> with 13 per cent of the aid budget for 2013-14.</w:t>
      </w:r>
      <w:r w:rsidR="00193BFF" w:rsidRPr="00EF494A">
        <w:t xml:space="preserve">  There are now three managing contractor teams working across rural development and human resource development and scholarships.  </w:t>
      </w:r>
    </w:p>
    <w:p w:rsidR="00342940" w:rsidRPr="00EF494A" w:rsidRDefault="00342940" w:rsidP="00223535">
      <w:pPr>
        <w:pStyle w:val="ListBullet"/>
        <w:numPr>
          <w:ilvl w:val="0"/>
          <w:numId w:val="0"/>
        </w:numPr>
      </w:pPr>
      <w:r w:rsidRPr="00EF494A">
        <w:t>Other government agencies actively contributed to the delivery of Australian aid to Laos.  The Australian Centre for International Agricultural Research</w:t>
      </w:r>
      <w:r w:rsidR="0012534E" w:rsidRPr="00EF494A">
        <w:t xml:space="preserve"> (ACIAR)</w:t>
      </w:r>
      <w:r w:rsidRPr="00EF494A">
        <w:t xml:space="preserve"> in Laos</w:t>
      </w:r>
      <w:r w:rsidR="0012534E" w:rsidRPr="00EF494A">
        <w:t>, for example,</w:t>
      </w:r>
      <w:r w:rsidRPr="00EF494A">
        <w:t xml:space="preserve"> delivered a research program estimated at </w:t>
      </w:r>
      <w:r w:rsidR="00144F6F" w:rsidRPr="00EF494A">
        <w:t>$5.2</w:t>
      </w:r>
      <w:r w:rsidRPr="00EF494A">
        <w:t xml:space="preserve"> million in 2013-14</w:t>
      </w:r>
      <w:r w:rsidR="0012534E" w:rsidRPr="00EF494A">
        <w:t>,</w:t>
      </w:r>
      <w:r w:rsidRPr="00EF494A">
        <w:t xml:space="preserve"> focused on increasing agricultural production and smallholder income.</w:t>
      </w:r>
    </w:p>
    <w:p w:rsidR="000D733F" w:rsidRPr="00EF494A" w:rsidRDefault="000D733F" w:rsidP="000D733F">
      <w:pPr>
        <w:pStyle w:val="Heading3"/>
      </w:pPr>
      <w:r w:rsidRPr="00EF494A">
        <w:t>Risks</w:t>
      </w:r>
    </w:p>
    <w:p w:rsidR="008E29AB" w:rsidRPr="00EF494A" w:rsidRDefault="00A1727E" w:rsidP="00A1727E">
      <w:pPr>
        <w:pStyle w:val="BodyText"/>
        <w:rPr>
          <w:lang w:eastAsia="zh-CN"/>
        </w:rPr>
      </w:pPr>
      <w:r w:rsidRPr="00EF494A">
        <w:rPr>
          <w:lang w:eastAsia="zh-CN"/>
        </w:rPr>
        <w:t xml:space="preserve">Key risks to achieving objectives of the Laos Country Program are identified in </w:t>
      </w:r>
      <w:r w:rsidRPr="00EF494A">
        <w:rPr>
          <w:b/>
          <w:lang w:eastAsia="zh-CN"/>
        </w:rPr>
        <w:t xml:space="preserve">Annex </w:t>
      </w:r>
      <w:r w:rsidR="009F5DDA" w:rsidRPr="00EF494A">
        <w:rPr>
          <w:b/>
          <w:lang w:eastAsia="zh-CN"/>
        </w:rPr>
        <w:t>F</w:t>
      </w:r>
      <w:r w:rsidRPr="00EF494A">
        <w:rPr>
          <w:lang w:eastAsia="zh-CN"/>
        </w:rPr>
        <w:t>.</w:t>
      </w:r>
    </w:p>
    <w:p w:rsidR="000D733F" w:rsidRPr="00EF494A" w:rsidRDefault="000D733F" w:rsidP="000D733F">
      <w:pPr>
        <w:pStyle w:val="Heading3"/>
        <w:rPr>
          <w:rStyle w:val="BodyTextChar"/>
          <w:b w:val="0"/>
          <w:color w:val="auto"/>
        </w:rPr>
      </w:pPr>
      <w:r w:rsidRPr="00EF494A">
        <w:rPr>
          <w:b w:val="0"/>
          <w:color w:val="007FAD"/>
          <w:sz w:val="32"/>
          <w:szCs w:val="32"/>
          <w:lang w:eastAsia="en-AU"/>
        </w:rPr>
        <w:t xml:space="preserve">Management </w:t>
      </w:r>
      <w:r w:rsidR="00805ADD" w:rsidRPr="00EF494A">
        <w:rPr>
          <w:b w:val="0"/>
          <w:color w:val="007FAD"/>
          <w:sz w:val="32"/>
          <w:szCs w:val="32"/>
          <w:lang w:eastAsia="en-AU"/>
        </w:rPr>
        <w:t>Responses</w:t>
      </w:r>
    </w:p>
    <w:p w:rsidR="00E367C4" w:rsidRPr="00EF494A" w:rsidRDefault="00A85823" w:rsidP="00A85823">
      <w:pPr>
        <w:pStyle w:val="BodyText"/>
        <w:rPr>
          <w:lang w:eastAsia="zh-CN"/>
        </w:rPr>
      </w:pPr>
      <w:r w:rsidRPr="00EF494A">
        <w:rPr>
          <w:lang w:eastAsia="zh-CN"/>
        </w:rPr>
        <w:t xml:space="preserve">Progress in addressing 2012-13 management responses is outlined in the table at </w:t>
      </w:r>
      <w:r w:rsidRPr="00EF494A">
        <w:rPr>
          <w:b/>
          <w:lang w:eastAsia="zh-CN"/>
        </w:rPr>
        <w:t xml:space="preserve">Annex </w:t>
      </w:r>
      <w:r w:rsidR="009F5DDA" w:rsidRPr="00EF494A">
        <w:rPr>
          <w:b/>
          <w:lang w:eastAsia="zh-CN"/>
        </w:rPr>
        <w:t>B</w:t>
      </w:r>
      <w:r w:rsidRPr="00EF494A">
        <w:rPr>
          <w:lang w:eastAsia="zh-CN"/>
        </w:rPr>
        <w:t>.</w:t>
      </w:r>
      <w:r w:rsidR="00E367C4" w:rsidRPr="00EF494A">
        <w:rPr>
          <w:lang w:eastAsia="zh-CN"/>
        </w:rPr>
        <w:t xml:space="preserve">  In 201</w:t>
      </w:r>
      <w:r w:rsidR="0015487B">
        <w:rPr>
          <w:lang w:eastAsia="zh-CN"/>
        </w:rPr>
        <w:t>4</w:t>
      </w:r>
      <w:r w:rsidR="00E367C4" w:rsidRPr="00EF494A">
        <w:rPr>
          <w:lang w:eastAsia="zh-CN"/>
        </w:rPr>
        <w:t>-1</w:t>
      </w:r>
      <w:r w:rsidR="0015487B">
        <w:rPr>
          <w:lang w:eastAsia="zh-CN"/>
        </w:rPr>
        <w:t>5</w:t>
      </w:r>
      <w:r w:rsidR="00E367C4" w:rsidRPr="00EF494A">
        <w:rPr>
          <w:lang w:eastAsia="zh-CN"/>
        </w:rPr>
        <w:t xml:space="preserve"> the Laos Country program will: </w:t>
      </w:r>
    </w:p>
    <w:p w:rsidR="00A85823" w:rsidRPr="00EF494A" w:rsidRDefault="00E367C4" w:rsidP="00B10C2C">
      <w:pPr>
        <w:pStyle w:val="Heading3"/>
      </w:pPr>
      <w:r w:rsidRPr="00EF494A">
        <w:t>Fiscal context, reform and sustainability</w:t>
      </w:r>
    </w:p>
    <w:p w:rsidR="001B7FB0" w:rsidRPr="00EF494A" w:rsidRDefault="008B2EBF" w:rsidP="008B2EBF">
      <w:pPr>
        <w:pStyle w:val="BodyText"/>
        <w:numPr>
          <w:ilvl w:val="0"/>
          <w:numId w:val="26"/>
        </w:numPr>
        <w:rPr>
          <w:lang w:eastAsia="zh-CN"/>
        </w:rPr>
      </w:pPr>
      <w:r w:rsidRPr="00EF494A">
        <w:rPr>
          <w:lang w:eastAsia="zh-CN"/>
        </w:rPr>
        <w:t>Continue to monitor and deepen understanding about the implication</w:t>
      </w:r>
      <w:r w:rsidR="0012534E" w:rsidRPr="00EF494A">
        <w:rPr>
          <w:lang w:eastAsia="zh-CN"/>
        </w:rPr>
        <w:t>s</w:t>
      </w:r>
      <w:r w:rsidRPr="00EF494A">
        <w:rPr>
          <w:lang w:eastAsia="zh-CN"/>
        </w:rPr>
        <w:t xml:space="preserve"> of Lao PDR’s tight fiscal situation on current and future aid program investments.</w:t>
      </w:r>
    </w:p>
    <w:p w:rsidR="00991F20" w:rsidRPr="00EF494A" w:rsidRDefault="00991F20" w:rsidP="00676840">
      <w:pPr>
        <w:pStyle w:val="BodyText"/>
        <w:numPr>
          <w:ilvl w:val="1"/>
          <w:numId w:val="26"/>
        </w:numPr>
        <w:rPr>
          <w:lang w:eastAsia="zh-CN"/>
        </w:rPr>
      </w:pPr>
      <w:r w:rsidRPr="00EF494A">
        <w:rPr>
          <w:lang w:eastAsia="zh-CN"/>
        </w:rPr>
        <w:t>Conduct a review of Rural Development Program and Education Program during 2014-15 to assess level of government financing (linked to budget strategy above).</w:t>
      </w:r>
    </w:p>
    <w:p w:rsidR="003D3216" w:rsidRPr="00EF494A" w:rsidRDefault="003D3216" w:rsidP="008B2EBF">
      <w:pPr>
        <w:pStyle w:val="BodyText"/>
        <w:numPr>
          <w:ilvl w:val="0"/>
          <w:numId w:val="26"/>
        </w:numPr>
        <w:rPr>
          <w:lang w:eastAsia="zh-CN"/>
        </w:rPr>
      </w:pPr>
      <w:r w:rsidRPr="00EF494A">
        <w:rPr>
          <w:lang w:eastAsia="zh-CN"/>
        </w:rPr>
        <w:t>Develop a deeper understanding of</w:t>
      </w:r>
      <w:r w:rsidR="0012534E" w:rsidRPr="00EF494A">
        <w:rPr>
          <w:lang w:eastAsia="zh-CN"/>
        </w:rPr>
        <w:t xml:space="preserve"> the impact on broader reform processes of </w:t>
      </w:r>
      <w:r w:rsidRPr="00EF494A">
        <w:rPr>
          <w:lang w:eastAsia="zh-CN"/>
        </w:rPr>
        <w:t>Laos’ tightening fiscal environment</w:t>
      </w:r>
      <w:r w:rsidR="0012534E" w:rsidRPr="00EF494A">
        <w:rPr>
          <w:lang w:eastAsia="zh-CN"/>
        </w:rPr>
        <w:t xml:space="preserve"> and its impending participation in the ASEAN Economic Community.</w:t>
      </w:r>
    </w:p>
    <w:p w:rsidR="001B7FB0" w:rsidRPr="00EF494A" w:rsidRDefault="00E367C4" w:rsidP="00DD2B63">
      <w:pPr>
        <w:pStyle w:val="Heading3"/>
      </w:pPr>
      <w:r w:rsidRPr="00EF494A">
        <w:t>Social Safeguards and Inclusive Development</w:t>
      </w:r>
    </w:p>
    <w:p w:rsidR="00DD2B63" w:rsidRPr="00EF494A" w:rsidRDefault="00DD2B63" w:rsidP="00DD2B63">
      <w:pPr>
        <w:pStyle w:val="BodyText"/>
        <w:numPr>
          <w:ilvl w:val="0"/>
          <w:numId w:val="27"/>
        </w:numPr>
        <w:rPr>
          <w:lang w:eastAsia="zh-CN"/>
        </w:rPr>
      </w:pPr>
      <w:r w:rsidRPr="00EF494A">
        <w:rPr>
          <w:lang w:eastAsia="zh-CN"/>
        </w:rPr>
        <w:t xml:space="preserve">Develop a </w:t>
      </w:r>
      <w:r w:rsidR="008E5701" w:rsidRPr="00EF494A">
        <w:rPr>
          <w:lang w:eastAsia="zh-CN"/>
        </w:rPr>
        <w:t>fit-for-</w:t>
      </w:r>
      <w:r w:rsidRPr="00EF494A">
        <w:rPr>
          <w:lang w:eastAsia="zh-CN"/>
        </w:rPr>
        <w:t xml:space="preserve">purpose approach to managing social safeguard risks across all major investments, drawing on </w:t>
      </w:r>
      <w:r w:rsidR="0012534E" w:rsidRPr="00EF494A">
        <w:rPr>
          <w:lang w:eastAsia="zh-CN"/>
        </w:rPr>
        <w:t xml:space="preserve">PRFII </w:t>
      </w:r>
      <w:r w:rsidRPr="00EF494A">
        <w:rPr>
          <w:lang w:eastAsia="zh-CN"/>
        </w:rPr>
        <w:t xml:space="preserve">lessoned learned </w:t>
      </w:r>
      <w:r w:rsidR="0012534E" w:rsidRPr="00EF494A">
        <w:rPr>
          <w:lang w:eastAsia="zh-CN"/>
        </w:rPr>
        <w:t>on resettlement risk</w:t>
      </w:r>
      <w:r w:rsidRPr="00EF494A">
        <w:rPr>
          <w:lang w:eastAsia="zh-CN"/>
        </w:rPr>
        <w:t>.</w:t>
      </w:r>
    </w:p>
    <w:p w:rsidR="0096343D" w:rsidRPr="00EF494A" w:rsidRDefault="0096343D" w:rsidP="0096343D">
      <w:pPr>
        <w:pStyle w:val="BodyText"/>
        <w:numPr>
          <w:ilvl w:val="0"/>
          <w:numId w:val="27"/>
        </w:numPr>
        <w:rPr>
          <w:lang w:eastAsia="zh-CN"/>
        </w:rPr>
      </w:pPr>
      <w:r w:rsidRPr="00EF494A">
        <w:rPr>
          <w:lang w:eastAsia="zh-CN"/>
        </w:rPr>
        <w:t>Increase policy dialogue on gender equality and women’s economic empowerment with Lao ministry counterparts.</w:t>
      </w:r>
    </w:p>
    <w:p w:rsidR="00E367C4" w:rsidRPr="00EF494A" w:rsidRDefault="00E367C4" w:rsidP="00E367C4">
      <w:pPr>
        <w:pStyle w:val="Heading3"/>
      </w:pPr>
      <w:r w:rsidRPr="00EF494A">
        <w:t>Civil Society</w:t>
      </w:r>
    </w:p>
    <w:p w:rsidR="001B7FB0" w:rsidRPr="00EF494A" w:rsidRDefault="007A6D61" w:rsidP="007A6D61">
      <w:pPr>
        <w:pStyle w:val="BodyText"/>
        <w:numPr>
          <w:ilvl w:val="0"/>
          <w:numId w:val="27"/>
        </w:numPr>
        <w:rPr>
          <w:lang w:eastAsia="zh-CN"/>
        </w:rPr>
      </w:pPr>
      <w:r w:rsidRPr="00EF494A">
        <w:rPr>
          <w:lang w:eastAsia="zh-CN"/>
        </w:rPr>
        <w:t xml:space="preserve">Continue to monitor the civil society operational context in Lao PDR to be better able to manage risk in </w:t>
      </w:r>
      <w:r w:rsidR="0012534E" w:rsidRPr="00EF494A">
        <w:rPr>
          <w:lang w:eastAsia="zh-CN"/>
        </w:rPr>
        <w:t xml:space="preserve">the </w:t>
      </w:r>
      <w:r w:rsidRPr="00EF494A">
        <w:rPr>
          <w:lang w:eastAsia="zh-CN"/>
        </w:rPr>
        <w:t>engagement of NGOs in program delivery</w:t>
      </w:r>
      <w:r w:rsidR="0012534E" w:rsidRPr="00EF494A">
        <w:rPr>
          <w:lang w:eastAsia="zh-CN"/>
        </w:rPr>
        <w:t xml:space="preserve"> </w:t>
      </w:r>
      <w:r w:rsidRPr="00EF494A">
        <w:rPr>
          <w:lang w:eastAsia="zh-CN"/>
        </w:rPr>
        <w:t>in rural development and education.</w:t>
      </w:r>
    </w:p>
    <w:p w:rsidR="00E367C4" w:rsidRPr="00EF494A" w:rsidRDefault="00E367C4" w:rsidP="00E367C4">
      <w:pPr>
        <w:pStyle w:val="Heading3"/>
      </w:pPr>
      <w:r w:rsidRPr="00EF494A">
        <w:t>Partnerships</w:t>
      </w:r>
    </w:p>
    <w:p w:rsidR="001B7FB0" w:rsidRPr="00EF494A" w:rsidRDefault="00AD6AC8" w:rsidP="00AD6AC8">
      <w:pPr>
        <w:pStyle w:val="BodyText"/>
        <w:numPr>
          <w:ilvl w:val="0"/>
          <w:numId w:val="27"/>
        </w:numPr>
        <w:rPr>
          <w:lang w:eastAsia="zh-CN"/>
        </w:rPr>
      </w:pPr>
      <w:r w:rsidRPr="00EF494A">
        <w:rPr>
          <w:lang w:eastAsia="zh-CN"/>
        </w:rPr>
        <w:t>Build productive relationships with managing contractor teams to manage program-related risks effectively</w:t>
      </w:r>
      <w:r w:rsidR="005C4E46" w:rsidRPr="00EF494A">
        <w:rPr>
          <w:lang w:eastAsia="zh-CN"/>
        </w:rPr>
        <w:t xml:space="preserve"> through regular communication and joint work</w:t>
      </w:r>
      <w:r w:rsidRPr="00EF494A">
        <w:rPr>
          <w:lang w:eastAsia="zh-CN"/>
        </w:rPr>
        <w:t>.</w:t>
      </w:r>
    </w:p>
    <w:p w:rsidR="005C4E46" w:rsidRPr="00EF494A" w:rsidRDefault="005C4E46" w:rsidP="00AD6AC8">
      <w:pPr>
        <w:pStyle w:val="BodyText"/>
        <w:numPr>
          <w:ilvl w:val="0"/>
          <w:numId w:val="27"/>
        </w:numPr>
        <w:rPr>
          <w:lang w:eastAsia="zh-CN"/>
        </w:rPr>
      </w:pPr>
      <w:r w:rsidRPr="00EF494A">
        <w:rPr>
          <w:lang w:eastAsia="zh-CN"/>
        </w:rPr>
        <w:t xml:space="preserve">Improve the number and quality of our public diplomacy and public relations through more regular engagement with </w:t>
      </w:r>
      <w:r w:rsidR="0015487B">
        <w:rPr>
          <w:lang w:eastAsia="zh-CN"/>
        </w:rPr>
        <w:t>the P</w:t>
      </w:r>
      <w:r w:rsidRPr="00EF494A">
        <w:rPr>
          <w:lang w:eastAsia="zh-CN"/>
        </w:rPr>
        <w:t>ost</w:t>
      </w:r>
      <w:r w:rsidR="0015487B">
        <w:rPr>
          <w:lang w:eastAsia="zh-CN"/>
        </w:rPr>
        <w:t>’</w:t>
      </w:r>
      <w:r w:rsidRPr="00EF494A">
        <w:rPr>
          <w:lang w:eastAsia="zh-CN"/>
        </w:rPr>
        <w:t xml:space="preserve">s new dedicated </w:t>
      </w:r>
      <w:r w:rsidR="0096343D" w:rsidRPr="00EF494A">
        <w:rPr>
          <w:lang w:eastAsia="zh-CN"/>
        </w:rPr>
        <w:t>P</w:t>
      </w:r>
      <w:r w:rsidRPr="00EF494A">
        <w:rPr>
          <w:lang w:eastAsia="zh-CN"/>
        </w:rPr>
        <w:t xml:space="preserve">ublic </w:t>
      </w:r>
      <w:r w:rsidR="0096343D" w:rsidRPr="00EF494A">
        <w:rPr>
          <w:lang w:eastAsia="zh-CN"/>
        </w:rPr>
        <w:t>D</w:t>
      </w:r>
      <w:r w:rsidRPr="00EF494A">
        <w:rPr>
          <w:lang w:eastAsia="zh-CN"/>
        </w:rPr>
        <w:t xml:space="preserve">iplomacy </w:t>
      </w:r>
      <w:r w:rsidR="0096343D" w:rsidRPr="00EF494A">
        <w:rPr>
          <w:lang w:eastAsia="zh-CN"/>
        </w:rPr>
        <w:t>O</w:t>
      </w:r>
      <w:r w:rsidRPr="00EF494A">
        <w:rPr>
          <w:lang w:eastAsia="zh-CN"/>
        </w:rPr>
        <w:t>fficer.</w:t>
      </w:r>
    </w:p>
    <w:p w:rsidR="00B10C2C" w:rsidRPr="00EF494A" w:rsidRDefault="00B10C2C" w:rsidP="00B10C2C">
      <w:pPr>
        <w:pStyle w:val="Heading3"/>
      </w:pPr>
      <w:r w:rsidRPr="00EF494A">
        <w:lastRenderedPageBreak/>
        <w:t>Aid Program Focus and Delivery</w:t>
      </w:r>
    </w:p>
    <w:p w:rsidR="00B71DA1" w:rsidRPr="00EF494A" w:rsidRDefault="00B71DA1" w:rsidP="00B71DA1">
      <w:pPr>
        <w:pStyle w:val="BodyText"/>
        <w:numPr>
          <w:ilvl w:val="0"/>
          <w:numId w:val="27"/>
        </w:numPr>
        <w:rPr>
          <w:lang w:eastAsia="zh-CN"/>
        </w:rPr>
      </w:pPr>
      <w:r w:rsidRPr="00EF494A">
        <w:rPr>
          <w:lang w:eastAsia="zh-CN"/>
        </w:rPr>
        <w:t>Assess current aid program commitments again</w:t>
      </w:r>
      <w:r w:rsidR="0012534E" w:rsidRPr="00EF494A">
        <w:rPr>
          <w:lang w:eastAsia="zh-CN"/>
        </w:rPr>
        <w:t>st</w:t>
      </w:r>
      <w:r w:rsidRPr="00EF494A">
        <w:rPr>
          <w:lang w:eastAsia="zh-CN"/>
        </w:rPr>
        <w:t xml:space="preserve"> the new strategic framework for the aid program, and highlight opportunities and constraints for the Laos Country Program to respond to new priorities.</w:t>
      </w:r>
    </w:p>
    <w:p w:rsidR="00B10C2C" w:rsidRPr="00EF494A" w:rsidRDefault="00A1601E" w:rsidP="00CB399C">
      <w:pPr>
        <w:pStyle w:val="BodyText"/>
        <w:numPr>
          <w:ilvl w:val="0"/>
          <w:numId w:val="27"/>
        </w:numPr>
        <w:rPr>
          <w:lang w:eastAsia="zh-CN"/>
        </w:rPr>
      </w:pPr>
      <w:r w:rsidRPr="00EF494A">
        <w:rPr>
          <w:lang w:eastAsia="zh-CN"/>
        </w:rPr>
        <w:t>Document lesson</w:t>
      </w:r>
      <w:r w:rsidR="0012534E" w:rsidRPr="00EF494A">
        <w:rPr>
          <w:lang w:eastAsia="zh-CN"/>
        </w:rPr>
        <w:t>s</w:t>
      </w:r>
      <w:r w:rsidRPr="00EF494A">
        <w:rPr>
          <w:lang w:eastAsia="zh-CN"/>
        </w:rPr>
        <w:t xml:space="preserve"> learned on the challenges in mobilising major aid investment</w:t>
      </w:r>
      <w:r w:rsidR="0012534E" w:rsidRPr="00EF494A">
        <w:rPr>
          <w:lang w:eastAsia="zh-CN"/>
        </w:rPr>
        <w:t>s</w:t>
      </w:r>
      <w:r w:rsidRPr="00EF494A">
        <w:rPr>
          <w:lang w:eastAsia="zh-CN"/>
        </w:rPr>
        <w:t xml:space="preserve"> in Laos, and ensure these lessons are shared across the Laos Country Program – particularly to inform the mobilisation of new programs, such as BEQUAL.</w:t>
      </w:r>
    </w:p>
    <w:p w:rsidR="000D733F" w:rsidRPr="00EF494A" w:rsidRDefault="000D733F" w:rsidP="00F63FE5">
      <w:pPr>
        <w:pStyle w:val="ListBullet"/>
        <w:tabs>
          <w:tab w:val="clear" w:pos="284"/>
        </w:tabs>
        <w:rPr>
          <w:rFonts w:ascii="Helvetica" w:hAnsi="Helvetica" w:cs="Arial"/>
          <w:color w:val="124486"/>
          <w:spacing w:val="-10"/>
          <w:kern w:val="28"/>
          <w:sz w:val="32"/>
          <w:szCs w:val="32"/>
        </w:rPr>
        <w:sectPr w:rsidR="000D733F" w:rsidRPr="00EF494A" w:rsidSect="00E02595">
          <w:headerReference w:type="default" r:id="rId17"/>
          <w:type w:val="continuous"/>
          <w:pgSz w:w="11907" w:h="16840" w:code="9"/>
          <w:pgMar w:top="2381" w:right="1701" w:bottom="907" w:left="1701" w:header="850" w:footer="567" w:gutter="0"/>
          <w:pgNumType w:start="1"/>
          <w:cols w:space="720"/>
          <w:docGrid w:linePitch="326"/>
        </w:sectPr>
      </w:pPr>
    </w:p>
    <w:p w:rsidR="00372213" w:rsidRPr="00EF494A" w:rsidRDefault="00372213" w:rsidP="00372213">
      <w:pPr>
        <w:pStyle w:val="Heading2"/>
        <w:ind w:firstLine="720"/>
        <w:rPr>
          <w:sz w:val="28"/>
        </w:rPr>
      </w:pPr>
      <w:r w:rsidRPr="00EF494A">
        <w:rPr>
          <w:sz w:val="28"/>
        </w:rPr>
        <w:lastRenderedPageBreak/>
        <w:t>Annex A</w:t>
      </w:r>
    </w:p>
    <w:p w:rsidR="00372213" w:rsidRPr="00EF494A" w:rsidRDefault="00372213" w:rsidP="00372213">
      <w:pPr>
        <w:pStyle w:val="Heading2"/>
        <w:ind w:firstLine="720"/>
        <w:rPr>
          <w:sz w:val="28"/>
        </w:rPr>
      </w:pPr>
      <w:r w:rsidRPr="00EF494A">
        <w:rPr>
          <w:sz w:val="28"/>
        </w:rPr>
        <w:t>Performance Assessment Framework, Milestone Achievements 2013-1</w:t>
      </w:r>
      <w:r w:rsidR="00985B92" w:rsidRPr="00EF494A">
        <w:rPr>
          <w:sz w:val="28"/>
        </w:rPr>
        <w:t>4</w:t>
      </w:r>
    </w:p>
    <w:tbl>
      <w:tblPr>
        <w:tblW w:w="1360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3969"/>
        <w:gridCol w:w="4678"/>
      </w:tblGrid>
      <w:tr w:rsidR="00372213" w:rsidRPr="00EF494A" w:rsidTr="00FD5FA5">
        <w:tc>
          <w:tcPr>
            <w:tcW w:w="13608" w:type="dxa"/>
            <w:gridSpan w:val="3"/>
            <w:tcBorders>
              <w:top w:val="single" w:sz="4" w:space="0" w:color="auto"/>
              <w:left w:val="single" w:sz="4" w:space="0" w:color="auto"/>
              <w:bottom w:val="single" w:sz="4" w:space="0" w:color="auto"/>
              <w:right w:val="single" w:sz="4" w:space="0" w:color="auto"/>
            </w:tcBorders>
            <w:shd w:val="clear" w:color="auto" w:fill="D9D9D9"/>
          </w:tcPr>
          <w:p w:rsidR="00372213" w:rsidRPr="00EF494A" w:rsidRDefault="00372213" w:rsidP="00FD5FA5">
            <w:pPr>
              <w:jc w:val="center"/>
              <w:rPr>
                <w:rFonts w:ascii="Franklin Gothic Book" w:hAnsi="Franklin Gothic Book"/>
                <w:b/>
                <w:iCs/>
                <w:sz w:val="24"/>
              </w:rPr>
            </w:pPr>
          </w:p>
          <w:p w:rsidR="00372213" w:rsidRPr="00EF494A" w:rsidRDefault="00372213" w:rsidP="00FD5FA5">
            <w:pPr>
              <w:jc w:val="center"/>
              <w:rPr>
                <w:rFonts w:ascii="Franklin Gothic Book" w:hAnsi="Franklin Gothic Book"/>
                <w:b/>
                <w:iCs/>
                <w:sz w:val="24"/>
              </w:rPr>
            </w:pPr>
            <w:r w:rsidRPr="00EF494A">
              <w:rPr>
                <w:rFonts w:ascii="Franklin Gothic Book" w:hAnsi="Franklin Gothic Book"/>
                <w:b/>
                <w:iCs/>
                <w:sz w:val="24"/>
              </w:rPr>
              <w:t>Milestone Achievements 2013-14</w:t>
            </w:r>
          </w:p>
          <w:p w:rsidR="00372213" w:rsidRPr="00EF494A" w:rsidRDefault="00372213" w:rsidP="00FD5FA5">
            <w:pPr>
              <w:jc w:val="center"/>
              <w:rPr>
                <w:rFonts w:ascii="Franklin Gothic Book" w:hAnsi="Franklin Gothic Book"/>
                <w:b/>
                <w:iCs/>
                <w:sz w:val="24"/>
              </w:rPr>
            </w:pPr>
          </w:p>
        </w:tc>
      </w:tr>
      <w:tr w:rsidR="00372213" w:rsidRPr="00EF494A" w:rsidTr="00FD5FA5">
        <w:trPr>
          <w:trHeight w:val="604"/>
        </w:trPr>
        <w:tc>
          <w:tcPr>
            <w:tcW w:w="4961" w:type="dxa"/>
            <w:shd w:val="clear" w:color="auto" w:fill="D9D9D9"/>
          </w:tcPr>
          <w:p w:rsidR="00372213" w:rsidRPr="00EF494A" w:rsidRDefault="00372213" w:rsidP="00FD5FA5">
            <w:pPr>
              <w:spacing w:before="60" w:after="120"/>
              <w:rPr>
                <w:rFonts w:ascii="Franklin Gothic Book" w:hAnsi="Franklin Gothic Book"/>
                <w:b/>
                <w:iCs/>
                <w:sz w:val="24"/>
              </w:rPr>
            </w:pPr>
            <w:r w:rsidRPr="00EF494A">
              <w:rPr>
                <w:rFonts w:ascii="Franklin Gothic Book" w:hAnsi="Franklin Gothic Book"/>
                <w:b/>
                <w:iCs/>
                <w:sz w:val="24"/>
              </w:rPr>
              <w:t>Pillar 1: Education</w:t>
            </w:r>
          </w:p>
        </w:tc>
        <w:tc>
          <w:tcPr>
            <w:tcW w:w="3969" w:type="dxa"/>
            <w:shd w:val="clear" w:color="auto" w:fill="D9D9D9"/>
          </w:tcPr>
          <w:p w:rsidR="00372213" w:rsidRPr="00EF494A" w:rsidRDefault="00372213" w:rsidP="00FD5FA5">
            <w:pPr>
              <w:spacing w:before="60" w:after="120"/>
              <w:rPr>
                <w:rFonts w:ascii="Franklin Gothic Book" w:hAnsi="Franklin Gothic Book"/>
                <w:b/>
                <w:iCs/>
                <w:sz w:val="24"/>
              </w:rPr>
            </w:pPr>
            <w:r w:rsidRPr="00EF494A">
              <w:rPr>
                <w:rFonts w:ascii="Franklin Gothic Book" w:hAnsi="Franklin Gothic Book"/>
                <w:b/>
                <w:iCs/>
                <w:sz w:val="24"/>
              </w:rPr>
              <w:t xml:space="preserve">Pillar 2: Trade </w:t>
            </w:r>
          </w:p>
        </w:tc>
        <w:tc>
          <w:tcPr>
            <w:tcW w:w="4678" w:type="dxa"/>
            <w:shd w:val="clear" w:color="auto" w:fill="D9D9D9"/>
          </w:tcPr>
          <w:p w:rsidR="00372213" w:rsidRPr="00EF494A" w:rsidRDefault="00372213" w:rsidP="00FD5FA5">
            <w:pPr>
              <w:spacing w:before="60" w:after="120"/>
              <w:rPr>
                <w:rFonts w:ascii="Franklin Gothic Book" w:hAnsi="Franklin Gothic Book"/>
                <w:b/>
                <w:iCs/>
                <w:sz w:val="24"/>
              </w:rPr>
            </w:pPr>
            <w:r w:rsidRPr="00EF494A">
              <w:rPr>
                <w:rFonts w:ascii="Franklin Gothic Book" w:hAnsi="Franklin Gothic Book"/>
                <w:b/>
                <w:iCs/>
                <w:sz w:val="24"/>
              </w:rPr>
              <w:t xml:space="preserve">Pillar 3: Rural Development </w:t>
            </w:r>
          </w:p>
        </w:tc>
      </w:tr>
      <w:tr w:rsidR="00372213" w:rsidRPr="00EF494A" w:rsidTr="00FD5FA5">
        <w:tc>
          <w:tcPr>
            <w:tcW w:w="4961" w:type="dxa"/>
            <w:tcBorders>
              <w:top w:val="single" w:sz="4" w:space="0" w:color="auto"/>
              <w:left w:val="single" w:sz="4" w:space="0" w:color="auto"/>
              <w:bottom w:val="single" w:sz="4" w:space="0" w:color="auto"/>
              <w:right w:val="single" w:sz="4" w:space="0" w:color="auto"/>
            </w:tcBorders>
            <w:shd w:val="clear" w:color="auto" w:fill="auto"/>
          </w:tcPr>
          <w:p w:rsidR="00372213" w:rsidRPr="00EF494A" w:rsidRDefault="00372213" w:rsidP="00FD5FA5">
            <w:pPr>
              <w:pStyle w:val="TableTextEntries"/>
              <w:rPr>
                <w:b/>
                <w:iCs w:val="0"/>
                <w:lang w:eastAsia="en-AU"/>
              </w:rPr>
            </w:pPr>
            <w:r w:rsidRPr="00EF494A">
              <w:rPr>
                <w:b/>
                <w:lang w:eastAsia="en-AU"/>
              </w:rPr>
              <w:t xml:space="preserve">Strategy objective 1: </w:t>
            </w:r>
          </w:p>
          <w:p w:rsidR="00372213" w:rsidRPr="00EF494A" w:rsidRDefault="00372213" w:rsidP="00FD5FA5">
            <w:pPr>
              <w:rPr>
                <w:rFonts w:ascii="Franklin Gothic Book" w:hAnsi="Franklin Gothic Book"/>
                <w:iCs/>
                <w:sz w:val="17"/>
                <w:szCs w:val="17"/>
              </w:rPr>
            </w:pPr>
            <w:r w:rsidRPr="00EF494A">
              <w:rPr>
                <w:rFonts w:ascii="Franklin Gothic Book" w:hAnsi="Franklin Gothic Book"/>
                <w:iCs/>
                <w:sz w:val="17"/>
                <w:szCs w:val="17"/>
              </w:rPr>
              <w:t>Mitigation of key constraints to equitable access to a quality basic education in targeted poor geographic areas</w:t>
            </w:r>
          </w:p>
          <w:p w:rsidR="00372213" w:rsidRPr="00EF494A" w:rsidRDefault="00372213" w:rsidP="00FD5FA5">
            <w:pPr>
              <w:rPr>
                <w:rFonts w:ascii="Franklin Gothic Book" w:hAnsi="Franklin Gothic Book"/>
                <w:iCs/>
                <w:sz w:val="17"/>
                <w:szCs w:val="17"/>
              </w:rPr>
            </w:pPr>
          </w:p>
          <w:p w:rsidR="00372213" w:rsidRPr="00EF494A" w:rsidRDefault="00372213" w:rsidP="00FD5FA5">
            <w:pPr>
              <w:rPr>
                <w:rFonts w:ascii="Franklin Gothic Book" w:hAnsi="Franklin Gothic Book"/>
                <w:iCs/>
                <w:sz w:val="17"/>
                <w:szCs w:val="17"/>
              </w:rPr>
            </w:pPr>
            <w:r w:rsidRPr="00EF494A">
              <w:rPr>
                <w:rFonts w:ascii="Franklin Gothic Book" w:hAnsi="Franklin Gothic Book"/>
                <w:b/>
                <w:iCs/>
                <w:sz w:val="17"/>
                <w:szCs w:val="17"/>
              </w:rPr>
              <w:t>Strategy objective 2:</w:t>
            </w:r>
            <w:r w:rsidRPr="00EF494A">
              <w:rPr>
                <w:rFonts w:ascii="Franklin Gothic Book" w:hAnsi="Franklin Gothic Book"/>
                <w:iCs/>
                <w:sz w:val="17"/>
                <w:szCs w:val="17"/>
              </w:rPr>
              <w:t xml:space="preserve"> Better management of Government of Laos and donor resources available to the education sector through implementation of a jointly agreed 10 year education sector framework</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72213" w:rsidRPr="00EF494A" w:rsidRDefault="00372213" w:rsidP="00FD5FA5">
            <w:pPr>
              <w:pStyle w:val="TableTextEntries"/>
              <w:rPr>
                <w:b/>
                <w:iCs w:val="0"/>
                <w:lang w:eastAsia="en-AU"/>
              </w:rPr>
            </w:pPr>
            <w:r w:rsidRPr="00EF494A">
              <w:rPr>
                <w:b/>
                <w:lang w:eastAsia="en-AU"/>
              </w:rPr>
              <w:t xml:space="preserve">Strategy objective 3: </w:t>
            </w:r>
          </w:p>
          <w:p w:rsidR="00372213" w:rsidRPr="00EF494A" w:rsidRDefault="00372213" w:rsidP="00FD5FA5">
            <w:pPr>
              <w:spacing w:before="60" w:after="60"/>
              <w:rPr>
                <w:rFonts w:ascii="Franklin Gothic Book" w:hAnsi="Franklin Gothic Book"/>
                <w:iCs/>
                <w:sz w:val="17"/>
                <w:szCs w:val="17"/>
              </w:rPr>
            </w:pPr>
            <w:r w:rsidRPr="00EF494A">
              <w:rPr>
                <w:rFonts w:ascii="Franklin Gothic Book" w:hAnsi="Franklin Gothic Book"/>
                <w:iCs/>
                <w:sz w:val="17"/>
                <w:szCs w:val="17"/>
              </w:rPr>
              <w:t>Policy and institutional impediments to trade and investment addressed in sectors that have high potential to contribute to inclusive growth</w:t>
            </w:r>
          </w:p>
        </w:tc>
        <w:tc>
          <w:tcPr>
            <w:tcW w:w="4678" w:type="dxa"/>
            <w:tcBorders>
              <w:top w:val="single" w:sz="4" w:space="0" w:color="auto"/>
              <w:left w:val="single" w:sz="4" w:space="0" w:color="auto"/>
              <w:bottom w:val="single" w:sz="4" w:space="0" w:color="auto"/>
              <w:right w:val="single" w:sz="4" w:space="0" w:color="auto"/>
            </w:tcBorders>
          </w:tcPr>
          <w:p w:rsidR="00372213" w:rsidRPr="00EF494A" w:rsidRDefault="00372213" w:rsidP="00FD5FA5">
            <w:pPr>
              <w:pStyle w:val="TableTextEntries"/>
              <w:rPr>
                <w:b/>
                <w:iCs w:val="0"/>
                <w:lang w:eastAsia="en-AU"/>
              </w:rPr>
            </w:pPr>
            <w:r w:rsidRPr="00EF494A">
              <w:rPr>
                <w:b/>
                <w:lang w:eastAsia="en-AU"/>
              </w:rPr>
              <w:t xml:space="preserve">Strategy objective 4: </w:t>
            </w:r>
          </w:p>
          <w:p w:rsidR="00372213" w:rsidRPr="00EF494A" w:rsidRDefault="00372213" w:rsidP="00FD5FA5">
            <w:pPr>
              <w:spacing w:before="60" w:after="60"/>
              <w:rPr>
                <w:rFonts w:ascii="Franklin Gothic Book" w:hAnsi="Franklin Gothic Book"/>
                <w:iCs/>
                <w:sz w:val="17"/>
                <w:szCs w:val="17"/>
              </w:rPr>
            </w:pPr>
            <w:r w:rsidRPr="00EF494A">
              <w:rPr>
                <w:rFonts w:ascii="Franklin Gothic Book" w:hAnsi="Franklin Gothic Book"/>
                <w:iCs/>
                <w:sz w:val="17"/>
                <w:szCs w:val="17"/>
              </w:rPr>
              <w:t>Improve inclusive access to finance, productive assets, and market opportunities</w:t>
            </w:r>
          </w:p>
          <w:p w:rsidR="00372213" w:rsidRPr="00EF494A" w:rsidRDefault="00372213" w:rsidP="00FD5FA5">
            <w:pPr>
              <w:pStyle w:val="TableTextEntries"/>
              <w:rPr>
                <w:iCs w:val="0"/>
                <w:lang w:eastAsia="en-AU"/>
              </w:rPr>
            </w:pPr>
          </w:p>
          <w:p w:rsidR="00372213" w:rsidRPr="00EF494A" w:rsidRDefault="00372213" w:rsidP="00FD5FA5">
            <w:pPr>
              <w:pStyle w:val="TableTextEntries"/>
              <w:rPr>
                <w:b/>
                <w:iCs w:val="0"/>
                <w:lang w:eastAsia="en-AU"/>
              </w:rPr>
            </w:pPr>
            <w:r w:rsidRPr="00EF494A">
              <w:rPr>
                <w:b/>
                <w:lang w:eastAsia="en-AU"/>
              </w:rPr>
              <w:t xml:space="preserve">Strategy objective 5: </w:t>
            </w:r>
          </w:p>
          <w:p w:rsidR="00372213" w:rsidRPr="00EF494A" w:rsidRDefault="00372213" w:rsidP="00FD5FA5">
            <w:pPr>
              <w:spacing w:before="60" w:after="60"/>
              <w:rPr>
                <w:rFonts w:ascii="Franklin Gothic Book" w:hAnsi="Franklin Gothic Book"/>
                <w:iCs/>
                <w:sz w:val="17"/>
                <w:szCs w:val="17"/>
              </w:rPr>
            </w:pPr>
            <w:r w:rsidRPr="00EF494A">
              <w:rPr>
                <w:rFonts w:ascii="Franklin Gothic Book" w:hAnsi="Franklin Gothic Book"/>
                <w:iCs/>
                <w:sz w:val="17"/>
                <w:szCs w:val="17"/>
              </w:rPr>
              <w:t>Improve physical access to markets and basic services</w:t>
            </w:r>
          </w:p>
        </w:tc>
      </w:tr>
      <w:tr w:rsidR="00372213" w:rsidRPr="00EF494A" w:rsidTr="00FD5FA5">
        <w:tc>
          <w:tcPr>
            <w:tcW w:w="4961" w:type="dxa"/>
            <w:tcBorders>
              <w:top w:val="single" w:sz="4" w:space="0" w:color="auto"/>
              <w:left w:val="single" w:sz="4" w:space="0" w:color="auto"/>
              <w:bottom w:val="single" w:sz="4" w:space="0" w:color="auto"/>
              <w:right w:val="single" w:sz="4" w:space="0" w:color="auto"/>
            </w:tcBorders>
            <w:shd w:val="clear" w:color="auto" w:fill="auto"/>
          </w:tcPr>
          <w:p w:rsidR="00372213" w:rsidRPr="00EF494A" w:rsidRDefault="00372213" w:rsidP="00FD5FA5">
            <w:pPr>
              <w:spacing w:after="120"/>
              <w:rPr>
                <w:rFonts w:ascii="Franklin Gothic Book" w:hAnsi="Franklin Gothic Book"/>
                <w:iCs/>
                <w:sz w:val="17"/>
                <w:szCs w:val="17"/>
              </w:rPr>
            </w:pPr>
          </w:p>
          <w:p w:rsidR="00372213" w:rsidRPr="00EF494A" w:rsidRDefault="00372213" w:rsidP="00FD5FA5">
            <w:pPr>
              <w:pStyle w:val="ListParagraph"/>
              <w:numPr>
                <w:ilvl w:val="1"/>
                <w:numId w:val="45"/>
              </w:numPr>
              <w:spacing w:after="0"/>
              <w:rPr>
                <w:rFonts w:ascii="Franklin Gothic Book" w:hAnsi="Franklin Gothic Book"/>
                <w:b/>
                <w:iCs/>
                <w:sz w:val="17"/>
                <w:szCs w:val="17"/>
              </w:rPr>
            </w:pPr>
            <w:r w:rsidRPr="00EF494A">
              <w:rPr>
                <w:rFonts w:ascii="Franklin Gothic Book" w:hAnsi="Franklin Gothic Book"/>
                <w:b/>
                <w:iCs/>
                <w:sz w:val="17"/>
                <w:szCs w:val="17"/>
              </w:rPr>
              <w:t xml:space="preserve">Milestone met </w:t>
            </w:r>
          </w:p>
          <w:p w:rsidR="00372213" w:rsidRPr="00EF494A" w:rsidRDefault="00372213" w:rsidP="00FD5FA5">
            <w:pPr>
              <w:rPr>
                <w:rFonts w:ascii="Franklin Gothic Book" w:hAnsi="Franklin Gothic Book"/>
                <w:iCs/>
                <w:sz w:val="17"/>
                <w:szCs w:val="17"/>
              </w:rPr>
            </w:pPr>
            <w:r w:rsidRPr="00EF494A">
              <w:rPr>
                <w:rFonts w:ascii="Franklin Gothic Book" w:hAnsi="Franklin Gothic Book"/>
                <w:iCs/>
                <w:sz w:val="17"/>
                <w:szCs w:val="17"/>
              </w:rPr>
              <w:t xml:space="preserve">146 schools (81 DFAT) including additional 48 schools with new classrooms constructed in 2013/14.  </w:t>
            </w:r>
          </w:p>
          <w:p w:rsidR="00372213" w:rsidRPr="00EF494A" w:rsidRDefault="00372213" w:rsidP="00FD5FA5">
            <w:pPr>
              <w:tabs>
                <w:tab w:val="num" w:pos="2052"/>
              </w:tabs>
              <w:ind w:left="754" w:hanging="394"/>
              <w:rPr>
                <w:rFonts w:ascii="Franklin Gothic Book" w:hAnsi="Franklin Gothic Book"/>
                <w:iCs/>
                <w:sz w:val="17"/>
                <w:szCs w:val="17"/>
              </w:rPr>
            </w:pPr>
          </w:p>
          <w:p w:rsidR="00372213" w:rsidRPr="00EF494A" w:rsidRDefault="00372213" w:rsidP="00FD5FA5">
            <w:pPr>
              <w:tabs>
                <w:tab w:val="num" w:pos="2052"/>
              </w:tabs>
              <w:rPr>
                <w:rFonts w:ascii="Franklin Gothic Book" w:hAnsi="Franklin Gothic Book"/>
                <w:iCs/>
                <w:sz w:val="17"/>
                <w:szCs w:val="17"/>
              </w:rPr>
            </w:pPr>
            <w:r w:rsidRPr="00EF494A">
              <w:rPr>
                <w:rFonts w:ascii="Franklin Gothic Book" w:hAnsi="Franklin Gothic Book"/>
                <w:iCs/>
                <w:sz w:val="17"/>
                <w:szCs w:val="17"/>
              </w:rPr>
              <w:t>Safety and Quality audit plan completed (443 EDP II schools inspected). 13 schools out of the total have been renovated. 713 (393 DFAT) classrooms constructed.</w:t>
            </w:r>
          </w:p>
          <w:p w:rsidR="00372213" w:rsidRPr="00EF494A" w:rsidRDefault="00372213" w:rsidP="00FD5FA5">
            <w:pPr>
              <w:tabs>
                <w:tab w:val="num" w:pos="2052"/>
              </w:tabs>
              <w:rPr>
                <w:rFonts w:ascii="Franklin Gothic Book" w:hAnsi="Franklin Gothic Book"/>
                <w:iCs/>
                <w:sz w:val="17"/>
                <w:szCs w:val="17"/>
              </w:rPr>
            </w:pPr>
            <w:r w:rsidRPr="00EF494A">
              <w:rPr>
                <w:rFonts w:ascii="Franklin Gothic Book" w:hAnsi="Franklin Gothic Book"/>
                <w:iCs/>
                <w:sz w:val="17"/>
                <w:szCs w:val="17"/>
              </w:rPr>
              <w:t>To date, 43 schools under the current WASH Program provided with latrines and 5 schools provided with water supply. Under the bridging fund, 78 schools provided with water supply and 31schools provided with sanitation facilities.</w:t>
            </w:r>
          </w:p>
          <w:p w:rsidR="00372213" w:rsidRPr="00EF494A" w:rsidRDefault="00372213" w:rsidP="00FD5FA5">
            <w:pPr>
              <w:rPr>
                <w:rFonts w:ascii="Franklin Gothic Book" w:hAnsi="Franklin Gothic Book"/>
                <w:iCs/>
                <w:sz w:val="17"/>
                <w:szCs w:val="17"/>
              </w:rPr>
            </w:pPr>
          </w:p>
          <w:p w:rsidR="00372213" w:rsidRPr="00EF494A" w:rsidRDefault="00372213" w:rsidP="00FD5FA5">
            <w:pPr>
              <w:rPr>
                <w:rFonts w:ascii="Franklin Gothic Book" w:hAnsi="Franklin Gothic Book"/>
                <w:b/>
                <w:iCs/>
                <w:sz w:val="17"/>
                <w:szCs w:val="17"/>
              </w:rPr>
            </w:pPr>
            <w:r w:rsidRPr="00EF494A">
              <w:rPr>
                <w:rFonts w:ascii="Franklin Gothic Book" w:hAnsi="Franklin Gothic Book"/>
                <w:b/>
                <w:iCs/>
                <w:sz w:val="17"/>
                <w:szCs w:val="17"/>
              </w:rPr>
              <w:t xml:space="preserve">1.2 Milestone partially met </w:t>
            </w:r>
          </w:p>
          <w:p w:rsidR="00372213" w:rsidRPr="00EF494A" w:rsidRDefault="00372213" w:rsidP="00FD5FA5">
            <w:pPr>
              <w:tabs>
                <w:tab w:val="num" w:pos="2052"/>
              </w:tabs>
              <w:rPr>
                <w:rFonts w:ascii="Franklin Gothic Book" w:hAnsi="Franklin Gothic Book"/>
                <w:iCs/>
                <w:sz w:val="17"/>
                <w:szCs w:val="17"/>
              </w:rPr>
            </w:pPr>
            <w:r w:rsidRPr="00EF494A">
              <w:rPr>
                <w:rFonts w:ascii="Franklin Gothic Book" w:hAnsi="Franklin Gothic Book"/>
                <w:iCs/>
                <w:sz w:val="17"/>
                <w:szCs w:val="17"/>
              </w:rPr>
              <w:t xml:space="preserve">149 schools implementing SoQ approach (Training on SoQ approach provided to school principals, teachers and Village Education Development Committee members) </w:t>
            </w:r>
          </w:p>
          <w:p w:rsidR="00372213" w:rsidRPr="00EF494A" w:rsidRDefault="00372213" w:rsidP="00FD5FA5">
            <w:pPr>
              <w:tabs>
                <w:tab w:val="num" w:pos="2052"/>
              </w:tabs>
              <w:rPr>
                <w:rFonts w:ascii="Franklin Gothic Book" w:hAnsi="Franklin Gothic Book"/>
                <w:iCs/>
                <w:sz w:val="17"/>
                <w:szCs w:val="17"/>
              </w:rPr>
            </w:pPr>
          </w:p>
          <w:p w:rsidR="00372213" w:rsidRPr="00EF494A" w:rsidRDefault="00372213" w:rsidP="00FD5FA5">
            <w:pPr>
              <w:tabs>
                <w:tab w:val="num" w:pos="2052"/>
              </w:tabs>
              <w:rPr>
                <w:rFonts w:ascii="Franklin Gothic Book" w:hAnsi="Franklin Gothic Book"/>
                <w:iCs/>
                <w:sz w:val="17"/>
                <w:szCs w:val="17"/>
              </w:rPr>
            </w:pPr>
            <w:r w:rsidRPr="00EF494A">
              <w:rPr>
                <w:rFonts w:ascii="Franklin Gothic Book" w:hAnsi="Franklin Gothic Book"/>
                <w:iCs/>
                <w:sz w:val="17"/>
                <w:szCs w:val="17"/>
              </w:rPr>
              <w:t xml:space="preserve">487 school officials (principals) trained in leadership and Schools of Quality approach </w:t>
            </w:r>
          </w:p>
          <w:p w:rsidR="00372213" w:rsidRPr="00EF494A" w:rsidRDefault="00372213" w:rsidP="00FD5FA5">
            <w:pPr>
              <w:tabs>
                <w:tab w:val="num" w:pos="2052"/>
              </w:tabs>
              <w:ind w:left="754" w:hanging="394"/>
              <w:rPr>
                <w:rFonts w:ascii="Franklin Gothic Book" w:hAnsi="Franklin Gothic Book"/>
                <w:iCs/>
                <w:sz w:val="17"/>
                <w:szCs w:val="17"/>
              </w:rPr>
            </w:pPr>
          </w:p>
          <w:p w:rsidR="00372213" w:rsidRPr="00EF494A" w:rsidRDefault="00372213" w:rsidP="00FD5FA5">
            <w:pPr>
              <w:tabs>
                <w:tab w:val="num" w:pos="2052"/>
              </w:tabs>
              <w:rPr>
                <w:rFonts w:ascii="Franklin Gothic Book" w:hAnsi="Franklin Gothic Book"/>
                <w:iCs/>
                <w:sz w:val="17"/>
                <w:szCs w:val="17"/>
              </w:rPr>
            </w:pPr>
            <w:r w:rsidRPr="00EF494A">
              <w:rPr>
                <w:rFonts w:ascii="Franklin Gothic Book" w:hAnsi="Franklin Gothic Book"/>
                <w:iCs/>
                <w:sz w:val="17"/>
                <w:szCs w:val="17"/>
              </w:rPr>
              <w:t>2,343 teachers (1934 in-service, 104 primary upgrading, 305 pre-primary pre-service) trained (71% of target).</w:t>
            </w:r>
          </w:p>
          <w:p w:rsidR="00372213" w:rsidRPr="00EF494A" w:rsidRDefault="00372213" w:rsidP="00FD5FA5">
            <w:pPr>
              <w:tabs>
                <w:tab w:val="num" w:pos="2052"/>
              </w:tabs>
              <w:rPr>
                <w:rFonts w:ascii="Franklin Gothic Book" w:hAnsi="Franklin Gothic Book"/>
                <w:iCs/>
                <w:sz w:val="17"/>
                <w:szCs w:val="17"/>
              </w:rPr>
            </w:pPr>
          </w:p>
          <w:p w:rsidR="00372213" w:rsidRPr="00EF494A" w:rsidRDefault="00372213" w:rsidP="00FD5FA5">
            <w:pPr>
              <w:tabs>
                <w:tab w:val="num" w:pos="2052"/>
              </w:tabs>
              <w:ind w:left="754" w:hanging="394"/>
              <w:rPr>
                <w:rFonts w:ascii="Franklin Gothic Book" w:hAnsi="Franklin Gothic Book"/>
                <w:iCs/>
                <w:sz w:val="17"/>
                <w:szCs w:val="17"/>
              </w:rPr>
            </w:pPr>
          </w:p>
          <w:p w:rsidR="00372213" w:rsidRPr="00EF494A" w:rsidRDefault="00372213" w:rsidP="00FD5FA5">
            <w:pPr>
              <w:tabs>
                <w:tab w:val="num" w:pos="2052"/>
              </w:tabs>
              <w:rPr>
                <w:rFonts w:ascii="Franklin Gothic Book" w:hAnsi="Franklin Gothic Book"/>
                <w:iCs/>
                <w:sz w:val="17"/>
                <w:szCs w:val="17"/>
              </w:rPr>
            </w:pPr>
            <w:r w:rsidRPr="00EF494A">
              <w:rPr>
                <w:rFonts w:ascii="Franklin Gothic Book" w:hAnsi="Franklin Gothic Book"/>
                <w:iCs/>
                <w:sz w:val="17"/>
                <w:szCs w:val="17"/>
              </w:rPr>
              <w:t>Village Education Development Committee training took place in 149 villages with 1,043 Committee members (222 female)</w:t>
            </w:r>
          </w:p>
          <w:p w:rsidR="00372213" w:rsidRPr="00EF494A" w:rsidRDefault="00372213" w:rsidP="00FD5FA5">
            <w:pPr>
              <w:tabs>
                <w:tab w:val="num" w:pos="2052"/>
              </w:tabs>
              <w:ind w:left="754" w:hanging="394"/>
              <w:rPr>
                <w:rFonts w:ascii="Franklin Gothic Book" w:hAnsi="Franklin Gothic Book"/>
                <w:iCs/>
                <w:sz w:val="17"/>
                <w:szCs w:val="17"/>
              </w:rPr>
            </w:pPr>
          </w:p>
          <w:p w:rsidR="00372213" w:rsidRPr="00EF494A" w:rsidRDefault="00372213" w:rsidP="00FD5FA5">
            <w:pPr>
              <w:tabs>
                <w:tab w:val="num" w:pos="2052"/>
              </w:tabs>
              <w:rPr>
                <w:rFonts w:ascii="Franklin Gothic Book" w:hAnsi="Franklin Gothic Book"/>
                <w:iCs/>
                <w:sz w:val="17"/>
                <w:szCs w:val="17"/>
              </w:rPr>
            </w:pPr>
            <w:r w:rsidRPr="00EF494A">
              <w:rPr>
                <w:rFonts w:ascii="Franklin Gothic Book" w:hAnsi="Franklin Gothic Book"/>
                <w:iCs/>
                <w:sz w:val="17"/>
                <w:szCs w:val="17"/>
              </w:rPr>
              <w:t>50,172 of  which 24,082  are girls provided with nutritional support</w:t>
            </w:r>
          </w:p>
          <w:p w:rsidR="00372213" w:rsidRPr="00EF494A" w:rsidRDefault="00372213" w:rsidP="00FD5FA5">
            <w:pPr>
              <w:tabs>
                <w:tab w:val="num" w:pos="2052"/>
              </w:tabs>
              <w:ind w:left="754" w:hanging="394"/>
              <w:rPr>
                <w:rFonts w:ascii="Franklin Gothic Book" w:hAnsi="Franklin Gothic Book"/>
                <w:iCs/>
                <w:sz w:val="17"/>
                <w:szCs w:val="17"/>
              </w:rPr>
            </w:pPr>
          </w:p>
          <w:p w:rsidR="00372213" w:rsidRPr="00EF494A" w:rsidRDefault="00372213" w:rsidP="00FD5FA5">
            <w:pPr>
              <w:tabs>
                <w:tab w:val="num" w:pos="2052"/>
              </w:tabs>
              <w:rPr>
                <w:rFonts w:ascii="Franklin Gothic Book" w:hAnsi="Franklin Gothic Book"/>
                <w:iCs/>
                <w:sz w:val="17"/>
                <w:szCs w:val="17"/>
              </w:rPr>
            </w:pPr>
            <w:r w:rsidRPr="00EF494A">
              <w:rPr>
                <w:rFonts w:ascii="Franklin Gothic Book" w:hAnsi="Franklin Gothic Book"/>
                <w:iCs/>
                <w:sz w:val="17"/>
                <w:szCs w:val="17"/>
              </w:rPr>
              <w:t>2,500 children are able to access schools that have been made more accessible to children with disabilities</w:t>
            </w:r>
          </w:p>
          <w:p w:rsidR="00372213" w:rsidRPr="00EF494A" w:rsidRDefault="00372213" w:rsidP="00FD5FA5">
            <w:pPr>
              <w:tabs>
                <w:tab w:val="num" w:pos="2052"/>
              </w:tabs>
              <w:ind w:left="754" w:hanging="394"/>
              <w:rPr>
                <w:rFonts w:ascii="Franklin Gothic Book" w:hAnsi="Franklin Gothic Book"/>
                <w:iCs/>
                <w:sz w:val="17"/>
                <w:szCs w:val="17"/>
              </w:rPr>
            </w:pPr>
          </w:p>
          <w:p w:rsidR="00372213" w:rsidRPr="00EF494A" w:rsidRDefault="00372213" w:rsidP="00FD5FA5">
            <w:pPr>
              <w:tabs>
                <w:tab w:val="num" w:pos="2052"/>
              </w:tabs>
              <w:rPr>
                <w:rFonts w:ascii="Franklin Gothic Book" w:hAnsi="Franklin Gothic Book"/>
                <w:b/>
                <w:iCs/>
                <w:sz w:val="17"/>
                <w:szCs w:val="17"/>
              </w:rPr>
            </w:pPr>
            <w:r w:rsidRPr="00EF494A">
              <w:rPr>
                <w:rFonts w:ascii="Franklin Gothic Book" w:hAnsi="Franklin Gothic Book"/>
                <w:b/>
                <w:iCs/>
                <w:sz w:val="17"/>
                <w:szCs w:val="17"/>
              </w:rPr>
              <w:t xml:space="preserve">1.3 Milestone partially met </w:t>
            </w:r>
          </w:p>
          <w:p w:rsidR="00372213" w:rsidRPr="00EF494A" w:rsidRDefault="00372213" w:rsidP="00FD5FA5">
            <w:pPr>
              <w:tabs>
                <w:tab w:val="num" w:pos="2052"/>
              </w:tabs>
              <w:rPr>
                <w:rFonts w:ascii="Franklin Gothic Book" w:hAnsi="Franklin Gothic Book"/>
                <w:iCs/>
                <w:sz w:val="17"/>
                <w:szCs w:val="17"/>
              </w:rPr>
            </w:pPr>
            <w:r w:rsidRPr="00EF494A">
              <w:rPr>
                <w:rFonts w:ascii="Franklin Gothic Book" w:hAnsi="Franklin Gothic Book"/>
                <w:iCs/>
                <w:sz w:val="17"/>
                <w:szCs w:val="17"/>
              </w:rPr>
              <w:t>Non-formal primary equivalency is functioning in 168 villages</w:t>
            </w:r>
          </w:p>
          <w:p w:rsidR="00372213" w:rsidRPr="00EF494A" w:rsidRDefault="00372213" w:rsidP="00FD5FA5">
            <w:pPr>
              <w:rPr>
                <w:rFonts w:ascii="Franklin Gothic Book" w:hAnsi="Franklin Gothic Book"/>
                <w:iCs/>
                <w:sz w:val="17"/>
                <w:szCs w:val="17"/>
              </w:rPr>
            </w:pPr>
          </w:p>
          <w:p w:rsidR="00372213" w:rsidRPr="00EF494A" w:rsidRDefault="00372213" w:rsidP="00FD5FA5">
            <w:pPr>
              <w:rPr>
                <w:rFonts w:ascii="Franklin Gothic Book" w:hAnsi="Franklin Gothic Book"/>
                <w:b/>
                <w:iCs/>
                <w:sz w:val="17"/>
                <w:szCs w:val="17"/>
              </w:rPr>
            </w:pPr>
            <w:r w:rsidRPr="00EF494A">
              <w:rPr>
                <w:rFonts w:ascii="Franklin Gothic Book" w:hAnsi="Franklin Gothic Book"/>
                <w:b/>
                <w:iCs/>
                <w:sz w:val="17"/>
                <w:szCs w:val="17"/>
              </w:rPr>
              <w:t xml:space="preserve">2.1 Milestone partially met </w:t>
            </w:r>
          </w:p>
          <w:p w:rsidR="00372213" w:rsidRPr="00EF494A" w:rsidRDefault="00372213" w:rsidP="00FD5FA5">
            <w:pPr>
              <w:rPr>
                <w:rFonts w:ascii="Franklin Gothic Book" w:hAnsi="Franklin Gothic Book"/>
                <w:iCs/>
                <w:sz w:val="17"/>
                <w:szCs w:val="17"/>
              </w:rPr>
            </w:pPr>
            <w:r w:rsidRPr="00EF494A">
              <w:rPr>
                <w:rFonts w:ascii="Franklin Gothic Book" w:hAnsi="Franklin Gothic Book"/>
                <w:iCs/>
                <w:sz w:val="17"/>
                <w:szCs w:val="17"/>
              </w:rPr>
              <w:t>Information in investment database at subnational level has been verified. Australia has contributed to the monitoring of EFA-FTI program and GPE II to ensure alignment with the ESDP objectives.</w:t>
            </w:r>
          </w:p>
          <w:p w:rsidR="00372213" w:rsidRPr="00EF494A" w:rsidRDefault="00372213" w:rsidP="00FD5FA5">
            <w:pPr>
              <w:rPr>
                <w:rFonts w:ascii="Franklin Gothic Book" w:hAnsi="Franklin Gothic Book"/>
                <w:iCs/>
                <w:sz w:val="17"/>
                <w:szCs w:val="17"/>
              </w:rPr>
            </w:pPr>
          </w:p>
          <w:p w:rsidR="00372213" w:rsidRPr="00EF494A" w:rsidRDefault="00372213" w:rsidP="00FD5FA5">
            <w:pPr>
              <w:rPr>
                <w:rFonts w:ascii="Franklin Gothic Book" w:hAnsi="Franklin Gothic Book"/>
                <w:iCs/>
                <w:sz w:val="17"/>
                <w:szCs w:val="17"/>
              </w:rPr>
            </w:pPr>
            <w:r w:rsidRPr="00EF494A">
              <w:rPr>
                <w:rFonts w:ascii="Franklin Gothic Book" w:hAnsi="Franklin Gothic Book"/>
                <w:iCs/>
                <w:sz w:val="17"/>
                <w:szCs w:val="17"/>
              </w:rPr>
              <w:t>The mid-term review of ESDP was undertaken. However, recommendations have yet to be implemented.</w:t>
            </w:r>
          </w:p>
          <w:p w:rsidR="00372213" w:rsidRPr="00EF494A" w:rsidRDefault="00372213" w:rsidP="00FD5FA5">
            <w:pPr>
              <w:rPr>
                <w:rFonts w:ascii="Franklin Gothic Book" w:hAnsi="Franklin Gothic Book"/>
                <w:iCs/>
                <w:sz w:val="17"/>
                <w:szCs w:val="17"/>
              </w:rPr>
            </w:pPr>
          </w:p>
          <w:p w:rsidR="00372213" w:rsidRPr="00EF494A" w:rsidRDefault="00372213" w:rsidP="00FD5FA5">
            <w:pPr>
              <w:rPr>
                <w:rFonts w:ascii="Franklin Gothic Book" w:hAnsi="Franklin Gothic Book"/>
                <w:iCs/>
                <w:sz w:val="17"/>
                <w:szCs w:val="17"/>
              </w:rPr>
            </w:pPr>
            <w:r w:rsidRPr="00EF494A">
              <w:rPr>
                <w:rFonts w:ascii="Franklin Gothic Book" w:hAnsi="Franklin Gothic Book"/>
                <w:iCs/>
                <w:sz w:val="17"/>
                <w:szCs w:val="17"/>
              </w:rPr>
              <w:t xml:space="preserve">The revision process of the Annual Costed Sector Plan </w:t>
            </w:r>
            <w:r w:rsidR="00C33E8D" w:rsidRPr="00EF494A">
              <w:rPr>
                <w:rFonts w:ascii="Franklin Gothic Book" w:hAnsi="Franklin Gothic Book"/>
                <w:iCs/>
                <w:sz w:val="17"/>
                <w:szCs w:val="17"/>
              </w:rPr>
              <w:t>was</w:t>
            </w:r>
            <w:r w:rsidRPr="00EF494A">
              <w:rPr>
                <w:rFonts w:ascii="Franklin Gothic Book" w:hAnsi="Franklin Gothic Book"/>
                <w:iCs/>
                <w:sz w:val="17"/>
                <w:szCs w:val="17"/>
              </w:rPr>
              <w:t xml:space="preserve"> stalled</w:t>
            </w:r>
            <w:r w:rsidR="00C33E8D" w:rsidRPr="00EF494A">
              <w:rPr>
                <w:rFonts w:ascii="Franklin Gothic Book" w:hAnsi="Franklin Gothic Book"/>
                <w:iCs/>
                <w:sz w:val="17"/>
                <w:szCs w:val="17"/>
              </w:rPr>
              <w:t>,</w:t>
            </w:r>
            <w:r w:rsidRPr="00EF494A">
              <w:rPr>
                <w:rFonts w:ascii="Franklin Gothic Book" w:hAnsi="Franklin Gothic Book"/>
                <w:iCs/>
                <w:sz w:val="17"/>
                <w:szCs w:val="17"/>
              </w:rPr>
              <w:t xml:space="preserve"> as the budget information for 2013-14 </w:t>
            </w:r>
            <w:r w:rsidR="00C33E8D" w:rsidRPr="00EF494A">
              <w:rPr>
                <w:rFonts w:ascii="Franklin Gothic Book" w:hAnsi="Franklin Gothic Book"/>
                <w:iCs/>
                <w:sz w:val="17"/>
                <w:szCs w:val="17"/>
              </w:rPr>
              <w:t>was</w:t>
            </w:r>
            <w:r w:rsidRPr="00EF494A">
              <w:rPr>
                <w:rFonts w:ascii="Franklin Gothic Book" w:hAnsi="Franklin Gothic Book"/>
                <w:iCs/>
                <w:sz w:val="17"/>
                <w:szCs w:val="17"/>
              </w:rPr>
              <w:t xml:space="preserve"> available.</w:t>
            </w:r>
          </w:p>
          <w:p w:rsidR="00372213" w:rsidRPr="00EF494A" w:rsidRDefault="00372213" w:rsidP="00FD5FA5">
            <w:pPr>
              <w:ind w:left="249"/>
              <w:rPr>
                <w:rFonts w:ascii="Franklin Gothic Book" w:hAnsi="Franklin Gothic Book"/>
                <w:iCs/>
                <w:sz w:val="17"/>
                <w:szCs w:val="17"/>
              </w:rPr>
            </w:pPr>
          </w:p>
          <w:p w:rsidR="00372213" w:rsidRPr="00EF494A" w:rsidRDefault="00372213" w:rsidP="00FD5FA5">
            <w:pPr>
              <w:rPr>
                <w:rFonts w:ascii="Franklin Gothic Book" w:hAnsi="Franklin Gothic Book"/>
                <w:iCs/>
                <w:sz w:val="17"/>
                <w:szCs w:val="17"/>
              </w:rPr>
            </w:pPr>
            <w:r w:rsidRPr="00EF494A">
              <w:rPr>
                <w:rFonts w:ascii="Franklin Gothic Book" w:hAnsi="Franklin Gothic Book"/>
                <w:iCs/>
                <w:sz w:val="17"/>
                <w:szCs w:val="17"/>
              </w:rPr>
              <w:t xml:space="preserve">Focal Groups TORs </w:t>
            </w:r>
            <w:r w:rsidR="00C33E8D" w:rsidRPr="00EF494A">
              <w:rPr>
                <w:rFonts w:ascii="Franklin Gothic Book" w:hAnsi="Franklin Gothic Book"/>
                <w:iCs/>
                <w:sz w:val="17"/>
                <w:szCs w:val="17"/>
              </w:rPr>
              <w:t xml:space="preserve">were </w:t>
            </w:r>
            <w:r w:rsidRPr="00EF494A">
              <w:rPr>
                <w:rFonts w:ascii="Franklin Gothic Book" w:hAnsi="Franklin Gothic Book"/>
                <w:iCs/>
                <w:sz w:val="17"/>
                <w:szCs w:val="17"/>
              </w:rPr>
              <w:t>endorsed</w:t>
            </w:r>
            <w:r w:rsidR="00C33E8D" w:rsidRPr="00EF494A">
              <w:rPr>
                <w:rFonts w:ascii="Franklin Gothic Book" w:hAnsi="Franklin Gothic Book"/>
                <w:iCs/>
                <w:sz w:val="17"/>
                <w:szCs w:val="17"/>
              </w:rPr>
              <w:t xml:space="preserve"> and </w:t>
            </w:r>
            <w:r w:rsidRPr="00EF494A">
              <w:rPr>
                <w:rFonts w:ascii="Franklin Gothic Book" w:hAnsi="Franklin Gothic Book"/>
                <w:iCs/>
                <w:sz w:val="17"/>
                <w:szCs w:val="17"/>
              </w:rPr>
              <w:t>annual work plan</w:t>
            </w:r>
            <w:r w:rsidR="00C33E8D" w:rsidRPr="00EF494A">
              <w:rPr>
                <w:rFonts w:ascii="Franklin Gothic Book" w:hAnsi="Franklin Gothic Book"/>
                <w:iCs/>
                <w:sz w:val="17"/>
                <w:szCs w:val="17"/>
              </w:rPr>
              <w:t>s</w:t>
            </w:r>
            <w:r w:rsidRPr="00EF494A">
              <w:rPr>
                <w:rFonts w:ascii="Franklin Gothic Book" w:hAnsi="Franklin Gothic Book"/>
                <w:iCs/>
                <w:sz w:val="17"/>
                <w:szCs w:val="17"/>
              </w:rPr>
              <w:t xml:space="preserve"> finalised</w:t>
            </w:r>
            <w:r w:rsidR="00C33E8D" w:rsidRPr="00EF494A">
              <w:rPr>
                <w:rFonts w:ascii="Franklin Gothic Book" w:hAnsi="Franklin Gothic Book"/>
                <w:iCs/>
                <w:sz w:val="17"/>
                <w:szCs w:val="17"/>
              </w:rPr>
              <w:t>.</w:t>
            </w:r>
          </w:p>
          <w:p w:rsidR="00372213" w:rsidRPr="00EF494A" w:rsidRDefault="00372213" w:rsidP="00FD5FA5">
            <w:pPr>
              <w:ind w:left="249"/>
              <w:rPr>
                <w:rFonts w:ascii="Franklin Gothic Book" w:hAnsi="Franklin Gothic Book"/>
                <w:iCs/>
                <w:sz w:val="17"/>
                <w:szCs w:val="17"/>
              </w:rPr>
            </w:pPr>
          </w:p>
          <w:p w:rsidR="00372213" w:rsidRPr="00EF494A" w:rsidRDefault="00372213" w:rsidP="00FD5FA5">
            <w:pPr>
              <w:rPr>
                <w:rFonts w:ascii="Franklin Gothic Book" w:hAnsi="Franklin Gothic Book"/>
                <w:iCs/>
                <w:sz w:val="17"/>
                <w:szCs w:val="17"/>
              </w:rPr>
            </w:pPr>
            <w:r w:rsidRPr="00EF494A">
              <w:rPr>
                <w:rFonts w:ascii="Franklin Gothic Book" w:hAnsi="Franklin Gothic Book"/>
                <w:iCs/>
                <w:sz w:val="17"/>
                <w:szCs w:val="17"/>
              </w:rPr>
              <w:t>To date the provincial coordination meetings have yet to happen. BEQUAL could enable this to happen.</w:t>
            </w:r>
          </w:p>
          <w:p w:rsidR="00372213" w:rsidRPr="00EF494A" w:rsidRDefault="00372213" w:rsidP="00FD5FA5">
            <w:pPr>
              <w:ind w:left="249"/>
              <w:rPr>
                <w:rFonts w:ascii="Franklin Gothic Book" w:hAnsi="Franklin Gothic Book"/>
                <w:iCs/>
                <w:sz w:val="17"/>
                <w:szCs w:val="17"/>
              </w:rPr>
            </w:pPr>
          </w:p>
          <w:p w:rsidR="00372213" w:rsidRPr="00EF494A" w:rsidRDefault="00372213" w:rsidP="00FD5FA5">
            <w:pPr>
              <w:rPr>
                <w:rFonts w:ascii="Franklin Gothic Book" w:hAnsi="Franklin Gothic Book"/>
                <w:iCs/>
                <w:sz w:val="17"/>
                <w:szCs w:val="17"/>
              </w:rPr>
            </w:pPr>
            <w:r w:rsidRPr="00EF494A">
              <w:rPr>
                <w:rFonts w:ascii="Franklin Gothic Book" w:hAnsi="Franklin Gothic Book"/>
                <w:iCs/>
                <w:sz w:val="17"/>
                <w:szCs w:val="17"/>
              </w:rPr>
              <w:t>The Third Joint Sector Review Mission took place but was poorly coordinated</w:t>
            </w:r>
            <w:r w:rsidR="00C33E8D" w:rsidRPr="00EF494A">
              <w:rPr>
                <w:rFonts w:ascii="Franklin Gothic Book" w:hAnsi="Franklin Gothic Book"/>
                <w:iCs/>
                <w:sz w:val="17"/>
                <w:szCs w:val="17"/>
              </w:rPr>
              <w:t xml:space="preserve">.  </w:t>
            </w:r>
            <w:r w:rsidRPr="00EF494A">
              <w:rPr>
                <w:rFonts w:ascii="Franklin Gothic Book" w:hAnsi="Franklin Gothic Book"/>
                <w:iCs/>
                <w:sz w:val="17"/>
                <w:szCs w:val="17"/>
              </w:rPr>
              <w:t>This raises the need to review the process and the objectives of the JSRM.</w:t>
            </w:r>
          </w:p>
          <w:p w:rsidR="00372213" w:rsidRPr="00EF494A" w:rsidRDefault="00372213" w:rsidP="00FD5FA5">
            <w:pPr>
              <w:rPr>
                <w:rFonts w:ascii="Franklin Gothic Book" w:hAnsi="Franklin Gothic Book"/>
                <w:iCs/>
                <w:sz w:val="17"/>
                <w:szCs w:val="17"/>
              </w:rPr>
            </w:pPr>
          </w:p>
          <w:p w:rsidR="00372213" w:rsidRPr="00EF494A" w:rsidRDefault="00372213" w:rsidP="00FD5FA5">
            <w:pPr>
              <w:rPr>
                <w:rFonts w:ascii="Franklin Gothic Book" w:hAnsi="Franklin Gothic Book"/>
                <w:iCs/>
                <w:sz w:val="17"/>
                <w:szCs w:val="17"/>
              </w:rPr>
            </w:pPr>
            <w:r w:rsidRPr="00EF494A">
              <w:rPr>
                <w:rFonts w:ascii="Franklin Gothic Book" w:hAnsi="Franklin Gothic Book"/>
                <w:iCs/>
                <w:sz w:val="17"/>
                <w:szCs w:val="17"/>
              </w:rPr>
              <w:t xml:space="preserve">As per recommendations from the ESDP mid-term review, a Theory of Change Workshop took place in April 2014 and the </w:t>
            </w:r>
            <w:r w:rsidR="00C33E8D" w:rsidRPr="00EF494A">
              <w:rPr>
                <w:rFonts w:ascii="Franklin Gothic Book" w:hAnsi="Franklin Gothic Book"/>
                <w:iCs/>
                <w:sz w:val="17"/>
                <w:szCs w:val="17"/>
              </w:rPr>
              <w:t xml:space="preserve">preparation of methodology for the </w:t>
            </w:r>
            <w:r w:rsidRPr="00EF494A">
              <w:rPr>
                <w:rFonts w:ascii="Franklin Gothic Book" w:hAnsi="Franklin Gothic Book"/>
                <w:iCs/>
                <w:sz w:val="17"/>
                <w:szCs w:val="17"/>
              </w:rPr>
              <w:t xml:space="preserve">review of the education law </w:t>
            </w:r>
            <w:r w:rsidR="00C33E8D" w:rsidRPr="00EF494A">
              <w:rPr>
                <w:rFonts w:ascii="Franklin Gothic Book" w:hAnsi="Franklin Gothic Book"/>
                <w:iCs/>
                <w:sz w:val="17"/>
                <w:szCs w:val="17"/>
              </w:rPr>
              <w:t xml:space="preserve">was </w:t>
            </w:r>
            <w:r w:rsidRPr="00EF494A">
              <w:rPr>
                <w:rFonts w:ascii="Franklin Gothic Book" w:hAnsi="Franklin Gothic Book"/>
                <w:iCs/>
                <w:sz w:val="17"/>
                <w:szCs w:val="17"/>
              </w:rPr>
              <w:t>undertaken.</w:t>
            </w:r>
          </w:p>
          <w:p w:rsidR="00372213" w:rsidRPr="00EF494A" w:rsidRDefault="00372213" w:rsidP="00FD5FA5">
            <w:pPr>
              <w:ind w:left="249"/>
              <w:rPr>
                <w:rFonts w:ascii="Franklin Gothic Book" w:hAnsi="Franklin Gothic Book"/>
                <w:iCs/>
                <w:sz w:val="17"/>
                <w:szCs w:val="17"/>
              </w:rPr>
            </w:pPr>
          </w:p>
          <w:p w:rsidR="00372213" w:rsidRPr="00EF494A" w:rsidRDefault="00C33E8D" w:rsidP="009F5DDA">
            <w:pPr>
              <w:rPr>
                <w:rFonts w:ascii="Franklin Gothic Book" w:hAnsi="Franklin Gothic Book"/>
                <w:iCs/>
                <w:sz w:val="17"/>
                <w:szCs w:val="17"/>
              </w:rPr>
            </w:pPr>
            <w:r w:rsidRPr="00EF494A">
              <w:rPr>
                <w:rFonts w:ascii="Franklin Gothic Book" w:hAnsi="Franklin Gothic Book"/>
                <w:iCs/>
                <w:sz w:val="17"/>
                <w:szCs w:val="17"/>
              </w:rPr>
              <w:t xml:space="preserve">The planned </w:t>
            </w:r>
            <w:r w:rsidR="00372213" w:rsidRPr="00EF494A">
              <w:rPr>
                <w:rFonts w:ascii="Franklin Gothic Book" w:hAnsi="Franklin Gothic Book"/>
                <w:iCs/>
                <w:sz w:val="17"/>
                <w:szCs w:val="17"/>
              </w:rPr>
              <w:t xml:space="preserve">education budget allocation </w:t>
            </w:r>
            <w:r w:rsidRPr="00EF494A">
              <w:rPr>
                <w:rFonts w:ascii="Franklin Gothic Book" w:hAnsi="Franklin Gothic Book"/>
                <w:iCs/>
                <w:sz w:val="17"/>
                <w:szCs w:val="17"/>
              </w:rPr>
              <w:t xml:space="preserve">for the education sector </w:t>
            </w:r>
            <w:r w:rsidR="00372213" w:rsidRPr="00EF494A">
              <w:rPr>
                <w:rFonts w:ascii="Franklin Gothic Book" w:hAnsi="Franklin Gothic Book"/>
                <w:iCs/>
                <w:sz w:val="17"/>
                <w:szCs w:val="17"/>
              </w:rPr>
              <w:t xml:space="preserve">is </w:t>
            </w:r>
            <w:r w:rsidRPr="00EF494A">
              <w:rPr>
                <w:rFonts w:ascii="Franklin Gothic Book" w:hAnsi="Franklin Gothic Book"/>
                <w:iCs/>
                <w:sz w:val="17"/>
                <w:szCs w:val="17"/>
              </w:rPr>
              <w:t>17 per cent by 2015.  However the realised share in 2013-14 was 15.5 per cent, up from 14.5 per cent</w:t>
            </w:r>
            <w:r w:rsidRPr="00EF494A" w:rsidDel="00C33E8D">
              <w:rPr>
                <w:rFonts w:ascii="Franklin Gothic Book" w:hAnsi="Franklin Gothic Book"/>
                <w:iCs/>
                <w:sz w:val="17"/>
                <w:szCs w:val="17"/>
              </w:rPr>
              <w:t xml:space="preserve"> </w:t>
            </w:r>
            <w:r w:rsidRPr="00EF494A">
              <w:rPr>
                <w:rFonts w:ascii="Franklin Gothic Book" w:hAnsi="Franklin Gothic Book"/>
                <w:iCs/>
                <w:sz w:val="17"/>
                <w:szCs w:val="17"/>
              </w:rPr>
              <w:t>in 2012-13.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72213" w:rsidRPr="00EF494A" w:rsidRDefault="00372213" w:rsidP="00FD5FA5">
            <w:pPr>
              <w:spacing w:before="60" w:after="60"/>
              <w:ind w:left="108"/>
              <w:rPr>
                <w:rFonts w:ascii="Franklin Gothic Book" w:hAnsi="Franklin Gothic Book"/>
                <w:iCs/>
                <w:sz w:val="17"/>
                <w:szCs w:val="17"/>
              </w:rPr>
            </w:pPr>
          </w:p>
          <w:p w:rsidR="00372213" w:rsidRPr="00EF494A" w:rsidRDefault="00372213" w:rsidP="00FD5FA5">
            <w:pPr>
              <w:spacing w:before="60" w:after="60"/>
              <w:rPr>
                <w:rFonts w:ascii="Franklin Gothic Book" w:hAnsi="Franklin Gothic Book"/>
                <w:b/>
                <w:iCs/>
                <w:sz w:val="17"/>
                <w:szCs w:val="17"/>
              </w:rPr>
            </w:pPr>
            <w:r w:rsidRPr="00EF494A">
              <w:rPr>
                <w:rFonts w:ascii="Franklin Gothic Book" w:hAnsi="Franklin Gothic Book"/>
                <w:b/>
                <w:iCs/>
                <w:sz w:val="17"/>
                <w:szCs w:val="17"/>
              </w:rPr>
              <w:t xml:space="preserve">3.1 Milestone met </w:t>
            </w:r>
          </w:p>
          <w:p w:rsidR="00372213" w:rsidRPr="00EF494A" w:rsidRDefault="00372213" w:rsidP="00FD5FA5">
            <w:pPr>
              <w:spacing w:before="60" w:after="60"/>
              <w:rPr>
                <w:rFonts w:ascii="Franklin Gothic Book" w:hAnsi="Franklin Gothic Book"/>
                <w:iCs/>
                <w:sz w:val="17"/>
                <w:szCs w:val="17"/>
              </w:rPr>
            </w:pPr>
            <w:r w:rsidRPr="00EF494A">
              <w:rPr>
                <w:rFonts w:ascii="Franklin Gothic Book" w:hAnsi="Franklin Gothic Book"/>
                <w:iCs/>
                <w:sz w:val="17"/>
                <w:szCs w:val="17"/>
              </w:rPr>
              <w:t xml:space="preserve">Trade Facilitation Secretariat met in February 2014 to discuss progress. Meeting decided to undertake a survey with firms to identify issues/challenges. </w:t>
            </w:r>
          </w:p>
          <w:p w:rsidR="00372213" w:rsidRPr="00EF494A" w:rsidRDefault="00372213" w:rsidP="00FD5FA5">
            <w:pPr>
              <w:spacing w:before="60" w:after="60"/>
              <w:ind w:left="108"/>
              <w:rPr>
                <w:rFonts w:ascii="Franklin Gothic Book" w:hAnsi="Franklin Gothic Book"/>
                <w:iCs/>
                <w:sz w:val="17"/>
                <w:szCs w:val="17"/>
              </w:rPr>
            </w:pPr>
          </w:p>
          <w:p w:rsidR="00372213" w:rsidRPr="00EF494A" w:rsidRDefault="00372213" w:rsidP="00FD5FA5">
            <w:pPr>
              <w:pStyle w:val="ListParagraph"/>
              <w:numPr>
                <w:ilvl w:val="1"/>
                <w:numId w:val="44"/>
              </w:numPr>
              <w:spacing w:before="60" w:after="60"/>
              <w:rPr>
                <w:rFonts w:ascii="Franklin Gothic Book" w:hAnsi="Franklin Gothic Book"/>
                <w:b/>
                <w:iCs/>
                <w:sz w:val="17"/>
                <w:szCs w:val="17"/>
              </w:rPr>
            </w:pPr>
            <w:r w:rsidRPr="00EF494A">
              <w:rPr>
                <w:rFonts w:ascii="Franklin Gothic Book" w:hAnsi="Franklin Gothic Book"/>
                <w:b/>
                <w:iCs/>
                <w:sz w:val="17"/>
                <w:szCs w:val="17"/>
              </w:rPr>
              <w:t xml:space="preserve">Milestone met  </w:t>
            </w:r>
          </w:p>
          <w:p w:rsidR="00372213" w:rsidRPr="00EF494A" w:rsidRDefault="00372213" w:rsidP="00FD5FA5">
            <w:pPr>
              <w:spacing w:before="60" w:after="60"/>
              <w:rPr>
                <w:rFonts w:ascii="Franklin Gothic Book" w:hAnsi="Franklin Gothic Book"/>
                <w:iCs/>
                <w:sz w:val="17"/>
                <w:szCs w:val="17"/>
              </w:rPr>
            </w:pPr>
            <w:r w:rsidRPr="00EF494A">
              <w:rPr>
                <w:rFonts w:ascii="Franklin Gothic Book" w:hAnsi="Franklin Gothic Book"/>
                <w:iCs/>
                <w:sz w:val="17"/>
                <w:szCs w:val="17"/>
              </w:rPr>
              <w:t>Services trade regulatory assessment commenced in January 2014.</w:t>
            </w:r>
          </w:p>
          <w:p w:rsidR="00372213" w:rsidRPr="00EF494A" w:rsidRDefault="00372213" w:rsidP="00FD5FA5">
            <w:pPr>
              <w:spacing w:before="60" w:after="60"/>
              <w:ind w:left="108"/>
              <w:rPr>
                <w:rFonts w:ascii="Franklin Gothic Book" w:hAnsi="Franklin Gothic Book"/>
                <w:iCs/>
                <w:sz w:val="17"/>
                <w:szCs w:val="17"/>
              </w:rPr>
            </w:pPr>
          </w:p>
          <w:p w:rsidR="00372213" w:rsidRPr="00EF494A" w:rsidRDefault="00372213" w:rsidP="00FD5FA5">
            <w:pPr>
              <w:pStyle w:val="ListParagraph"/>
              <w:numPr>
                <w:ilvl w:val="1"/>
                <w:numId w:val="44"/>
              </w:numPr>
              <w:spacing w:before="60" w:after="60"/>
              <w:rPr>
                <w:rFonts w:ascii="Franklin Gothic Book" w:hAnsi="Franklin Gothic Book"/>
                <w:b/>
                <w:iCs/>
                <w:sz w:val="17"/>
                <w:szCs w:val="17"/>
              </w:rPr>
            </w:pPr>
            <w:r w:rsidRPr="00EF494A">
              <w:rPr>
                <w:rFonts w:ascii="Franklin Gothic Book" w:hAnsi="Franklin Gothic Book"/>
                <w:b/>
                <w:iCs/>
                <w:sz w:val="17"/>
                <w:szCs w:val="17"/>
              </w:rPr>
              <w:t xml:space="preserve">Milestone met </w:t>
            </w:r>
          </w:p>
          <w:p w:rsidR="00372213" w:rsidRPr="00EF494A" w:rsidRDefault="00372213" w:rsidP="00FD5FA5">
            <w:pPr>
              <w:spacing w:before="60" w:after="60"/>
              <w:rPr>
                <w:rFonts w:ascii="Franklin Gothic Book" w:hAnsi="Franklin Gothic Book"/>
                <w:iCs/>
                <w:sz w:val="17"/>
                <w:szCs w:val="17"/>
              </w:rPr>
            </w:pPr>
            <w:r w:rsidRPr="00EF494A">
              <w:rPr>
                <w:rFonts w:ascii="Franklin Gothic Book" w:hAnsi="Franklin Gothic Book"/>
                <w:iCs/>
                <w:sz w:val="17"/>
                <w:szCs w:val="17"/>
              </w:rPr>
              <w:t xml:space="preserve">Business Assistance Facility launched on 17 December 2013  </w:t>
            </w:r>
          </w:p>
          <w:p w:rsidR="00372213" w:rsidRPr="00EF494A" w:rsidRDefault="00372213" w:rsidP="00FD5FA5">
            <w:pPr>
              <w:spacing w:before="60" w:after="60"/>
              <w:ind w:left="468"/>
              <w:rPr>
                <w:rFonts w:ascii="Franklin Gothic Book" w:hAnsi="Franklin Gothic Book"/>
                <w:iCs/>
                <w:sz w:val="17"/>
                <w:szCs w:val="17"/>
              </w:rPr>
            </w:pPr>
          </w:p>
          <w:p w:rsidR="00372213" w:rsidRPr="00EF494A" w:rsidRDefault="00372213" w:rsidP="00FD5FA5">
            <w:pPr>
              <w:numPr>
                <w:ilvl w:val="1"/>
                <w:numId w:val="44"/>
              </w:numPr>
              <w:spacing w:before="60" w:after="60"/>
              <w:rPr>
                <w:rFonts w:ascii="Franklin Gothic Book" w:hAnsi="Franklin Gothic Book"/>
                <w:b/>
                <w:iCs/>
                <w:sz w:val="17"/>
                <w:szCs w:val="17"/>
              </w:rPr>
            </w:pPr>
            <w:r w:rsidRPr="00EF494A">
              <w:rPr>
                <w:rFonts w:ascii="Franklin Gothic Book" w:hAnsi="Franklin Gothic Book"/>
                <w:b/>
                <w:iCs/>
                <w:sz w:val="17"/>
                <w:szCs w:val="17"/>
              </w:rPr>
              <w:t xml:space="preserve">Milestone not met </w:t>
            </w:r>
          </w:p>
          <w:p w:rsidR="00372213" w:rsidRPr="00EF494A" w:rsidRDefault="00372213" w:rsidP="00FD5FA5">
            <w:pPr>
              <w:spacing w:before="60" w:after="60"/>
              <w:rPr>
                <w:rFonts w:ascii="Franklin Gothic Book" w:hAnsi="Franklin Gothic Book"/>
                <w:iCs/>
                <w:sz w:val="17"/>
                <w:szCs w:val="17"/>
              </w:rPr>
            </w:pPr>
            <w:r w:rsidRPr="00EF494A">
              <w:rPr>
                <w:rFonts w:ascii="Franklin Gothic Book" w:hAnsi="Franklin Gothic Book"/>
                <w:iCs/>
                <w:sz w:val="17"/>
                <w:szCs w:val="17"/>
              </w:rPr>
              <w:t xml:space="preserve">Delay in concluding agreement with ILO  </w:t>
            </w:r>
          </w:p>
          <w:p w:rsidR="00372213" w:rsidRDefault="00372213" w:rsidP="00FD5FA5">
            <w:pPr>
              <w:spacing w:before="60" w:after="60"/>
              <w:ind w:left="468"/>
              <w:rPr>
                <w:rFonts w:ascii="Franklin Gothic Book" w:hAnsi="Franklin Gothic Book"/>
                <w:iCs/>
                <w:sz w:val="17"/>
                <w:szCs w:val="17"/>
              </w:rPr>
            </w:pPr>
          </w:p>
          <w:p w:rsidR="007E191C" w:rsidRDefault="007E191C" w:rsidP="00FD5FA5">
            <w:pPr>
              <w:spacing w:before="60" w:after="60"/>
              <w:ind w:left="468"/>
              <w:rPr>
                <w:rFonts w:ascii="Franklin Gothic Book" w:hAnsi="Franklin Gothic Book"/>
                <w:iCs/>
                <w:sz w:val="17"/>
                <w:szCs w:val="17"/>
              </w:rPr>
            </w:pPr>
          </w:p>
          <w:p w:rsidR="007E191C" w:rsidRDefault="007E191C" w:rsidP="00FD5FA5">
            <w:pPr>
              <w:spacing w:before="60" w:after="60"/>
              <w:ind w:left="468"/>
              <w:rPr>
                <w:rFonts w:ascii="Franklin Gothic Book" w:hAnsi="Franklin Gothic Book"/>
                <w:iCs/>
                <w:sz w:val="17"/>
                <w:szCs w:val="17"/>
              </w:rPr>
            </w:pPr>
          </w:p>
          <w:p w:rsidR="007E191C" w:rsidRPr="00EF494A" w:rsidRDefault="007E191C" w:rsidP="00FD5FA5">
            <w:pPr>
              <w:spacing w:before="60" w:after="60"/>
              <w:ind w:left="468"/>
              <w:rPr>
                <w:rFonts w:ascii="Franklin Gothic Book" w:hAnsi="Franklin Gothic Book"/>
                <w:iCs/>
                <w:sz w:val="17"/>
                <w:szCs w:val="17"/>
              </w:rPr>
            </w:pPr>
          </w:p>
          <w:p w:rsidR="00372213" w:rsidRPr="00EF494A" w:rsidRDefault="00372213" w:rsidP="00FD5FA5">
            <w:pPr>
              <w:pStyle w:val="ListParagraph"/>
              <w:numPr>
                <w:ilvl w:val="1"/>
                <w:numId w:val="44"/>
              </w:numPr>
              <w:spacing w:before="60" w:after="60"/>
              <w:rPr>
                <w:rFonts w:ascii="Franklin Gothic Book" w:hAnsi="Franklin Gothic Book"/>
                <w:b/>
                <w:iCs/>
                <w:sz w:val="17"/>
                <w:szCs w:val="17"/>
              </w:rPr>
            </w:pPr>
            <w:r w:rsidRPr="00EF494A">
              <w:rPr>
                <w:rFonts w:ascii="Franklin Gothic Book" w:hAnsi="Franklin Gothic Book"/>
                <w:b/>
                <w:iCs/>
                <w:sz w:val="17"/>
                <w:szCs w:val="17"/>
              </w:rPr>
              <w:t xml:space="preserve">Milestone met </w:t>
            </w:r>
          </w:p>
          <w:p w:rsidR="00372213" w:rsidRPr="00EF494A" w:rsidRDefault="00372213" w:rsidP="00FD5FA5">
            <w:pPr>
              <w:spacing w:before="60" w:after="60"/>
              <w:rPr>
                <w:rFonts w:ascii="Franklin Gothic Book" w:hAnsi="Franklin Gothic Book"/>
                <w:iCs/>
                <w:sz w:val="17"/>
                <w:szCs w:val="17"/>
              </w:rPr>
            </w:pPr>
            <w:r w:rsidRPr="00EF494A">
              <w:rPr>
                <w:rFonts w:ascii="Franklin Gothic Book" w:hAnsi="Franklin Gothic Book"/>
                <w:iCs/>
                <w:sz w:val="17"/>
                <w:szCs w:val="17"/>
              </w:rPr>
              <w:t xml:space="preserve">The 4th meeting of the Trade and Private Sector Working Group (TPSWG) took place on October 10, 2013. The working group is in general functioning well, meeting twice per year as scheduled with quality presentations and wide representation.  </w:t>
            </w:r>
          </w:p>
          <w:p w:rsidR="00372213" w:rsidRPr="00EF494A" w:rsidRDefault="00372213" w:rsidP="00FD5FA5">
            <w:pPr>
              <w:spacing w:before="60" w:after="60"/>
              <w:rPr>
                <w:rFonts w:ascii="Franklin Gothic Book" w:hAnsi="Franklin Gothic Book"/>
                <w:iCs/>
                <w:sz w:val="17"/>
                <w:szCs w:val="17"/>
              </w:rPr>
            </w:pPr>
          </w:p>
          <w:p w:rsidR="00372213" w:rsidRPr="00EF494A" w:rsidRDefault="00372213" w:rsidP="00FD5FA5">
            <w:pPr>
              <w:pStyle w:val="ListParagraph"/>
              <w:numPr>
                <w:ilvl w:val="1"/>
                <w:numId w:val="44"/>
              </w:numPr>
              <w:spacing w:before="60" w:after="60"/>
              <w:rPr>
                <w:rFonts w:ascii="Franklin Gothic Book" w:hAnsi="Franklin Gothic Book"/>
                <w:b/>
                <w:iCs/>
                <w:sz w:val="17"/>
                <w:szCs w:val="17"/>
              </w:rPr>
            </w:pPr>
            <w:r w:rsidRPr="00EF494A">
              <w:rPr>
                <w:rFonts w:ascii="Franklin Gothic Book" w:hAnsi="Franklin Gothic Book"/>
                <w:b/>
                <w:iCs/>
                <w:sz w:val="17"/>
                <w:szCs w:val="17"/>
              </w:rPr>
              <w:t xml:space="preserve">Milestone met </w:t>
            </w:r>
          </w:p>
          <w:p w:rsidR="00372213" w:rsidRPr="00EF494A" w:rsidRDefault="00372213" w:rsidP="00FD5FA5">
            <w:pPr>
              <w:spacing w:before="60" w:after="60"/>
              <w:rPr>
                <w:rFonts w:ascii="Franklin Gothic Book" w:hAnsi="Franklin Gothic Book"/>
                <w:iCs/>
                <w:sz w:val="17"/>
                <w:szCs w:val="17"/>
              </w:rPr>
            </w:pPr>
            <w:r w:rsidRPr="00EF494A">
              <w:rPr>
                <w:rFonts w:ascii="Franklin Gothic Book" w:hAnsi="Franklin Gothic Book"/>
                <w:iCs/>
                <w:sz w:val="17"/>
                <w:szCs w:val="17"/>
              </w:rPr>
              <w:t xml:space="preserve">Framework for submissions to the challenge facility in place.  </w:t>
            </w:r>
          </w:p>
          <w:p w:rsidR="00372213" w:rsidRPr="00EF494A" w:rsidRDefault="00372213" w:rsidP="00FD5FA5">
            <w:pPr>
              <w:spacing w:before="60" w:after="60"/>
              <w:rPr>
                <w:rFonts w:ascii="Franklin Gothic Book" w:hAnsi="Franklin Gothic Book"/>
                <w:iCs/>
                <w:sz w:val="17"/>
                <w:szCs w:val="17"/>
              </w:rPr>
            </w:pPr>
          </w:p>
          <w:p w:rsidR="00372213" w:rsidRPr="00EF494A" w:rsidRDefault="00372213" w:rsidP="00FD5FA5">
            <w:pPr>
              <w:pStyle w:val="ListParagraph"/>
              <w:numPr>
                <w:ilvl w:val="1"/>
                <w:numId w:val="44"/>
              </w:numPr>
              <w:spacing w:before="60" w:after="60"/>
              <w:rPr>
                <w:rFonts w:ascii="Franklin Gothic Book" w:hAnsi="Franklin Gothic Book"/>
                <w:b/>
                <w:iCs/>
                <w:sz w:val="17"/>
                <w:szCs w:val="17"/>
              </w:rPr>
            </w:pPr>
            <w:r w:rsidRPr="00EF494A">
              <w:rPr>
                <w:rFonts w:ascii="Franklin Gothic Book" w:hAnsi="Franklin Gothic Book"/>
                <w:b/>
                <w:iCs/>
                <w:sz w:val="17"/>
                <w:szCs w:val="17"/>
              </w:rPr>
              <w:t>Milestone met</w:t>
            </w:r>
          </w:p>
          <w:p w:rsidR="00372213" w:rsidRPr="00EF494A" w:rsidRDefault="00372213" w:rsidP="00FD5FA5">
            <w:pPr>
              <w:spacing w:before="60" w:after="60"/>
              <w:rPr>
                <w:rFonts w:ascii="Franklin Gothic Book" w:hAnsi="Franklin Gothic Book"/>
                <w:iCs/>
                <w:sz w:val="17"/>
                <w:szCs w:val="17"/>
              </w:rPr>
            </w:pPr>
            <w:r w:rsidRPr="00EF494A">
              <w:rPr>
                <w:rFonts w:ascii="Franklin Gothic Book" w:hAnsi="Franklin Gothic Book"/>
                <w:iCs/>
                <w:sz w:val="17"/>
                <w:szCs w:val="17"/>
              </w:rPr>
              <w:t xml:space="preserve">Guidelines and templates to manage proposals to the research facility have been developed. First set of research proposals under development.  </w:t>
            </w:r>
          </w:p>
          <w:p w:rsidR="00372213" w:rsidRPr="00EF494A" w:rsidRDefault="00372213" w:rsidP="00FD5FA5">
            <w:pPr>
              <w:rPr>
                <w:rFonts w:ascii="Franklin Gothic Book" w:hAnsi="Franklin Gothic Book"/>
                <w:iCs/>
                <w:sz w:val="17"/>
                <w:szCs w:val="17"/>
              </w:rPr>
            </w:pPr>
          </w:p>
        </w:tc>
        <w:tc>
          <w:tcPr>
            <w:tcW w:w="4678" w:type="dxa"/>
            <w:tcBorders>
              <w:top w:val="single" w:sz="4" w:space="0" w:color="auto"/>
              <w:left w:val="single" w:sz="4" w:space="0" w:color="auto"/>
              <w:bottom w:val="single" w:sz="4" w:space="0" w:color="auto"/>
              <w:right w:val="single" w:sz="4" w:space="0" w:color="auto"/>
            </w:tcBorders>
          </w:tcPr>
          <w:p w:rsidR="00372213" w:rsidRPr="00EF494A" w:rsidRDefault="00372213" w:rsidP="00FD5FA5">
            <w:pPr>
              <w:spacing w:before="60" w:after="60"/>
              <w:ind w:left="108"/>
              <w:rPr>
                <w:rFonts w:ascii="Franklin Gothic Book" w:hAnsi="Franklin Gothic Book"/>
                <w:iCs/>
                <w:sz w:val="17"/>
                <w:szCs w:val="17"/>
              </w:rPr>
            </w:pPr>
          </w:p>
          <w:p w:rsidR="00372213" w:rsidRPr="00EF494A" w:rsidRDefault="00372213" w:rsidP="00FD5FA5">
            <w:pPr>
              <w:spacing w:before="60" w:after="60"/>
              <w:rPr>
                <w:rFonts w:ascii="Franklin Gothic Book" w:hAnsi="Franklin Gothic Book"/>
                <w:iCs/>
                <w:sz w:val="17"/>
                <w:szCs w:val="17"/>
              </w:rPr>
            </w:pPr>
            <w:r w:rsidRPr="00EF494A">
              <w:rPr>
                <w:rFonts w:ascii="Franklin Gothic Book" w:hAnsi="Franklin Gothic Book"/>
                <w:b/>
                <w:iCs/>
                <w:sz w:val="17"/>
                <w:szCs w:val="17"/>
              </w:rPr>
              <w:t>4.1 Milestone met</w:t>
            </w:r>
            <w:r w:rsidRPr="00EF494A">
              <w:rPr>
                <w:rFonts w:ascii="Franklin Gothic Book" w:hAnsi="Franklin Gothic Book"/>
                <w:iCs/>
                <w:sz w:val="17"/>
                <w:szCs w:val="17"/>
              </w:rPr>
              <w:t xml:space="preserve"> </w:t>
            </w:r>
          </w:p>
          <w:p w:rsidR="00372213" w:rsidRPr="00EF494A" w:rsidRDefault="00372213" w:rsidP="00FD5FA5">
            <w:pPr>
              <w:spacing w:before="60" w:after="60"/>
              <w:rPr>
                <w:rFonts w:ascii="Franklin Gothic Book" w:hAnsi="Franklin Gothic Book"/>
                <w:iCs/>
                <w:sz w:val="17"/>
                <w:szCs w:val="17"/>
              </w:rPr>
            </w:pPr>
            <w:r w:rsidRPr="00EF494A">
              <w:rPr>
                <w:rFonts w:ascii="Franklin Gothic Book" w:hAnsi="Franklin Gothic Book"/>
                <w:iCs/>
                <w:sz w:val="17"/>
                <w:szCs w:val="17"/>
              </w:rPr>
              <w:t>The managing contractor and three lead NGOs were identified in 2013 and are going through the inception phase. Aiming to start the cash transfer activities in 2014/15.</w:t>
            </w:r>
          </w:p>
          <w:p w:rsidR="00372213" w:rsidRPr="00EF494A" w:rsidRDefault="00372213" w:rsidP="00FD5FA5">
            <w:pPr>
              <w:spacing w:before="60" w:after="60"/>
              <w:rPr>
                <w:rFonts w:ascii="Franklin Gothic Book" w:hAnsi="Franklin Gothic Book"/>
                <w:iCs/>
                <w:sz w:val="17"/>
                <w:szCs w:val="17"/>
              </w:rPr>
            </w:pPr>
          </w:p>
          <w:p w:rsidR="00372213" w:rsidRPr="00EF494A" w:rsidRDefault="00372213" w:rsidP="00FD5FA5">
            <w:pPr>
              <w:spacing w:before="60" w:after="60"/>
              <w:rPr>
                <w:rFonts w:ascii="Franklin Gothic Book" w:hAnsi="Franklin Gothic Book"/>
                <w:b/>
                <w:iCs/>
                <w:sz w:val="17"/>
                <w:szCs w:val="17"/>
              </w:rPr>
            </w:pPr>
            <w:r w:rsidRPr="00EF494A">
              <w:rPr>
                <w:rFonts w:ascii="Franklin Gothic Book" w:hAnsi="Franklin Gothic Book"/>
                <w:b/>
                <w:iCs/>
                <w:sz w:val="17"/>
                <w:szCs w:val="17"/>
              </w:rPr>
              <w:t>4.2 Milestone met</w:t>
            </w:r>
          </w:p>
          <w:p w:rsidR="00372213" w:rsidRPr="00EF494A" w:rsidRDefault="00372213" w:rsidP="00FD5FA5">
            <w:pPr>
              <w:spacing w:before="60" w:after="60"/>
              <w:rPr>
                <w:rFonts w:ascii="Franklin Gothic Book" w:hAnsi="Franklin Gothic Book"/>
                <w:iCs/>
                <w:sz w:val="17"/>
                <w:szCs w:val="17"/>
              </w:rPr>
            </w:pPr>
            <w:r w:rsidRPr="00EF494A">
              <w:rPr>
                <w:rFonts w:ascii="Franklin Gothic Book" w:hAnsi="Franklin Gothic Book"/>
                <w:iCs/>
                <w:sz w:val="17"/>
                <w:szCs w:val="17"/>
              </w:rPr>
              <w:t>Government support formalised through the creation of a national advisory committee led by the Vice Minister from Labour and Social Welfare.</w:t>
            </w:r>
          </w:p>
          <w:p w:rsidR="00372213" w:rsidRPr="00EF494A" w:rsidRDefault="00372213" w:rsidP="00FD5FA5">
            <w:pPr>
              <w:spacing w:before="60" w:after="60"/>
              <w:rPr>
                <w:rFonts w:ascii="Franklin Gothic Book" w:hAnsi="Franklin Gothic Book"/>
                <w:iCs/>
                <w:sz w:val="17"/>
                <w:szCs w:val="17"/>
              </w:rPr>
            </w:pPr>
          </w:p>
          <w:p w:rsidR="00372213" w:rsidRPr="00EF494A" w:rsidRDefault="00372213" w:rsidP="00FD5FA5">
            <w:pPr>
              <w:spacing w:before="60" w:after="60"/>
              <w:rPr>
                <w:rFonts w:ascii="Franklin Gothic Book" w:hAnsi="Franklin Gothic Book"/>
                <w:b/>
                <w:iCs/>
                <w:sz w:val="17"/>
                <w:szCs w:val="17"/>
              </w:rPr>
            </w:pPr>
            <w:r w:rsidRPr="00EF494A">
              <w:rPr>
                <w:rFonts w:ascii="Franklin Gothic Book" w:hAnsi="Franklin Gothic Book"/>
                <w:b/>
                <w:iCs/>
                <w:sz w:val="17"/>
                <w:szCs w:val="17"/>
              </w:rPr>
              <w:t xml:space="preserve">4.3 Milestone partially met  </w:t>
            </w:r>
          </w:p>
          <w:p w:rsidR="00372213" w:rsidRPr="00EF494A" w:rsidRDefault="00372213" w:rsidP="00FD5FA5">
            <w:pPr>
              <w:spacing w:before="60" w:after="60"/>
              <w:rPr>
                <w:rFonts w:ascii="Franklin Gothic Book" w:hAnsi="Franklin Gothic Book"/>
                <w:iCs/>
                <w:sz w:val="17"/>
                <w:szCs w:val="17"/>
              </w:rPr>
            </w:pPr>
            <w:r w:rsidRPr="00EF494A">
              <w:rPr>
                <w:rFonts w:ascii="Franklin Gothic Book" w:hAnsi="Franklin Gothic Book"/>
                <w:iCs/>
                <w:sz w:val="17"/>
                <w:szCs w:val="17"/>
              </w:rPr>
              <w:t>Despite delay in implementation, 54 village banks and 7 newly-licensed micro-finance institutions now operate and thus 10,989 additional poor women and men have increased access to financial services</w:t>
            </w:r>
          </w:p>
          <w:p w:rsidR="00372213" w:rsidRPr="00EF494A" w:rsidRDefault="00372213" w:rsidP="00FD5FA5">
            <w:pPr>
              <w:jc w:val="center"/>
              <w:rPr>
                <w:rFonts w:ascii="Franklin Gothic Book" w:hAnsi="Franklin Gothic Book"/>
                <w:iCs/>
                <w:sz w:val="17"/>
                <w:szCs w:val="17"/>
              </w:rPr>
            </w:pPr>
          </w:p>
          <w:p w:rsidR="00372213" w:rsidRPr="00EF494A" w:rsidRDefault="00372213" w:rsidP="00FD5FA5">
            <w:pPr>
              <w:rPr>
                <w:rFonts w:ascii="Franklin Gothic Book" w:hAnsi="Franklin Gothic Book"/>
                <w:b/>
                <w:iCs/>
                <w:sz w:val="17"/>
                <w:szCs w:val="17"/>
              </w:rPr>
            </w:pPr>
            <w:r w:rsidRPr="00EF494A">
              <w:rPr>
                <w:rFonts w:ascii="Franklin Gothic Book" w:hAnsi="Franklin Gothic Book"/>
                <w:b/>
                <w:iCs/>
                <w:sz w:val="17"/>
                <w:szCs w:val="17"/>
              </w:rPr>
              <w:t xml:space="preserve">4.4 Milestone partially met </w:t>
            </w:r>
          </w:p>
          <w:p w:rsidR="00372213" w:rsidRPr="00EF494A" w:rsidRDefault="00372213" w:rsidP="00FD5FA5">
            <w:pPr>
              <w:rPr>
                <w:rFonts w:ascii="Franklin Gothic Book" w:hAnsi="Franklin Gothic Book"/>
                <w:iCs/>
                <w:sz w:val="17"/>
                <w:szCs w:val="17"/>
              </w:rPr>
            </w:pPr>
            <w:r w:rsidRPr="00EF494A">
              <w:rPr>
                <w:rFonts w:ascii="Franklin Gothic Book" w:hAnsi="Franklin Gothic Book"/>
                <w:iCs/>
                <w:sz w:val="17"/>
                <w:szCs w:val="17"/>
              </w:rPr>
              <w:t xml:space="preserve">Technical specialist started his work but it is slightly off track due to delays in the recruitment and contracting. </w:t>
            </w:r>
          </w:p>
          <w:p w:rsidR="00372213" w:rsidRDefault="00372213" w:rsidP="00FD5FA5">
            <w:pPr>
              <w:rPr>
                <w:rFonts w:ascii="Franklin Gothic Book" w:hAnsi="Franklin Gothic Book"/>
                <w:iCs/>
                <w:sz w:val="17"/>
                <w:szCs w:val="17"/>
              </w:rPr>
            </w:pPr>
          </w:p>
          <w:p w:rsidR="007E191C" w:rsidRPr="00EF494A" w:rsidRDefault="007E191C" w:rsidP="00FD5FA5">
            <w:pPr>
              <w:rPr>
                <w:rFonts w:ascii="Franklin Gothic Book" w:hAnsi="Franklin Gothic Book"/>
                <w:iCs/>
                <w:sz w:val="17"/>
                <w:szCs w:val="17"/>
              </w:rPr>
            </w:pPr>
          </w:p>
          <w:p w:rsidR="00372213" w:rsidRPr="00EF494A" w:rsidRDefault="00372213" w:rsidP="00FD5FA5">
            <w:pPr>
              <w:rPr>
                <w:rFonts w:ascii="Franklin Gothic Book" w:hAnsi="Franklin Gothic Book"/>
                <w:b/>
                <w:iCs/>
                <w:sz w:val="17"/>
                <w:szCs w:val="17"/>
              </w:rPr>
            </w:pPr>
            <w:r w:rsidRPr="00EF494A">
              <w:rPr>
                <w:rFonts w:ascii="Franklin Gothic Book" w:hAnsi="Franklin Gothic Book"/>
                <w:b/>
                <w:iCs/>
                <w:sz w:val="17"/>
                <w:szCs w:val="17"/>
              </w:rPr>
              <w:t xml:space="preserve">4.5 Milestone met </w:t>
            </w:r>
          </w:p>
          <w:p w:rsidR="00372213" w:rsidRPr="00EF494A" w:rsidRDefault="00372213" w:rsidP="00FD5FA5">
            <w:pPr>
              <w:rPr>
                <w:rFonts w:ascii="Franklin Gothic Book" w:hAnsi="Franklin Gothic Book"/>
                <w:iCs/>
                <w:sz w:val="17"/>
                <w:szCs w:val="17"/>
              </w:rPr>
            </w:pPr>
            <w:r w:rsidRPr="00EF494A">
              <w:rPr>
                <w:rFonts w:ascii="Franklin Gothic Book" w:hAnsi="Franklin Gothic Book"/>
                <w:iCs/>
                <w:sz w:val="17"/>
                <w:szCs w:val="17"/>
              </w:rPr>
              <w:t xml:space="preserve">Microfinance Association was issued temporary licence from BOL and funding agreements with UNCDF and other donors are progressing. </w:t>
            </w:r>
          </w:p>
          <w:p w:rsidR="00372213" w:rsidRPr="00EF494A" w:rsidRDefault="00372213" w:rsidP="00FD5FA5">
            <w:pPr>
              <w:rPr>
                <w:rFonts w:ascii="Franklin Gothic Book" w:hAnsi="Franklin Gothic Book"/>
                <w:iCs/>
                <w:sz w:val="17"/>
                <w:szCs w:val="17"/>
              </w:rPr>
            </w:pPr>
          </w:p>
          <w:p w:rsidR="00372213" w:rsidRPr="00EF494A" w:rsidRDefault="00372213" w:rsidP="00FD5FA5">
            <w:pPr>
              <w:rPr>
                <w:rFonts w:ascii="Franklin Gothic Book" w:hAnsi="Franklin Gothic Book"/>
                <w:b/>
                <w:iCs/>
                <w:sz w:val="17"/>
                <w:szCs w:val="17"/>
              </w:rPr>
            </w:pPr>
            <w:r w:rsidRPr="00EF494A">
              <w:rPr>
                <w:rFonts w:ascii="Franklin Gothic Book" w:hAnsi="Franklin Gothic Book"/>
                <w:b/>
                <w:iCs/>
                <w:sz w:val="17"/>
                <w:szCs w:val="17"/>
              </w:rPr>
              <w:t>4.6 Milestone met</w:t>
            </w:r>
          </w:p>
          <w:p w:rsidR="00372213" w:rsidRPr="00EF494A" w:rsidRDefault="00372213" w:rsidP="00FD5FA5">
            <w:pPr>
              <w:rPr>
                <w:rFonts w:ascii="Franklin Gothic Book" w:hAnsi="Franklin Gothic Book"/>
                <w:iCs/>
                <w:sz w:val="17"/>
                <w:szCs w:val="17"/>
              </w:rPr>
            </w:pPr>
            <w:r w:rsidRPr="00EF494A">
              <w:rPr>
                <w:rFonts w:ascii="Franklin Gothic Book" w:hAnsi="Franklin Gothic Book"/>
                <w:iCs/>
                <w:sz w:val="17"/>
                <w:szCs w:val="17"/>
              </w:rPr>
              <w:t>More than 9,500 people (approximately 5,000 women) increased their production of and access to food due to rice banks and irrigation systems</w:t>
            </w:r>
          </w:p>
          <w:p w:rsidR="00372213" w:rsidRPr="00EF494A" w:rsidRDefault="00372213" w:rsidP="00FD5FA5">
            <w:pPr>
              <w:rPr>
                <w:rFonts w:ascii="Franklin Gothic Book" w:hAnsi="Franklin Gothic Book"/>
                <w:iCs/>
                <w:sz w:val="17"/>
                <w:szCs w:val="17"/>
              </w:rPr>
            </w:pPr>
          </w:p>
          <w:p w:rsidR="00372213" w:rsidRPr="00EF494A" w:rsidRDefault="00372213" w:rsidP="00FD5FA5">
            <w:pPr>
              <w:rPr>
                <w:rFonts w:ascii="Franklin Gothic Book" w:hAnsi="Franklin Gothic Book"/>
                <w:b/>
                <w:iCs/>
                <w:sz w:val="17"/>
                <w:szCs w:val="17"/>
              </w:rPr>
            </w:pPr>
            <w:r w:rsidRPr="00EF494A">
              <w:rPr>
                <w:rFonts w:ascii="Franklin Gothic Book" w:hAnsi="Franklin Gothic Book"/>
                <w:b/>
                <w:iCs/>
                <w:sz w:val="17"/>
                <w:szCs w:val="17"/>
              </w:rPr>
              <w:t xml:space="preserve">4.7 Milestone met </w:t>
            </w:r>
          </w:p>
          <w:p w:rsidR="00372213" w:rsidRPr="00EF494A" w:rsidRDefault="00372213" w:rsidP="00FD5FA5">
            <w:pPr>
              <w:rPr>
                <w:rFonts w:ascii="Franklin Gothic Book" w:hAnsi="Franklin Gothic Book"/>
                <w:iCs/>
                <w:sz w:val="17"/>
                <w:szCs w:val="17"/>
              </w:rPr>
            </w:pPr>
            <w:r w:rsidRPr="00EF494A">
              <w:rPr>
                <w:rFonts w:ascii="Franklin Gothic Book" w:hAnsi="Franklin Gothic Book"/>
                <w:iCs/>
                <w:sz w:val="17"/>
                <w:szCs w:val="17"/>
              </w:rPr>
              <w:t>877 hectares were cleared and released, benefitting more than 70,000 people living in the affected areas</w:t>
            </w:r>
          </w:p>
          <w:p w:rsidR="00372213" w:rsidRPr="00EF494A" w:rsidRDefault="00372213" w:rsidP="00FD5FA5">
            <w:pPr>
              <w:rPr>
                <w:rFonts w:ascii="Franklin Gothic Book" w:hAnsi="Franklin Gothic Book"/>
                <w:iCs/>
                <w:sz w:val="17"/>
                <w:szCs w:val="17"/>
              </w:rPr>
            </w:pPr>
          </w:p>
          <w:p w:rsidR="00372213" w:rsidRPr="00EF494A" w:rsidRDefault="00372213" w:rsidP="00FD5FA5">
            <w:pPr>
              <w:rPr>
                <w:rFonts w:ascii="Franklin Gothic Book" w:hAnsi="Franklin Gothic Book"/>
                <w:b/>
                <w:iCs/>
                <w:sz w:val="17"/>
                <w:szCs w:val="17"/>
              </w:rPr>
            </w:pPr>
            <w:r w:rsidRPr="00EF494A">
              <w:rPr>
                <w:rFonts w:ascii="Franklin Gothic Book" w:hAnsi="Franklin Gothic Book"/>
                <w:b/>
                <w:iCs/>
                <w:sz w:val="17"/>
                <w:szCs w:val="17"/>
              </w:rPr>
              <w:t xml:space="preserve">4.8 Milestone partially met </w:t>
            </w:r>
          </w:p>
          <w:p w:rsidR="00372213" w:rsidRPr="00EF494A" w:rsidRDefault="00372213" w:rsidP="00FD5FA5">
            <w:pPr>
              <w:rPr>
                <w:rFonts w:ascii="Franklin Gothic Book" w:hAnsi="Franklin Gothic Book"/>
                <w:iCs/>
                <w:sz w:val="17"/>
                <w:szCs w:val="17"/>
              </w:rPr>
            </w:pPr>
            <w:r w:rsidRPr="00EF494A">
              <w:rPr>
                <w:rFonts w:ascii="Franklin Gothic Book" w:hAnsi="Franklin Gothic Book"/>
                <w:iCs/>
                <w:sz w:val="17"/>
                <w:szCs w:val="17"/>
              </w:rPr>
              <w:t>NRA submitted an official budget request to GoL to cover the rent of the NRA office and several other activities. Since January 2013, the rent of the NRA office has been paid by GoL.</w:t>
            </w:r>
          </w:p>
          <w:p w:rsidR="00372213" w:rsidRPr="00EF494A" w:rsidRDefault="00372213" w:rsidP="00FD5FA5">
            <w:pPr>
              <w:rPr>
                <w:rFonts w:ascii="Franklin Gothic Book" w:hAnsi="Franklin Gothic Book"/>
                <w:iCs/>
                <w:sz w:val="17"/>
                <w:szCs w:val="17"/>
              </w:rPr>
            </w:pPr>
          </w:p>
          <w:p w:rsidR="00372213" w:rsidRPr="00EF494A" w:rsidRDefault="00372213" w:rsidP="00FD5FA5">
            <w:pPr>
              <w:rPr>
                <w:rFonts w:ascii="Franklin Gothic Book" w:hAnsi="Franklin Gothic Book"/>
                <w:b/>
                <w:iCs/>
                <w:sz w:val="17"/>
                <w:szCs w:val="17"/>
              </w:rPr>
            </w:pPr>
            <w:r w:rsidRPr="00EF494A">
              <w:rPr>
                <w:rFonts w:ascii="Franklin Gothic Book" w:hAnsi="Franklin Gothic Book"/>
                <w:b/>
                <w:iCs/>
                <w:sz w:val="17"/>
                <w:szCs w:val="17"/>
              </w:rPr>
              <w:t>5.1 Milestone met</w:t>
            </w:r>
          </w:p>
          <w:p w:rsidR="00372213" w:rsidRPr="00EF494A" w:rsidRDefault="00372213" w:rsidP="00FD5FA5">
            <w:pPr>
              <w:rPr>
                <w:rFonts w:ascii="Franklin Gothic Book" w:hAnsi="Franklin Gothic Book"/>
                <w:iCs/>
                <w:sz w:val="17"/>
                <w:szCs w:val="17"/>
              </w:rPr>
            </w:pPr>
            <w:r w:rsidRPr="00EF494A">
              <w:rPr>
                <w:rFonts w:ascii="Franklin Gothic Book" w:hAnsi="Franklin Gothic Book"/>
                <w:iCs/>
                <w:sz w:val="17"/>
                <w:szCs w:val="17"/>
              </w:rPr>
              <w:t>At least 205 kms of rural roads constructed and rehabilitated</w:t>
            </w:r>
          </w:p>
          <w:p w:rsidR="00372213" w:rsidRPr="00EF494A" w:rsidRDefault="00372213" w:rsidP="00FD5FA5">
            <w:pPr>
              <w:numPr>
                <w:ilvl w:val="0"/>
                <w:numId w:val="43"/>
              </w:numPr>
              <w:ind w:left="317" w:hanging="142"/>
              <w:rPr>
                <w:rFonts w:ascii="Franklin Gothic Book" w:hAnsi="Franklin Gothic Book"/>
                <w:iCs/>
                <w:sz w:val="17"/>
                <w:szCs w:val="17"/>
              </w:rPr>
            </w:pPr>
            <w:r w:rsidRPr="00EF494A">
              <w:rPr>
                <w:rFonts w:ascii="Franklin Gothic Book" w:hAnsi="Franklin Gothic Book"/>
                <w:iCs/>
                <w:sz w:val="17"/>
                <w:szCs w:val="17"/>
              </w:rPr>
              <w:t xml:space="preserve">NTNIP:  41.68 kms rural paved roads </w:t>
            </w:r>
          </w:p>
          <w:p w:rsidR="00372213" w:rsidRPr="00EF494A" w:rsidRDefault="00372213" w:rsidP="00FD5FA5">
            <w:pPr>
              <w:numPr>
                <w:ilvl w:val="0"/>
                <w:numId w:val="43"/>
              </w:numPr>
              <w:ind w:left="317" w:hanging="142"/>
              <w:rPr>
                <w:rFonts w:ascii="Franklin Gothic Book" w:hAnsi="Franklin Gothic Book"/>
                <w:iCs/>
                <w:sz w:val="17"/>
                <w:szCs w:val="17"/>
              </w:rPr>
            </w:pPr>
            <w:r w:rsidRPr="00EF494A">
              <w:rPr>
                <w:rFonts w:ascii="Franklin Gothic Book" w:hAnsi="Franklin Gothic Book"/>
                <w:iCs/>
                <w:sz w:val="17"/>
                <w:szCs w:val="17"/>
              </w:rPr>
              <w:t xml:space="preserve">PRF: 164.12 kms low volume traffic rural roads </w:t>
            </w:r>
          </w:p>
          <w:p w:rsidR="00372213" w:rsidRPr="00EF494A" w:rsidRDefault="00372213" w:rsidP="00FD5FA5">
            <w:pPr>
              <w:spacing w:before="120"/>
              <w:rPr>
                <w:rFonts w:ascii="Franklin Gothic Book" w:hAnsi="Franklin Gothic Book"/>
                <w:b/>
                <w:iCs/>
                <w:sz w:val="17"/>
                <w:szCs w:val="17"/>
              </w:rPr>
            </w:pPr>
            <w:r w:rsidRPr="00EF494A">
              <w:rPr>
                <w:rFonts w:ascii="Franklin Gothic Book" w:hAnsi="Franklin Gothic Book"/>
                <w:b/>
                <w:iCs/>
                <w:sz w:val="17"/>
                <w:szCs w:val="17"/>
              </w:rPr>
              <w:t xml:space="preserve">5.2 Milestone met </w:t>
            </w:r>
          </w:p>
          <w:p w:rsidR="00372213" w:rsidRPr="00EF494A" w:rsidRDefault="00372213" w:rsidP="00FD5FA5">
            <w:pPr>
              <w:spacing w:before="120"/>
              <w:rPr>
                <w:rFonts w:ascii="Franklin Gothic Book" w:hAnsi="Franklin Gothic Book"/>
                <w:iCs/>
                <w:sz w:val="17"/>
                <w:szCs w:val="17"/>
              </w:rPr>
            </w:pPr>
            <w:r w:rsidRPr="00EF494A">
              <w:rPr>
                <w:rFonts w:ascii="Franklin Gothic Book" w:hAnsi="Franklin Gothic Book"/>
                <w:iCs/>
                <w:sz w:val="17"/>
                <w:szCs w:val="17"/>
              </w:rPr>
              <w:t xml:space="preserve">63,620 of additional women and men with improved access to rural roads </w:t>
            </w:r>
          </w:p>
          <w:p w:rsidR="00372213" w:rsidRPr="00EF494A" w:rsidRDefault="00372213" w:rsidP="00FD5FA5">
            <w:pPr>
              <w:rPr>
                <w:rFonts w:ascii="Franklin Gothic Book" w:hAnsi="Franklin Gothic Book"/>
                <w:iCs/>
                <w:sz w:val="17"/>
                <w:szCs w:val="17"/>
              </w:rPr>
            </w:pPr>
          </w:p>
          <w:p w:rsidR="00372213" w:rsidRPr="00EF494A" w:rsidRDefault="00372213" w:rsidP="00FD5FA5">
            <w:pPr>
              <w:rPr>
                <w:rFonts w:ascii="Franklin Gothic Book" w:hAnsi="Franklin Gothic Book"/>
                <w:b/>
                <w:iCs/>
                <w:sz w:val="17"/>
                <w:szCs w:val="17"/>
              </w:rPr>
            </w:pPr>
            <w:r w:rsidRPr="00EF494A">
              <w:rPr>
                <w:rFonts w:ascii="Franklin Gothic Book" w:hAnsi="Franklin Gothic Book"/>
                <w:b/>
                <w:iCs/>
                <w:sz w:val="17"/>
                <w:szCs w:val="17"/>
              </w:rPr>
              <w:t xml:space="preserve">5.3 Milestone met  </w:t>
            </w:r>
          </w:p>
          <w:p w:rsidR="00372213" w:rsidRPr="00EF494A" w:rsidRDefault="00372213" w:rsidP="00FD5FA5">
            <w:pPr>
              <w:rPr>
                <w:rFonts w:ascii="Franklin Gothic Book" w:hAnsi="Franklin Gothic Book"/>
                <w:iCs/>
                <w:sz w:val="17"/>
                <w:szCs w:val="17"/>
              </w:rPr>
            </w:pPr>
            <w:r w:rsidRPr="00EF494A">
              <w:rPr>
                <w:rFonts w:ascii="Franklin Gothic Book" w:hAnsi="Franklin Gothic Book"/>
                <w:iCs/>
                <w:sz w:val="17"/>
                <w:szCs w:val="17"/>
              </w:rPr>
              <w:t>More than 81,000 people provided with increased access to safe water</w:t>
            </w:r>
          </w:p>
          <w:p w:rsidR="00372213" w:rsidRPr="00EF494A" w:rsidRDefault="00372213" w:rsidP="00FD5FA5">
            <w:pPr>
              <w:numPr>
                <w:ilvl w:val="0"/>
                <w:numId w:val="43"/>
              </w:numPr>
              <w:ind w:left="317" w:hanging="142"/>
              <w:rPr>
                <w:rFonts w:ascii="Franklin Gothic Book" w:hAnsi="Franklin Gothic Book"/>
                <w:iCs/>
                <w:sz w:val="17"/>
                <w:szCs w:val="17"/>
              </w:rPr>
            </w:pPr>
            <w:r w:rsidRPr="00EF494A">
              <w:rPr>
                <w:rFonts w:ascii="Franklin Gothic Book" w:hAnsi="Franklin Gothic Book"/>
                <w:iCs/>
                <w:sz w:val="17"/>
                <w:szCs w:val="17"/>
              </w:rPr>
              <w:t>PRF: 77,441 people</w:t>
            </w:r>
          </w:p>
          <w:p w:rsidR="00372213" w:rsidRPr="00EF494A" w:rsidRDefault="00372213" w:rsidP="00FD5FA5">
            <w:pPr>
              <w:numPr>
                <w:ilvl w:val="0"/>
                <w:numId w:val="43"/>
              </w:numPr>
              <w:ind w:left="317" w:hanging="142"/>
              <w:rPr>
                <w:rFonts w:ascii="Franklin Gothic Book" w:hAnsi="Franklin Gothic Book"/>
                <w:iCs/>
                <w:sz w:val="17"/>
                <w:szCs w:val="17"/>
              </w:rPr>
            </w:pPr>
            <w:r w:rsidRPr="00EF494A">
              <w:rPr>
                <w:rFonts w:ascii="Franklin Gothic Book" w:hAnsi="Franklin Gothic Book"/>
                <w:iCs/>
                <w:sz w:val="17"/>
                <w:szCs w:val="17"/>
              </w:rPr>
              <w:t>LANGOCA: 4,425 people</w:t>
            </w:r>
          </w:p>
          <w:p w:rsidR="00372213" w:rsidRPr="00EF494A" w:rsidRDefault="00372213" w:rsidP="00FD5FA5">
            <w:pPr>
              <w:rPr>
                <w:rFonts w:ascii="Franklin Gothic Book" w:hAnsi="Franklin Gothic Book"/>
                <w:iCs/>
                <w:sz w:val="17"/>
                <w:szCs w:val="17"/>
              </w:rPr>
            </w:pPr>
          </w:p>
          <w:p w:rsidR="00372213" w:rsidRPr="00EF494A" w:rsidRDefault="00372213" w:rsidP="00FD5FA5">
            <w:pPr>
              <w:spacing w:after="120"/>
              <w:rPr>
                <w:rFonts w:ascii="Franklin Gothic Book" w:hAnsi="Franklin Gothic Book"/>
                <w:b/>
                <w:iCs/>
                <w:sz w:val="17"/>
                <w:szCs w:val="17"/>
              </w:rPr>
            </w:pPr>
            <w:r w:rsidRPr="00EF494A">
              <w:rPr>
                <w:rFonts w:ascii="Franklin Gothic Book" w:hAnsi="Franklin Gothic Book"/>
                <w:b/>
                <w:iCs/>
                <w:sz w:val="17"/>
                <w:szCs w:val="17"/>
              </w:rPr>
              <w:t xml:space="preserve">5.4 Milestone met  </w:t>
            </w:r>
          </w:p>
          <w:p w:rsidR="00372213" w:rsidRPr="00EF494A" w:rsidRDefault="00372213" w:rsidP="00FD5FA5">
            <w:pPr>
              <w:spacing w:after="120"/>
              <w:rPr>
                <w:rFonts w:ascii="Franklin Gothic Book" w:hAnsi="Franklin Gothic Book"/>
                <w:iCs/>
                <w:sz w:val="17"/>
                <w:szCs w:val="17"/>
              </w:rPr>
            </w:pPr>
            <w:r w:rsidRPr="00EF494A">
              <w:rPr>
                <w:rFonts w:ascii="Franklin Gothic Book" w:hAnsi="Franklin Gothic Book"/>
                <w:iCs/>
                <w:sz w:val="17"/>
                <w:szCs w:val="17"/>
              </w:rPr>
              <w:t>The PRF has adopted social safeguards and environmental guidelines as an organisation. It is also implementing disabled access strategies along with its community driven approach.</w:t>
            </w:r>
          </w:p>
        </w:tc>
      </w:tr>
    </w:tbl>
    <w:p w:rsidR="000D733F" w:rsidRPr="00EF494A" w:rsidRDefault="000D733F" w:rsidP="000D733F">
      <w:pPr>
        <w:pStyle w:val="Heading2"/>
        <w:rPr>
          <w:sz w:val="28"/>
        </w:rPr>
      </w:pPr>
      <w:r w:rsidRPr="00EF494A">
        <w:rPr>
          <w:sz w:val="28"/>
        </w:rPr>
        <w:lastRenderedPageBreak/>
        <w:t xml:space="preserve">Annex </w:t>
      </w:r>
      <w:r w:rsidR="00372213" w:rsidRPr="00EF494A">
        <w:rPr>
          <w:sz w:val="28"/>
        </w:rPr>
        <w:t>B</w:t>
      </w:r>
      <w:r w:rsidRPr="00EF494A">
        <w:rPr>
          <w:sz w:val="28"/>
        </w:rPr>
        <w:t xml:space="preserve"> </w:t>
      </w:r>
    </w:p>
    <w:p w:rsidR="000D733F" w:rsidRPr="00EF494A" w:rsidRDefault="000D733F" w:rsidP="000D733F">
      <w:pPr>
        <w:pStyle w:val="Heading2"/>
        <w:rPr>
          <w:sz w:val="28"/>
        </w:rPr>
      </w:pPr>
      <w:r w:rsidRPr="00EF494A">
        <w:rPr>
          <w:sz w:val="28"/>
        </w:rPr>
        <w:t xml:space="preserve">Progress in addressing 2012-13 management </w:t>
      </w:r>
      <w:r w:rsidR="00805ADD" w:rsidRPr="00EF494A">
        <w:rPr>
          <w:sz w:val="28"/>
        </w:rPr>
        <w:t>responses</w:t>
      </w:r>
    </w:p>
    <w:tbl>
      <w:tblPr>
        <w:tblStyle w:val="APPR"/>
        <w:tblpPr w:leftFromText="180" w:rightFromText="180" w:vertAnchor="text" w:tblpY="1"/>
        <w:tblW w:w="5000" w:type="pct"/>
        <w:tblLayout w:type="fixed"/>
        <w:tblLook w:val="0000" w:firstRow="0" w:lastRow="0" w:firstColumn="0" w:lastColumn="0" w:noHBand="0" w:noVBand="0"/>
      </w:tblPr>
      <w:tblGrid>
        <w:gridCol w:w="6515"/>
        <w:gridCol w:w="992"/>
        <w:gridCol w:w="6938"/>
      </w:tblGrid>
      <w:tr w:rsidR="000D733F" w:rsidRPr="00EF494A" w:rsidTr="000D733F">
        <w:trPr>
          <w:cnfStyle w:val="000000010000" w:firstRow="0" w:lastRow="0" w:firstColumn="0" w:lastColumn="0" w:oddVBand="0" w:evenVBand="0" w:oddHBand="0" w:evenHBand="1" w:firstRowFirstColumn="0" w:firstRowLastColumn="0" w:lastRowFirstColumn="0" w:lastRowLastColumn="0"/>
        </w:trPr>
        <w:tc>
          <w:tcPr>
            <w:tcW w:w="6473" w:type="dxa"/>
          </w:tcPr>
          <w:p w:rsidR="000D733F" w:rsidRPr="00EF494A" w:rsidRDefault="00B358FC" w:rsidP="000D733F">
            <w:pPr>
              <w:pStyle w:val="TableTextColumnHeading"/>
              <w:tabs>
                <w:tab w:val="left" w:pos="1185"/>
              </w:tabs>
            </w:pPr>
            <w:r w:rsidRPr="00EF494A">
              <w:t>M</w:t>
            </w:r>
            <w:r w:rsidR="000D733F" w:rsidRPr="00EF494A">
              <w:t>anagement consequences identified in 2012-13 APPR</w:t>
            </w:r>
            <w:r w:rsidR="000D733F" w:rsidRPr="00EF494A">
              <w:tab/>
            </w:r>
          </w:p>
        </w:tc>
        <w:tc>
          <w:tcPr>
            <w:tcW w:w="964" w:type="dxa"/>
          </w:tcPr>
          <w:p w:rsidR="000D733F" w:rsidRPr="00EF494A" w:rsidRDefault="000D733F" w:rsidP="000D733F">
            <w:pPr>
              <w:pStyle w:val="TableTextColumnHeading"/>
            </w:pPr>
            <w:r w:rsidRPr="00EF494A">
              <w:t>Rating</w:t>
            </w:r>
          </w:p>
        </w:tc>
        <w:tc>
          <w:tcPr>
            <w:tcW w:w="6896" w:type="dxa"/>
          </w:tcPr>
          <w:p w:rsidR="000D733F" w:rsidRPr="00EF494A" w:rsidRDefault="000D733F" w:rsidP="00EA71DF">
            <w:pPr>
              <w:pStyle w:val="TableTextColumnHeading"/>
            </w:pPr>
            <w:r w:rsidRPr="00EF494A">
              <w:t>Progress made in 2013-14</w:t>
            </w:r>
          </w:p>
        </w:tc>
      </w:tr>
      <w:tr w:rsidR="000D733F" w:rsidRPr="00EF494A" w:rsidTr="00022FD1">
        <w:trPr>
          <w:cnfStyle w:val="000000010000" w:firstRow="0" w:lastRow="0" w:firstColumn="0" w:lastColumn="0" w:oddVBand="0" w:evenVBand="0" w:oddHBand="0" w:evenHBand="1" w:firstRowFirstColumn="0" w:firstRowLastColumn="0" w:lastRowFirstColumn="0" w:lastRowLastColumn="0"/>
        </w:trPr>
        <w:tc>
          <w:tcPr>
            <w:tcW w:w="6473" w:type="dxa"/>
          </w:tcPr>
          <w:p w:rsidR="000D733F" w:rsidRPr="00EF494A" w:rsidRDefault="00596431" w:rsidP="000D733F">
            <w:pPr>
              <w:pStyle w:val="TableTextEntries"/>
            </w:pPr>
            <w:r w:rsidRPr="00EF494A">
              <w:t xml:space="preserve">Prepare a new Australia-Laos Development Cooperation Strategy, including </w:t>
            </w:r>
            <w:r w:rsidR="00237207" w:rsidRPr="00EF494A">
              <w:t>re-evaluation of priority sectors, and to better address cross-cutting issues.</w:t>
            </w:r>
          </w:p>
        </w:tc>
        <w:tc>
          <w:tcPr>
            <w:tcW w:w="964" w:type="dxa"/>
            <w:shd w:val="clear" w:color="auto" w:fill="E36C0A" w:themeFill="accent6" w:themeFillShade="BF"/>
          </w:tcPr>
          <w:p w:rsidR="000D733F" w:rsidRPr="00EF494A" w:rsidRDefault="00022FD1" w:rsidP="000D733F">
            <w:pPr>
              <w:pStyle w:val="TableTextEntries"/>
              <w:jc w:val="center"/>
              <w:rPr>
                <w:color w:val="FFFFFF" w:themeColor="background1"/>
              </w:rPr>
            </w:pPr>
            <w:r w:rsidRPr="00EF494A">
              <w:rPr>
                <w:color w:val="FFFFFF" w:themeColor="background1"/>
              </w:rPr>
              <w:t>Partly Achieved</w:t>
            </w:r>
          </w:p>
        </w:tc>
        <w:tc>
          <w:tcPr>
            <w:tcW w:w="6896" w:type="dxa"/>
          </w:tcPr>
          <w:p w:rsidR="000D733F" w:rsidRPr="00EF494A" w:rsidRDefault="00022FD1" w:rsidP="001466EE">
            <w:pPr>
              <w:pStyle w:val="TableTextEntries"/>
              <w:rPr>
                <w:color w:val="92D050"/>
              </w:rPr>
            </w:pPr>
            <w:r w:rsidRPr="00EF494A">
              <w:t>Work commenced in preparing an Aid Investment Plan (AIP) for the Laos Country Program in</w:t>
            </w:r>
            <w:r w:rsidR="001466EE">
              <w:t xml:space="preserve"> late 2013.  </w:t>
            </w:r>
            <w:r w:rsidR="009B3A14" w:rsidRPr="00EF494A">
              <w:t>As per revised departmental timelines, t</w:t>
            </w:r>
            <w:r w:rsidRPr="00EF494A">
              <w:t>he AIP is expected to be finalised by early 2015.</w:t>
            </w:r>
          </w:p>
        </w:tc>
      </w:tr>
      <w:tr w:rsidR="000D733F" w:rsidRPr="00EF494A" w:rsidTr="00EA71DF">
        <w:trPr>
          <w:cnfStyle w:val="000000010000" w:firstRow="0" w:lastRow="0" w:firstColumn="0" w:lastColumn="0" w:oddVBand="0" w:evenVBand="0" w:oddHBand="0" w:evenHBand="1" w:firstRowFirstColumn="0" w:firstRowLastColumn="0" w:lastRowFirstColumn="0" w:lastRowLastColumn="0"/>
        </w:trPr>
        <w:tc>
          <w:tcPr>
            <w:tcW w:w="6473" w:type="dxa"/>
          </w:tcPr>
          <w:p w:rsidR="000D733F" w:rsidRPr="00EF494A" w:rsidRDefault="00E408A1" w:rsidP="000D733F">
            <w:pPr>
              <w:pStyle w:val="TableTextEntries"/>
            </w:pPr>
            <w:r w:rsidRPr="00EF494A">
              <w:t>Seek a better understanding of Laos’ public financial management systems to better manage risks in relation to aid investments; and identify sector-specific PFM investment options, specifically for the education sector.</w:t>
            </w:r>
          </w:p>
        </w:tc>
        <w:tc>
          <w:tcPr>
            <w:tcW w:w="964" w:type="dxa"/>
            <w:shd w:val="clear" w:color="auto" w:fill="00B050"/>
          </w:tcPr>
          <w:p w:rsidR="000D733F" w:rsidRPr="00EF494A" w:rsidRDefault="000D733F" w:rsidP="000D733F">
            <w:pPr>
              <w:pStyle w:val="TableTextEntries"/>
              <w:jc w:val="center"/>
              <w:rPr>
                <w:color w:val="FFFFFF" w:themeColor="background1"/>
              </w:rPr>
            </w:pPr>
            <w:r w:rsidRPr="00EF494A">
              <w:rPr>
                <w:color w:val="FFFFFF" w:themeColor="background1"/>
              </w:rPr>
              <w:t>Achieved</w:t>
            </w:r>
            <w:r w:rsidRPr="00EF494A">
              <w:rPr>
                <w:color w:val="FFFFFF" w:themeColor="background1"/>
              </w:rPr>
              <w:fldChar w:fldCharType="begin"/>
            </w:r>
            <w:r w:rsidRPr="00EF494A">
              <w:rPr>
                <w:color w:val="FFFFFF" w:themeColor="background1"/>
              </w:rPr>
              <w:instrText xml:space="preserve"> AUTOTEXTLIST  \s "Rating bullet"\t "Right click to choose a rating" \* MERGEFORMAT </w:instrText>
            </w:r>
            <w:r w:rsidRPr="00EF494A">
              <w:rPr>
                <w:color w:val="FFFFFF" w:themeColor="background1"/>
              </w:rPr>
              <w:fldChar w:fldCharType="end"/>
            </w:r>
          </w:p>
        </w:tc>
        <w:tc>
          <w:tcPr>
            <w:tcW w:w="6896" w:type="dxa"/>
          </w:tcPr>
          <w:p w:rsidR="000D733F" w:rsidRPr="00EF494A" w:rsidRDefault="00022FD1" w:rsidP="000D733F">
            <w:pPr>
              <w:pStyle w:val="TableTextEntries"/>
            </w:pPr>
            <w:r w:rsidRPr="00EF494A">
              <w:t>An Education Sector Systems assessment was undertake in August/September 2013, this provided a detailed review of current Government of Laos public financial management and procurement procedures, and directly informed the design of the BEQUAL program, particularly in relation to risk mitigation.</w:t>
            </w:r>
          </w:p>
        </w:tc>
      </w:tr>
      <w:tr w:rsidR="000D733F" w:rsidRPr="00EF494A" w:rsidTr="00022FD1">
        <w:trPr>
          <w:cnfStyle w:val="000000010000" w:firstRow="0" w:lastRow="0" w:firstColumn="0" w:lastColumn="0" w:oddVBand="0" w:evenVBand="0" w:oddHBand="0" w:evenHBand="1" w:firstRowFirstColumn="0" w:firstRowLastColumn="0" w:lastRowFirstColumn="0" w:lastRowLastColumn="0"/>
        </w:trPr>
        <w:tc>
          <w:tcPr>
            <w:tcW w:w="6473" w:type="dxa"/>
          </w:tcPr>
          <w:p w:rsidR="000D733F" w:rsidRPr="00EF494A" w:rsidRDefault="00966D28" w:rsidP="000D733F">
            <w:pPr>
              <w:pStyle w:val="TableTextEntries"/>
            </w:pPr>
            <w:r w:rsidRPr="00EF494A">
              <w:t>Develop an</w:t>
            </w:r>
            <w:r w:rsidR="00E408A1" w:rsidRPr="00EF494A">
              <w:t xml:space="preserve"> enhanced understanding of re-settlement in Laos</w:t>
            </w:r>
            <w:r w:rsidRPr="00EF494A">
              <w:t>, b</w:t>
            </w:r>
            <w:r w:rsidR="00E408A1" w:rsidRPr="00EF494A">
              <w:t>y com</w:t>
            </w:r>
            <w:r w:rsidRPr="00EF494A">
              <w:t>missioning a program-wide analysis in order to better manage risk in relation to current and future programs.  In doing this, develop a consistent approach to managing risk associated with resettlement for aid program activities.</w:t>
            </w:r>
          </w:p>
        </w:tc>
        <w:tc>
          <w:tcPr>
            <w:tcW w:w="964" w:type="dxa"/>
            <w:shd w:val="clear" w:color="auto" w:fill="E36C0A" w:themeFill="accent6" w:themeFillShade="BF"/>
          </w:tcPr>
          <w:p w:rsidR="000D733F" w:rsidRPr="00EF494A" w:rsidRDefault="00022FD1" w:rsidP="000D733F">
            <w:pPr>
              <w:pStyle w:val="TableTextEntries"/>
              <w:jc w:val="center"/>
              <w:rPr>
                <w:color w:val="FFFFFF" w:themeColor="background1"/>
              </w:rPr>
            </w:pPr>
            <w:r w:rsidRPr="00EF494A">
              <w:rPr>
                <w:color w:val="FFFFFF" w:themeColor="background1"/>
              </w:rPr>
              <w:t>Partly Achieved</w:t>
            </w:r>
          </w:p>
        </w:tc>
        <w:tc>
          <w:tcPr>
            <w:tcW w:w="6896" w:type="dxa"/>
          </w:tcPr>
          <w:p w:rsidR="000D733F" w:rsidRPr="00EF494A" w:rsidRDefault="00022FD1" w:rsidP="000D733F">
            <w:pPr>
              <w:pStyle w:val="TableTextEntries"/>
            </w:pPr>
            <w:r w:rsidRPr="00EF494A">
              <w:t xml:space="preserve">Efforts were made to enhance Australia’s understanding of resettlement processes in Laos.  The Mid Term Review of the PRFII added to our understanding of the matter, and confirmed that Australia’s risk mitigation approach was robust.  Further effort was made in reviewing QAIs for all major aid investments in respect to social safeguards (including re-settlement).  </w:t>
            </w:r>
            <w:r w:rsidR="00F46132" w:rsidRPr="00EF494A">
              <w:t>An independent p</w:t>
            </w:r>
            <w:r w:rsidRPr="00EF494A">
              <w:t xml:space="preserve">ortfolio-wide </w:t>
            </w:r>
            <w:r w:rsidR="00F46132" w:rsidRPr="00EF494A">
              <w:t>analysis has not yet been commissioned.</w:t>
            </w:r>
          </w:p>
        </w:tc>
      </w:tr>
      <w:tr w:rsidR="000D733F" w:rsidRPr="00EF494A" w:rsidTr="00F46132">
        <w:trPr>
          <w:cnfStyle w:val="000000010000" w:firstRow="0" w:lastRow="0" w:firstColumn="0" w:lastColumn="0" w:oddVBand="0" w:evenVBand="0" w:oddHBand="0" w:evenHBand="1" w:firstRowFirstColumn="0" w:firstRowLastColumn="0" w:lastRowFirstColumn="0" w:lastRowLastColumn="0"/>
        </w:trPr>
        <w:tc>
          <w:tcPr>
            <w:tcW w:w="6473" w:type="dxa"/>
          </w:tcPr>
          <w:p w:rsidR="000D733F" w:rsidRPr="00EF494A" w:rsidRDefault="00966D28" w:rsidP="000D733F">
            <w:pPr>
              <w:pStyle w:val="TableTextEntries"/>
            </w:pPr>
            <w:r w:rsidRPr="00EF494A">
              <w:t>Intensify engagement with the World Bank at senior levels to minimise the risk of delays in funding disbursements from trust funds.  Actively move away from using trust funds for future investments to mitigate risk of delay for future programs.</w:t>
            </w:r>
          </w:p>
        </w:tc>
        <w:tc>
          <w:tcPr>
            <w:tcW w:w="964" w:type="dxa"/>
            <w:shd w:val="clear" w:color="auto" w:fill="00B050"/>
          </w:tcPr>
          <w:p w:rsidR="000D733F" w:rsidRPr="00EF494A" w:rsidRDefault="00F46132" w:rsidP="000D733F">
            <w:pPr>
              <w:pStyle w:val="TableTextEntries"/>
              <w:jc w:val="center"/>
              <w:rPr>
                <w:color w:val="FFFFFF" w:themeColor="background1"/>
              </w:rPr>
            </w:pPr>
            <w:r w:rsidRPr="00EF494A">
              <w:rPr>
                <w:color w:val="FFFFFF" w:themeColor="background1"/>
              </w:rPr>
              <w:t>Achieved</w:t>
            </w:r>
          </w:p>
        </w:tc>
        <w:tc>
          <w:tcPr>
            <w:tcW w:w="6896" w:type="dxa"/>
          </w:tcPr>
          <w:p w:rsidR="000D733F" w:rsidRPr="00EF494A" w:rsidRDefault="00F46132" w:rsidP="000D733F">
            <w:pPr>
              <w:pStyle w:val="TableTextEntries"/>
            </w:pPr>
            <w:r w:rsidRPr="00EF494A">
              <w:t xml:space="preserve">Counsellor has engaged in intense policy dialogue with senior World Bank officials in respect to the use of trust funds, including pushing for greater efficiency in their use.  </w:t>
            </w:r>
            <w:r w:rsidR="001466EE" w:rsidRPr="00EF494A">
              <w:t>As a result</w:t>
            </w:r>
            <w:r w:rsidR="001466EE">
              <w:t>,</w:t>
            </w:r>
            <w:r w:rsidR="001466EE" w:rsidRPr="00EF494A">
              <w:t xml:space="preserve"> the World Bank in Laos has move</w:t>
            </w:r>
            <w:r w:rsidR="001466EE">
              <w:t>d to create a single trust fund</w:t>
            </w:r>
            <w:r w:rsidR="001466EE" w:rsidRPr="00EF494A">
              <w:t xml:space="preserve"> for all aid activities in Laos.</w:t>
            </w:r>
          </w:p>
        </w:tc>
      </w:tr>
      <w:tr w:rsidR="00966D28" w:rsidRPr="00EF494A" w:rsidTr="00F46132">
        <w:trPr>
          <w:cnfStyle w:val="000000010000" w:firstRow="0" w:lastRow="0" w:firstColumn="0" w:lastColumn="0" w:oddVBand="0" w:evenVBand="0" w:oddHBand="0" w:evenHBand="1" w:firstRowFirstColumn="0" w:firstRowLastColumn="0" w:lastRowFirstColumn="0" w:lastRowLastColumn="0"/>
        </w:trPr>
        <w:tc>
          <w:tcPr>
            <w:tcW w:w="6473" w:type="dxa"/>
          </w:tcPr>
          <w:p w:rsidR="00966D28" w:rsidRPr="00EF494A" w:rsidRDefault="00966D28" w:rsidP="00966D28">
            <w:pPr>
              <w:pStyle w:val="TableTextEntries"/>
            </w:pPr>
            <w:r w:rsidRPr="00EF494A">
              <w:t>Work at establishing direct relationships with non-OECD donors in Laos.</w:t>
            </w:r>
          </w:p>
        </w:tc>
        <w:tc>
          <w:tcPr>
            <w:tcW w:w="964" w:type="dxa"/>
            <w:shd w:val="clear" w:color="auto" w:fill="00B050"/>
          </w:tcPr>
          <w:p w:rsidR="00966D28" w:rsidRPr="00EF494A" w:rsidRDefault="00F46132" w:rsidP="00966D28">
            <w:pPr>
              <w:pStyle w:val="TableTextEntries"/>
              <w:rPr>
                <w:color w:val="FFFFFF" w:themeColor="background1"/>
              </w:rPr>
            </w:pPr>
            <w:r w:rsidRPr="00EF494A">
              <w:rPr>
                <w:color w:val="FFFFFF" w:themeColor="background1"/>
              </w:rPr>
              <w:t>A</w:t>
            </w:r>
            <w:r w:rsidR="00966D28" w:rsidRPr="00EF494A">
              <w:rPr>
                <w:color w:val="FFFFFF" w:themeColor="background1"/>
              </w:rPr>
              <w:t>chieved</w:t>
            </w:r>
          </w:p>
        </w:tc>
        <w:tc>
          <w:tcPr>
            <w:tcW w:w="6896" w:type="dxa"/>
          </w:tcPr>
          <w:p w:rsidR="00966D28" w:rsidRPr="00EF494A" w:rsidRDefault="00F46132" w:rsidP="00966D28">
            <w:pPr>
              <w:pStyle w:val="TableTextEntries"/>
            </w:pPr>
            <w:r w:rsidRPr="00EF494A">
              <w:t>HOM and Counsellor have continued to engage in dialogue with non-OECD donors in Laos, through the Round Table Process and bilaterally.  This engagement will continue in 2014-15.</w:t>
            </w:r>
          </w:p>
        </w:tc>
      </w:tr>
      <w:tr w:rsidR="000D733F" w:rsidRPr="00EF494A" w:rsidTr="00734E7F">
        <w:trPr>
          <w:cnfStyle w:val="000000010000" w:firstRow="0" w:lastRow="0" w:firstColumn="0" w:lastColumn="0" w:oddVBand="0" w:evenVBand="0" w:oddHBand="0" w:evenHBand="1" w:firstRowFirstColumn="0" w:firstRowLastColumn="0" w:lastRowFirstColumn="0" w:lastRowLastColumn="0"/>
        </w:trPr>
        <w:tc>
          <w:tcPr>
            <w:tcW w:w="6473" w:type="dxa"/>
          </w:tcPr>
          <w:p w:rsidR="000D733F" w:rsidRPr="00EF494A" w:rsidRDefault="00966D28" w:rsidP="00237207">
            <w:pPr>
              <w:pStyle w:val="TableTextEntries"/>
            </w:pPr>
            <w:r w:rsidRPr="00EF494A">
              <w:t>Continue to proactively broaden and deepen the skills of aid delivery staff to manage contractors, policy influencing and monitoring and evaluation</w:t>
            </w:r>
          </w:p>
        </w:tc>
        <w:tc>
          <w:tcPr>
            <w:tcW w:w="964" w:type="dxa"/>
            <w:shd w:val="clear" w:color="auto" w:fill="00B050"/>
          </w:tcPr>
          <w:p w:rsidR="000D733F" w:rsidRPr="00EF494A" w:rsidRDefault="00734E7F" w:rsidP="00946700">
            <w:pPr>
              <w:pStyle w:val="TableTextEntries"/>
              <w:rPr>
                <w:color w:val="FFFFFF" w:themeColor="background1"/>
              </w:rPr>
            </w:pPr>
            <w:r w:rsidRPr="00EF494A">
              <w:rPr>
                <w:color w:val="FFFFFF" w:themeColor="background1"/>
              </w:rPr>
              <w:t>A</w:t>
            </w:r>
            <w:r w:rsidR="00946700" w:rsidRPr="00EF494A">
              <w:rPr>
                <w:color w:val="FFFFFF" w:themeColor="background1"/>
              </w:rPr>
              <w:t>chieved</w:t>
            </w:r>
          </w:p>
        </w:tc>
        <w:tc>
          <w:tcPr>
            <w:tcW w:w="6896" w:type="dxa"/>
          </w:tcPr>
          <w:p w:rsidR="000D733F" w:rsidRPr="00EF494A" w:rsidRDefault="00734E7F" w:rsidP="000D733F">
            <w:pPr>
              <w:pStyle w:val="TableTextEntries"/>
            </w:pPr>
            <w:r w:rsidRPr="00EF494A">
              <w:t>Intensive and well-targeted training has been provided to build the capacity of aid delivery staff in managing contractor, policy influencing and monitoring and evaluation (including awareness of social safeguards).  Training will need to continue, particular</w:t>
            </w:r>
            <w:r w:rsidR="00B86B4B">
              <w:t>ly</w:t>
            </w:r>
            <w:r w:rsidRPr="00EF494A">
              <w:t xml:space="preserve"> given </w:t>
            </w:r>
            <w:r w:rsidR="00B86B4B">
              <w:t xml:space="preserve">the </w:t>
            </w:r>
            <w:r w:rsidRPr="00EF494A">
              <w:t>high number of new staff.</w:t>
            </w:r>
          </w:p>
        </w:tc>
      </w:tr>
    </w:tbl>
    <w:p w:rsidR="000D733F" w:rsidRPr="00EF494A" w:rsidRDefault="000D733F" w:rsidP="000D733F">
      <w:pPr>
        <w:pStyle w:val="Note"/>
      </w:pPr>
      <w:r w:rsidRPr="00EF494A">
        <w:t xml:space="preserve">Note: </w:t>
      </w:r>
    </w:p>
    <w:p w:rsidR="000D733F" w:rsidRPr="00EF494A" w:rsidRDefault="000D733F" w:rsidP="000D733F">
      <w:pPr>
        <w:pStyle w:val="Note"/>
      </w:pPr>
      <w:r w:rsidRPr="00EF494A">
        <w:rPr>
          <w:color w:val="72AF2F"/>
        </w:rPr>
        <w:sym w:font="Webdings" w:char="F067"/>
      </w:r>
      <w:r w:rsidRPr="00EF494A">
        <w:t> </w:t>
      </w:r>
      <w:r w:rsidRPr="00EF494A">
        <w:t xml:space="preserve"> Achieved.  Significant progress has been made in addressing the issue </w:t>
      </w:r>
    </w:p>
    <w:p w:rsidR="000D733F" w:rsidRPr="00EF494A" w:rsidRDefault="000D733F" w:rsidP="000D733F">
      <w:pPr>
        <w:pStyle w:val="Note"/>
      </w:pPr>
      <w:r w:rsidRPr="00EF494A">
        <w:rPr>
          <w:color w:val="E36C0A"/>
        </w:rPr>
        <w:sym w:font="Webdings" w:char="F067"/>
      </w:r>
      <w:r w:rsidRPr="00EF494A">
        <w:t> </w:t>
      </w:r>
      <w:r w:rsidRPr="00EF494A">
        <w:t xml:space="preserve"> Partly achieved.  Some progress has been made in addressing the issue, but the issue has not been resolved </w:t>
      </w:r>
    </w:p>
    <w:p w:rsidR="000D733F" w:rsidRPr="00EF494A" w:rsidRDefault="000D733F" w:rsidP="000D733F">
      <w:pPr>
        <w:pStyle w:val="Note"/>
      </w:pPr>
      <w:r w:rsidRPr="00EF494A">
        <w:rPr>
          <w:color w:val="FF0000"/>
        </w:rPr>
        <w:sym w:font="Webdings" w:char="F067"/>
      </w:r>
      <w:r w:rsidRPr="00EF494A">
        <w:t> </w:t>
      </w:r>
      <w:r w:rsidRPr="00EF494A">
        <w:t xml:space="preserve"> Not achieved. Progress in addressing the issue has been significantly below expectations</w:t>
      </w:r>
    </w:p>
    <w:p w:rsidR="000D733F" w:rsidRPr="00EF494A" w:rsidRDefault="000D733F" w:rsidP="000D733F">
      <w:pPr>
        <w:spacing w:after="200" w:line="276" w:lineRule="auto"/>
        <w:rPr>
          <w:rFonts w:ascii="Franklin Gothic Book" w:hAnsi="Franklin Gothic Book"/>
          <w:sz w:val="21"/>
        </w:rPr>
      </w:pPr>
      <w:r w:rsidRPr="00EF494A">
        <w:br w:type="page"/>
      </w:r>
    </w:p>
    <w:p w:rsidR="00230523" w:rsidRPr="00EF494A" w:rsidRDefault="00230523" w:rsidP="00230523">
      <w:pPr>
        <w:pStyle w:val="BodyText"/>
        <w:sectPr w:rsidR="00230523" w:rsidRPr="00EF494A" w:rsidSect="00E02595">
          <w:headerReference w:type="even" r:id="rId18"/>
          <w:footerReference w:type="first" r:id="rId19"/>
          <w:pgSz w:w="16838" w:h="11906" w:orient="landscape" w:code="9"/>
          <w:pgMar w:top="1814" w:right="1814" w:bottom="851" w:left="851" w:header="709" w:footer="425" w:gutter="0"/>
          <w:cols w:space="708"/>
          <w:docGrid w:linePitch="360"/>
        </w:sectPr>
      </w:pPr>
    </w:p>
    <w:p w:rsidR="00A85871" w:rsidRPr="00EF494A" w:rsidRDefault="00A85871" w:rsidP="00A85871">
      <w:pPr>
        <w:pStyle w:val="Heading1"/>
        <w:ind w:left="-142"/>
      </w:pPr>
      <w:r w:rsidRPr="00EF494A">
        <w:lastRenderedPageBreak/>
        <w:t xml:space="preserve">Annex </w:t>
      </w:r>
      <w:r w:rsidR="00372213" w:rsidRPr="00EF494A">
        <w:t>C</w:t>
      </w:r>
    </w:p>
    <w:p w:rsidR="00A85871" w:rsidRPr="00EF494A" w:rsidRDefault="00A85871" w:rsidP="00A85871">
      <w:pPr>
        <w:pStyle w:val="Heading2"/>
        <w:tabs>
          <w:tab w:val="left" w:pos="1560"/>
        </w:tabs>
        <w:rPr>
          <w:rFonts w:ascii="Franklin Gothic Book" w:hAnsi="Franklin Gothic Book" w:cs="Times New Roman"/>
          <w:iCs/>
          <w:color w:val="auto"/>
          <w:kern w:val="0"/>
          <w:sz w:val="17"/>
          <w:szCs w:val="17"/>
          <w:lang w:eastAsia="en-US"/>
        </w:rPr>
      </w:pPr>
      <w:r w:rsidRPr="00EF494A">
        <w:rPr>
          <w:sz w:val="28"/>
        </w:rPr>
        <w:t>Evaluation and Review Pipeline Planning</w:t>
      </w:r>
    </w:p>
    <w:p w:rsidR="00A85871" w:rsidRPr="00EF494A" w:rsidRDefault="00A85871" w:rsidP="00A85871">
      <w:pPr>
        <w:keepNext/>
        <w:spacing w:before="80" w:after="80" w:line="280" w:lineRule="atLeast"/>
        <w:ind w:left="-142"/>
        <w:rPr>
          <w:rFonts w:ascii="Franklin Gothic Book" w:eastAsia="Times New Roman" w:hAnsi="Franklin Gothic Book" w:cs="Arial"/>
          <w:color w:val="808080" w:themeColor="background1" w:themeShade="80"/>
          <w:szCs w:val="19"/>
        </w:rPr>
      </w:pPr>
      <w:r w:rsidRPr="00EF494A">
        <w:rPr>
          <w:rFonts w:ascii="Franklin Gothic Book" w:eastAsia="Times New Roman" w:hAnsi="Franklin Gothic Book" w:cs="Arial"/>
          <w:color w:val="808080" w:themeColor="background1" w:themeShade="80"/>
          <w:szCs w:val="19"/>
        </w:rPr>
        <w:t>Table 1: List of Evaluations, Reviews completed in the reporting period (Jan 2012 – September 2014)</w:t>
      </w:r>
    </w:p>
    <w:tbl>
      <w:tblPr>
        <w:tblStyle w:val="APPR1"/>
        <w:tblW w:w="0" w:type="auto"/>
        <w:tblLook w:val="04A0" w:firstRow="1" w:lastRow="0" w:firstColumn="1" w:lastColumn="0" w:noHBand="0" w:noVBand="1"/>
      </w:tblPr>
      <w:tblGrid>
        <w:gridCol w:w="1796"/>
        <w:gridCol w:w="1105"/>
        <w:gridCol w:w="1604"/>
        <w:gridCol w:w="1119"/>
        <w:gridCol w:w="1321"/>
        <w:gridCol w:w="1402"/>
        <w:gridCol w:w="1166"/>
      </w:tblGrid>
      <w:tr w:rsidR="00A85871" w:rsidRPr="00EF494A" w:rsidTr="00A25BF3">
        <w:trPr>
          <w:cnfStyle w:val="100000000000" w:firstRow="1" w:lastRow="0" w:firstColumn="0" w:lastColumn="0" w:oddVBand="0" w:evenVBand="0" w:oddHBand="0" w:evenHBand="0" w:firstRowFirstColumn="0" w:firstRowLastColumn="0" w:lastRowFirstColumn="0" w:lastRowLastColumn="0"/>
        </w:trPr>
        <w:tc>
          <w:tcPr>
            <w:tcW w:w="2929" w:type="dxa"/>
            <w:tcBorders>
              <w:top w:val="single" w:sz="12" w:space="0" w:color="000000" w:themeColor="text1"/>
              <w:bottom w:val="single" w:sz="4" w:space="0" w:color="auto"/>
            </w:tcBorders>
          </w:tcPr>
          <w:p w:rsidR="00A85871" w:rsidRPr="00EF494A" w:rsidRDefault="00A85871" w:rsidP="00A25BF3">
            <w:pPr>
              <w:keepLines/>
              <w:spacing w:before="80" w:after="80" w:line="200" w:lineRule="atLeast"/>
              <w:rPr>
                <w:rFonts w:ascii="Franklin Gothic Medium" w:eastAsia="Times New Roman" w:hAnsi="Franklin Gothic Medium"/>
                <w:sz w:val="17"/>
                <w:szCs w:val="17"/>
                <w:lang w:eastAsia="en-US"/>
              </w:rPr>
            </w:pPr>
            <w:r w:rsidRPr="00EF494A">
              <w:rPr>
                <w:rFonts w:ascii="Franklin Gothic Medium" w:eastAsia="Times New Roman" w:hAnsi="Franklin Gothic Medium"/>
                <w:sz w:val="17"/>
                <w:szCs w:val="17"/>
                <w:lang w:eastAsia="en-US"/>
              </w:rPr>
              <w:t>Name of Initiative</w:t>
            </w:r>
          </w:p>
        </w:tc>
        <w:tc>
          <w:tcPr>
            <w:tcW w:w="1463" w:type="dxa"/>
            <w:tcBorders>
              <w:top w:val="single" w:sz="12" w:space="0" w:color="000000" w:themeColor="text1"/>
              <w:bottom w:val="single" w:sz="4" w:space="0" w:color="auto"/>
            </w:tcBorders>
          </w:tcPr>
          <w:p w:rsidR="00A85871" w:rsidRPr="00EF494A" w:rsidRDefault="00A85871" w:rsidP="00A25BF3">
            <w:pPr>
              <w:keepLines/>
              <w:spacing w:before="80" w:after="80" w:line="200" w:lineRule="atLeast"/>
              <w:rPr>
                <w:rFonts w:ascii="Franklin Gothic Medium" w:eastAsia="Times New Roman" w:hAnsi="Franklin Gothic Medium"/>
                <w:sz w:val="17"/>
                <w:szCs w:val="17"/>
                <w:lang w:eastAsia="en-US"/>
              </w:rPr>
            </w:pPr>
            <w:r w:rsidRPr="00EF494A">
              <w:rPr>
                <w:rFonts w:ascii="Franklin Gothic Medium" w:eastAsia="Times New Roman" w:hAnsi="Franklin Gothic Medium"/>
                <w:sz w:val="17"/>
                <w:szCs w:val="17"/>
                <w:lang w:eastAsia="en-US"/>
              </w:rPr>
              <w:t>Aidworks number</w:t>
            </w:r>
          </w:p>
        </w:tc>
        <w:tc>
          <w:tcPr>
            <w:tcW w:w="2031" w:type="dxa"/>
            <w:tcBorders>
              <w:top w:val="single" w:sz="12" w:space="0" w:color="000000" w:themeColor="text1"/>
              <w:bottom w:val="single" w:sz="4" w:space="0" w:color="auto"/>
            </w:tcBorders>
          </w:tcPr>
          <w:p w:rsidR="00A85871" w:rsidRPr="00EF494A" w:rsidRDefault="00A85871" w:rsidP="00A25BF3">
            <w:pPr>
              <w:keepLines/>
              <w:spacing w:before="80" w:after="80" w:line="200" w:lineRule="atLeast"/>
              <w:rPr>
                <w:rFonts w:ascii="Franklin Gothic Medium" w:eastAsia="Times New Roman" w:hAnsi="Franklin Gothic Medium"/>
                <w:sz w:val="17"/>
                <w:szCs w:val="17"/>
                <w:lang w:eastAsia="en-US"/>
              </w:rPr>
            </w:pPr>
            <w:r w:rsidRPr="00EF494A">
              <w:rPr>
                <w:rFonts w:ascii="Franklin Gothic Medium" w:eastAsia="Times New Roman" w:hAnsi="Franklin Gothic Medium"/>
                <w:sz w:val="17"/>
                <w:szCs w:val="17"/>
                <w:lang w:eastAsia="en-US"/>
              </w:rPr>
              <w:t>Name of evaluation</w:t>
            </w:r>
          </w:p>
        </w:tc>
        <w:tc>
          <w:tcPr>
            <w:tcW w:w="1598" w:type="dxa"/>
            <w:tcBorders>
              <w:top w:val="single" w:sz="12" w:space="0" w:color="000000" w:themeColor="text1"/>
              <w:bottom w:val="single" w:sz="4" w:space="0" w:color="auto"/>
            </w:tcBorders>
          </w:tcPr>
          <w:p w:rsidR="00A85871" w:rsidRPr="00EF494A" w:rsidRDefault="00A85871" w:rsidP="00A25BF3">
            <w:pPr>
              <w:keepLines/>
              <w:spacing w:before="80" w:after="80" w:line="200" w:lineRule="atLeast"/>
              <w:rPr>
                <w:rFonts w:ascii="Franklin Gothic Medium" w:eastAsia="Times New Roman" w:hAnsi="Franklin Gothic Medium"/>
                <w:sz w:val="17"/>
                <w:szCs w:val="17"/>
                <w:lang w:eastAsia="en-US"/>
              </w:rPr>
            </w:pPr>
            <w:r w:rsidRPr="00EF494A">
              <w:rPr>
                <w:rFonts w:ascii="Franklin Gothic Medium" w:eastAsia="Times New Roman" w:hAnsi="Franklin Gothic Medium"/>
                <w:sz w:val="17"/>
                <w:szCs w:val="17"/>
                <w:lang w:eastAsia="en-US"/>
              </w:rPr>
              <w:t>Date finalised</w:t>
            </w:r>
          </w:p>
        </w:tc>
        <w:tc>
          <w:tcPr>
            <w:tcW w:w="1921" w:type="dxa"/>
            <w:tcBorders>
              <w:top w:val="single" w:sz="12" w:space="0" w:color="000000" w:themeColor="text1"/>
              <w:bottom w:val="single" w:sz="4" w:space="0" w:color="auto"/>
            </w:tcBorders>
          </w:tcPr>
          <w:p w:rsidR="00A85871" w:rsidRPr="00EF494A" w:rsidRDefault="00A85871" w:rsidP="00A25BF3">
            <w:pPr>
              <w:keepLines/>
              <w:spacing w:before="80" w:after="80" w:line="200" w:lineRule="atLeast"/>
              <w:rPr>
                <w:rFonts w:ascii="Franklin Gothic Medium" w:eastAsia="Times New Roman" w:hAnsi="Franklin Gothic Medium"/>
                <w:sz w:val="17"/>
                <w:szCs w:val="17"/>
                <w:lang w:eastAsia="en-US"/>
              </w:rPr>
            </w:pPr>
            <w:r w:rsidRPr="00EF494A">
              <w:rPr>
                <w:rFonts w:ascii="Franklin Gothic Medium" w:eastAsia="Times New Roman" w:hAnsi="Franklin Gothic Medium"/>
                <w:sz w:val="17"/>
                <w:szCs w:val="17"/>
                <w:lang w:eastAsia="en-US"/>
              </w:rPr>
              <w:t>Date Evaluation report Uploaded into Aidworks</w:t>
            </w:r>
          </w:p>
        </w:tc>
        <w:tc>
          <w:tcPr>
            <w:tcW w:w="1743" w:type="dxa"/>
            <w:tcBorders>
              <w:top w:val="single" w:sz="12" w:space="0" w:color="000000" w:themeColor="text1"/>
              <w:bottom w:val="single" w:sz="4" w:space="0" w:color="auto"/>
            </w:tcBorders>
          </w:tcPr>
          <w:p w:rsidR="00A85871" w:rsidRPr="00EF494A" w:rsidRDefault="00A85871" w:rsidP="00A25BF3">
            <w:pPr>
              <w:keepLines/>
              <w:spacing w:before="80" w:after="80" w:line="200" w:lineRule="atLeast"/>
              <w:rPr>
                <w:rFonts w:ascii="Franklin Gothic Medium" w:eastAsia="Times New Roman" w:hAnsi="Franklin Gothic Medium"/>
                <w:sz w:val="17"/>
                <w:szCs w:val="17"/>
                <w:lang w:eastAsia="en-US"/>
              </w:rPr>
            </w:pPr>
            <w:r w:rsidRPr="00EF494A">
              <w:rPr>
                <w:rFonts w:ascii="Franklin Gothic Medium" w:eastAsia="Times New Roman" w:hAnsi="Franklin Gothic Medium"/>
                <w:sz w:val="17"/>
                <w:szCs w:val="17"/>
                <w:lang w:eastAsia="en-US"/>
              </w:rPr>
              <w:t>Date Management response uploaded into Aidworks</w:t>
            </w:r>
          </w:p>
        </w:tc>
        <w:tc>
          <w:tcPr>
            <w:tcW w:w="1503" w:type="dxa"/>
            <w:tcBorders>
              <w:top w:val="single" w:sz="12" w:space="0" w:color="000000" w:themeColor="text1"/>
              <w:bottom w:val="single" w:sz="4" w:space="0" w:color="auto"/>
            </w:tcBorders>
          </w:tcPr>
          <w:p w:rsidR="00A85871" w:rsidRPr="00EF494A" w:rsidRDefault="00A85871" w:rsidP="00A25BF3">
            <w:pPr>
              <w:keepLines/>
              <w:spacing w:before="80" w:after="80" w:line="200" w:lineRule="atLeast"/>
              <w:rPr>
                <w:rFonts w:ascii="Franklin Gothic Medium" w:eastAsia="Times New Roman" w:hAnsi="Franklin Gothic Medium"/>
                <w:sz w:val="17"/>
                <w:szCs w:val="17"/>
                <w:lang w:eastAsia="en-US"/>
              </w:rPr>
            </w:pPr>
            <w:r w:rsidRPr="00EF494A">
              <w:rPr>
                <w:rFonts w:ascii="Franklin Gothic Medium" w:eastAsia="Times New Roman" w:hAnsi="Franklin Gothic Medium"/>
                <w:sz w:val="17"/>
                <w:szCs w:val="17"/>
                <w:lang w:eastAsia="en-US"/>
              </w:rPr>
              <w:t>Published on website</w:t>
            </w:r>
          </w:p>
        </w:tc>
      </w:tr>
      <w:tr w:rsidR="00A85871" w:rsidRPr="00EF494A" w:rsidTr="00A25BF3">
        <w:trPr>
          <w:cnfStyle w:val="100000000000" w:firstRow="1" w:lastRow="0" w:firstColumn="0" w:lastColumn="0" w:oddVBand="0" w:evenVBand="0" w:oddHBand="0" w:evenHBand="0" w:firstRowFirstColumn="0" w:firstRowLastColumn="0" w:lastRowFirstColumn="0" w:lastRowLastColumn="0"/>
        </w:trPr>
        <w:tc>
          <w:tcPr>
            <w:tcW w:w="2929" w:type="dxa"/>
          </w:tcPr>
          <w:p w:rsidR="00A85871" w:rsidRPr="00EF494A" w:rsidRDefault="00A85871" w:rsidP="00A25BF3">
            <w:pPr>
              <w:keepLines/>
              <w:spacing w:before="40" w:after="40" w:line="200" w:lineRule="atLeast"/>
              <w:rPr>
                <w:rFonts w:ascii="Franklin Gothic Book" w:eastAsia="Times New Roman" w:hAnsi="Franklin Gothic Book"/>
                <w:b w:val="0"/>
                <w:sz w:val="17"/>
                <w:szCs w:val="17"/>
                <w:lang w:eastAsia="en-US"/>
              </w:rPr>
            </w:pPr>
            <w:r w:rsidRPr="00EF494A">
              <w:rPr>
                <w:rFonts w:ascii="Franklin Gothic Book" w:eastAsia="Times New Roman" w:hAnsi="Franklin Gothic Book"/>
                <w:b w:val="0"/>
                <w:sz w:val="17"/>
                <w:szCs w:val="17"/>
                <w:lang w:eastAsia="en-US"/>
              </w:rPr>
              <w:t>Delivering Better Education in Laos</w:t>
            </w:r>
          </w:p>
        </w:tc>
        <w:tc>
          <w:tcPr>
            <w:tcW w:w="1463" w:type="dxa"/>
          </w:tcPr>
          <w:p w:rsidR="00A85871" w:rsidRPr="00EF494A" w:rsidRDefault="00A85871" w:rsidP="00A25BF3">
            <w:pPr>
              <w:keepLines/>
              <w:spacing w:before="40" w:after="40" w:line="200" w:lineRule="atLeast"/>
              <w:rPr>
                <w:rFonts w:ascii="Franklin Gothic Book" w:eastAsia="Times New Roman" w:hAnsi="Franklin Gothic Book"/>
                <w:b w:val="0"/>
                <w:sz w:val="17"/>
                <w:szCs w:val="17"/>
                <w:lang w:eastAsia="en-US"/>
              </w:rPr>
            </w:pPr>
            <w:r w:rsidRPr="00EF494A">
              <w:rPr>
                <w:rFonts w:ascii="Franklin Gothic Book" w:eastAsia="Times New Roman" w:hAnsi="Franklin Gothic Book"/>
                <w:b w:val="0"/>
                <w:sz w:val="17"/>
                <w:szCs w:val="17"/>
                <w:lang w:eastAsia="en-US"/>
              </w:rPr>
              <w:t>INH 412</w:t>
            </w:r>
          </w:p>
        </w:tc>
        <w:tc>
          <w:tcPr>
            <w:tcW w:w="2031" w:type="dxa"/>
          </w:tcPr>
          <w:p w:rsidR="00A85871" w:rsidRPr="00EF494A" w:rsidRDefault="00A85871" w:rsidP="00A25BF3">
            <w:pPr>
              <w:keepLines/>
              <w:spacing w:before="40" w:after="40" w:line="200" w:lineRule="atLeast"/>
              <w:rPr>
                <w:rFonts w:ascii="Franklin Gothic Book" w:eastAsia="Times New Roman" w:hAnsi="Franklin Gothic Book"/>
                <w:b w:val="0"/>
                <w:sz w:val="17"/>
                <w:szCs w:val="17"/>
                <w:lang w:eastAsia="en-US"/>
              </w:rPr>
            </w:pPr>
            <w:r w:rsidRPr="00EF494A">
              <w:rPr>
                <w:rFonts w:ascii="Franklin Gothic Book" w:eastAsia="Times New Roman" w:hAnsi="Franklin Gothic Book"/>
                <w:b w:val="0"/>
                <w:sz w:val="17"/>
                <w:szCs w:val="17"/>
                <w:lang w:eastAsia="en-US"/>
              </w:rPr>
              <w:t>Final evaluation of School of Quality Pilot Project</w:t>
            </w:r>
          </w:p>
        </w:tc>
        <w:tc>
          <w:tcPr>
            <w:tcW w:w="1598" w:type="dxa"/>
          </w:tcPr>
          <w:p w:rsidR="00A85871" w:rsidRPr="00EF494A" w:rsidRDefault="00A85871" w:rsidP="00A25BF3">
            <w:pPr>
              <w:keepLines/>
              <w:spacing w:before="40" w:after="40" w:line="200" w:lineRule="atLeast"/>
              <w:rPr>
                <w:rFonts w:ascii="Franklin Gothic Book" w:eastAsia="Times New Roman" w:hAnsi="Franklin Gothic Book"/>
                <w:b w:val="0"/>
                <w:sz w:val="17"/>
                <w:szCs w:val="17"/>
                <w:lang w:eastAsia="en-US"/>
              </w:rPr>
            </w:pPr>
            <w:r w:rsidRPr="00EF494A">
              <w:rPr>
                <w:rFonts w:ascii="Franklin Gothic Book" w:eastAsia="Times New Roman" w:hAnsi="Franklin Gothic Book"/>
                <w:b w:val="0"/>
                <w:sz w:val="17"/>
                <w:szCs w:val="17"/>
                <w:lang w:eastAsia="en-US"/>
              </w:rPr>
              <w:t>Sep 2013</w:t>
            </w:r>
          </w:p>
        </w:tc>
        <w:tc>
          <w:tcPr>
            <w:tcW w:w="1921" w:type="dxa"/>
          </w:tcPr>
          <w:p w:rsidR="00A85871" w:rsidRPr="00EF494A" w:rsidRDefault="00A85871" w:rsidP="00A25BF3">
            <w:pPr>
              <w:keepLines/>
              <w:spacing w:before="40" w:after="40" w:line="200" w:lineRule="atLeast"/>
              <w:rPr>
                <w:rFonts w:ascii="Franklin Gothic Book" w:eastAsia="Times New Roman" w:hAnsi="Franklin Gothic Book"/>
                <w:b w:val="0"/>
                <w:sz w:val="17"/>
                <w:szCs w:val="17"/>
                <w:lang w:eastAsia="en-US"/>
              </w:rPr>
            </w:pPr>
            <w:r w:rsidRPr="00EF494A">
              <w:rPr>
                <w:rFonts w:ascii="Franklin Gothic Book" w:eastAsia="Times New Roman" w:hAnsi="Franklin Gothic Book"/>
                <w:b w:val="0"/>
                <w:sz w:val="17"/>
                <w:szCs w:val="17"/>
                <w:lang w:eastAsia="en-US"/>
              </w:rPr>
              <w:t>26 Feb  2013</w:t>
            </w:r>
          </w:p>
        </w:tc>
        <w:tc>
          <w:tcPr>
            <w:tcW w:w="1743" w:type="dxa"/>
          </w:tcPr>
          <w:p w:rsidR="00A85871" w:rsidRPr="00EF494A" w:rsidRDefault="00A85871" w:rsidP="00A25BF3">
            <w:pPr>
              <w:keepLines/>
              <w:spacing w:before="40" w:after="40" w:line="200" w:lineRule="atLeast"/>
              <w:rPr>
                <w:rFonts w:ascii="Franklin Gothic Book" w:eastAsia="Times New Roman" w:hAnsi="Franklin Gothic Book"/>
                <w:b w:val="0"/>
                <w:sz w:val="17"/>
                <w:szCs w:val="17"/>
                <w:lang w:eastAsia="en-US"/>
              </w:rPr>
            </w:pPr>
            <w:r w:rsidRPr="00EF494A">
              <w:rPr>
                <w:rFonts w:ascii="Franklin Gothic Book" w:eastAsia="Times New Roman" w:hAnsi="Franklin Gothic Book"/>
                <w:b w:val="0"/>
                <w:sz w:val="17"/>
                <w:szCs w:val="17"/>
                <w:lang w:eastAsia="en-US"/>
              </w:rPr>
              <w:t>N/A</w:t>
            </w:r>
          </w:p>
        </w:tc>
        <w:tc>
          <w:tcPr>
            <w:tcW w:w="1503" w:type="dxa"/>
          </w:tcPr>
          <w:p w:rsidR="00A85871" w:rsidRPr="00EF494A" w:rsidRDefault="00A85871" w:rsidP="00A25BF3">
            <w:pPr>
              <w:keepLines/>
              <w:spacing w:before="40" w:after="40" w:line="200" w:lineRule="atLeast"/>
              <w:rPr>
                <w:rFonts w:ascii="Franklin Gothic Book" w:eastAsia="Times New Roman" w:hAnsi="Franklin Gothic Book"/>
                <w:b w:val="0"/>
                <w:sz w:val="17"/>
                <w:szCs w:val="17"/>
                <w:lang w:eastAsia="en-US"/>
              </w:rPr>
            </w:pPr>
            <w:r w:rsidRPr="00EF494A">
              <w:rPr>
                <w:rFonts w:ascii="Franklin Gothic Book" w:eastAsia="Times New Roman" w:hAnsi="Franklin Gothic Book"/>
                <w:b w:val="0"/>
                <w:sz w:val="17"/>
                <w:szCs w:val="17"/>
                <w:lang w:eastAsia="en-US"/>
              </w:rPr>
              <w:t>No</w:t>
            </w:r>
          </w:p>
        </w:tc>
      </w:tr>
      <w:tr w:rsidR="00A85871" w:rsidRPr="00EF494A" w:rsidTr="00A25BF3">
        <w:trPr>
          <w:cnfStyle w:val="100000000000" w:firstRow="1" w:lastRow="0" w:firstColumn="0" w:lastColumn="0" w:oddVBand="0" w:evenVBand="0" w:oddHBand="0" w:evenHBand="0" w:firstRowFirstColumn="0" w:firstRowLastColumn="0" w:lastRowFirstColumn="0" w:lastRowLastColumn="0"/>
        </w:trPr>
        <w:tc>
          <w:tcPr>
            <w:tcW w:w="2929" w:type="dxa"/>
          </w:tcPr>
          <w:p w:rsidR="00A85871" w:rsidRPr="00EF494A" w:rsidRDefault="00A85871" w:rsidP="00A25BF3">
            <w:pPr>
              <w:keepLines/>
              <w:spacing w:before="40" w:after="40" w:line="200" w:lineRule="atLeast"/>
              <w:rPr>
                <w:rFonts w:ascii="Franklin Gothic Book" w:eastAsia="Times New Roman" w:hAnsi="Franklin Gothic Book"/>
                <w:b w:val="0"/>
                <w:sz w:val="17"/>
                <w:szCs w:val="17"/>
                <w:lang w:eastAsia="en-US"/>
              </w:rPr>
            </w:pPr>
            <w:r w:rsidRPr="00EF494A">
              <w:rPr>
                <w:rFonts w:ascii="Franklin Gothic Book" w:eastAsia="Times New Roman" w:hAnsi="Franklin Gothic Book"/>
                <w:b w:val="0"/>
                <w:sz w:val="17"/>
                <w:szCs w:val="17"/>
                <w:lang w:eastAsia="en-US"/>
              </w:rPr>
              <w:t>Trade Development Facility</w:t>
            </w:r>
          </w:p>
        </w:tc>
        <w:tc>
          <w:tcPr>
            <w:tcW w:w="1463" w:type="dxa"/>
          </w:tcPr>
          <w:p w:rsidR="00A85871" w:rsidRPr="00EF494A" w:rsidRDefault="00A85871" w:rsidP="00A25BF3">
            <w:pPr>
              <w:keepLines/>
              <w:spacing w:before="40" w:after="40" w:line="200" w:lineRule="atLeast"/>
              <w:rPr>
                <w:rFonts w:ascii="Franklin Gothic Book" w:eastAsia="Times New Roman" w:hAnsi="Franklin Gothic Book"/>
                <w:b w:val="0"/>
                <w:sz w:val="17"/>
                <w:szCs w:val="17"/>
                <w:lang w:eastAsia="en-US"/>
              </w:rPr>
            </w:pPr>
            <w:r w:rsidRPr="00EF494A">
              <w:rPr>
                <w:rFonts w:ascii="Franklin Gothic Book" w:eastAsia="Times New Roman" w:hAnsi="Franklin Gothic Book"/>
                <w:b w:val="0"/>
                <w:sz w:val="17"/>
                <w:szCs w:val="17"/>
                <w:lang w:eastAsia="en-US"/>
              </w:rPr>
              <w:t>INH726</w:t>
            </w:r>
          </w:p>
        </w:tc>
        <w:tc>
          <w:tcPr>
            <w:tcW w:w="2031" w:type="dxa"/>
          </w:tcPr>
          <w:p w:rsidR="00A85871" w:rsidRPr="00EF494A" w:rsidRDefault="00A85871" w:rsidP="00A25BF3">
            <w:pPr>
              <w:keepLines/>
              <w:spacing w:before="40" w:after="40" w:line="200" w:lineRule="atLeast"/>
              <w:rPr>
                <w:rFonts w:ascii="Franklin Gothic Book" w:eastAsia="Times New Roman" w:hAnsi="Franklin Gothic Book"/>
                <w:b w:val="0"/>
                <w:sz w:val="17"/>
                <w:szCs w:val="17"/>
                <w:lang w:eastAsia="en-US"/>
              </w:rPr>
            </w:pPr>
            <w:r w:rsidRPr="00EF494A">
              <w:rPr>
                <w:rFonts w:ascii="Franklin Gothic Book" w:eastAsia="Times New Roman" w:hAnsi="Franklin Gothic Book"/>
                <w:b w:val="0"/>
                <w:sz w:val="17"/>
                <w:szCs w:val="17"/>
                <w:lang w:eastAsia="en-US"/>
              </w:rPr>
              <w:t xml:space="preserve">Implementation Completion evaluation </w:t>
            </w:r>
          </w:p>
        </w:tc>
        <w:tc>
          <w:tcPr>
            <w:tcW w:w="1598" w:type="dxa"/>
          </w:tcPr>
          <w:p w:rsidR="00A85871" w:rsidRPr="00EF494A" w:rsidRDefault="00A85871" w:rsidP="00A25BF3">
            <w:pPr>
              <w:keepLines/>
              <w:spacing w:before="40" w:after="40" w:line="200" w:lineRule="atLeast"/>
              <w:rPr>
                <w:rFonts w:ascii="Franklin Gothic Book" w:eastAsia="Times New Roman" w:hAnsi="Franklin Gothic Book"/>
                <w:b w:val="0"/>
                <w:sz w:val="17"/>
                <w:szCs w:val="17"/>
                <w:lang w:eastAsia="en-US"/>
              </w:rPr>
            </w:pPr>
            <w:r w:rsidRPr="00EF494A">
              <w:rPr>
                <w:rFonts w:ascii="Franklin Gothic Book" w:eastAsia="Times New Roman" w:hAnsi="Franklin Gothic Book"/>
                <w:b w:val="0"/>
                <w:sz w:val="17"/>
                <w:szCs w:val="17"/>
                <w:lang w:eastAsia="en-US"/>
              </w:rPr>
              <w:t>Dec 2013</w:t>
            </w:r>
          </w:p>
        </w:tc>
        <w:tc>
          <w:tcPr>
            <w:tcW w:w="1921" w:type="dxa"/>
          </w:tcPr>
          <w:p w:rsidR="00A85871" w:rsidRPr="00EF494A" w:rsidRDefault="00A85871" w:rsidP="00A25BF3">
            <w:pPr>
              <w:keepLines/>
              <w:spacing w:before="40" w:after="40" w:line="200" w:lineRule="atLeast"/>
              <w:rPr>
                <w:rFonts w:ascii="Franklin Gothic Book" w:eastAsia="Times New Roman" w:hAnsi="Franklin Gothic Book"/>
                <w:b w:val="0"/>
                <w:sz w:val="17"/>
                <w:szCs w:val="17"/>
                <w:lang w:eastAsia="en-US"/>
              </w:rPr>
            </w:pPr>
            <w:r w:rsidRPr="00EF494A">
              <w:rPr>
                <w:rFonts w:ascii="Franklin Gothic Book" w:eastAsia="Times New Roman" w:hAnsi="Franklin Gothic Book"/>
                <w:b w:val="0"/>
                <w:sz w:val="17"/>
                <w:szCs w:val="17"/>
                <w:lang w:eastAsia="en-US"/>
              </w:rPr>
              <w:t>June 2014</w:t>
            </w:r>
          </w:p>
        </w:tc>
        <w:tc>
          <w:tcPr>
            <w:tcW w:w="1743" w:type="dxa"/>
          </w:tcPr>
          <w:p w:rsidR="00A85871" w:rsidRPr="00EF494A" w:rsidRDefault="00A85871" w:rsidP="00A25BF3">
            <w:pPr>
              <w:keepLines/>
              <w:spacing w:before="40" w:after="40" w:line="200" w:lineRule="atLeast"/>
              <w:rPr>
                <w:rFonts w:ascii="Franklin Gothic Book" w:eastAsia="Times New Roman" w:hAnsi="Franklin Gothic Book"/>
                <w:b w:val="0"/>
                <w:sz w:val="17"/>
                <w:szCs w:val="17"/>
                <w:lang w:eastAsia="en-US"/>
              </w:rPr>
            </w:pPr>
            <w:r w:rsidRPr="00EF494A">
              <w:rPr>
                <w:rFonts w:ascii="Franklin Gothic Book" w:eastAsia="Times New Roman" w:hAnsi="Franklin Gothic Book"/>
                <w:b w:val="0"/>
                <w:sz w:val="17"/>
                <w:szCs w:val="17"/>
                <w:lang w:eastAsia="en-US"/>
              </w:rPr>
              <w:t>N/A</w:t>
            </w:r>
          </w:p>
        </w:tc>
        <w:tc>
          <w:tcPr>
            <w:tcW w:w="1503" w:type="dxa"/>
          </w:tcPr>
          <w:p w:rsidR="00A85871" w:rsidRPr="00EF494A" w:rsidRDefault="00A85871" w:rsidP="00A25BF3">
            <w:pPr>
              <w:keepLines/>
              <w:spacing w:before="40" w:after="40" w:line="200" w:lineRule="atLeast"/>
              <w:rPr>
                <w:rFonts w:ascii="Franklin Gothic Book" w:eastAsia="Times New Roman" w:hAnsi="Franklin Gothic Book"/>
                <w:b w:val="0"/>
                <w:sz w:val="17"/>
                <w:szCs w:val="17"/>
                <w:lang w:eastAsia="en-US"/>
              </w:rPr>
            </w:pPr>
            <w:r w:rsidRPr="00EF494A">
              <w:rPr>
                <w:rFonts w:ascii="Franklin Gothic Book" w:eastAsia="Times New Roman" w:hAnsi="Franklin Gothic Book"/>
                <w:b w:val="0"/>
                <w:sz w:val="17"/>
                <w:szCs w:val="17"/>
                <w:lang w:eastAsia="en-US"/>
              </w:rPr>
              <w:t>Yes</w:t>
            </w:r>
          </w:p>
        </w:tc>
      </w:tr>
      <w:tr w:rsidR="00A85871" w:rsidRPr="00EF494A" w:rsidTr="00A25BF3">
        <w:trPr>
          <w:cnfStyle w:val="100000000000" w:firstRow="1" w:lastRow="0" w:firstColumn="0" w:lastColumn="0" w:oddVBand="0" w:evenVBand="0" w:oddHBand="0" w:evenHBand="0" w:firstRowFirstColumn="0" w:firstRowLastColumn="0" w:lastRowFirstColumn="0" w:lastRowLastColumn="0"/>
        </w:trPr>
        <w:tc>
          <w:tcPr>
            <w:tcW w:w="2929" w:type="dxa"/>
          </w:tcPr>
          <w:p w:rsidR="00A85871" w:rsidRPr="00EF494A" w:rsidRDefault="00A85871" w:rsidP="00A25BF3">
            <w:pPr>
              <w:keepLines/>
              <w:spacing w:before="40" w:after="40" w:line="200" w:lineRule="atLeast"/>
              <w:rPr>
                <w:rFonts w:ascii="Franklin Gothic Book" w:eastAsia="Times New Roman" w:hAnsi="Franklin Gothic Book"/>
                <w:b w:val="0"/>
                <w:sz w:val="17"/>
                <w:szCs w:val="17"/>
                <w:lang w:eastAsia="en-US"/>
              </w:rPr>
            </w:pPr>
            <w:r w:rsidRPr="00EF494A">
              <w:rPr>
                <w:rFonts w:ascii="Franklin Gothic Book" w:eastAsia="Times New Roman" w:hAnsi="Franklin Gothic Book"/>
                <w:b w:val="0"/>
                <w:sz w:val="17"/>
                <w:szCs w:val="17"/>
                <w:lang w:eastAsia="en-US"/>
              </w:rPr>
              <w:t>Food Security Risk &amp; Vulnerability Survey</w:t>
            </w:r>
          </w:p>
        </w:tc>
        <w:tc>
          <w:tcPr>
            <w:tcW w:w="1463" w:type="dxa"/>
          </w:tcPr>
          <w:p w:rsidR="00A85871" w:rsidRPr="00EF494A" w:rsidRDefault="00A85871" w:rsidP="00A25BF3">
            <w:pPr>
              <w:keepLines/>
              <w:spacing w:before="40" w:after="40" w:line="200" w:lineRule="atLeast"/>
              <w:rPr>
                <w:rFonts w:ascii="Franklin Gothic Book" w:eastAsia="Times New Roman" w:hAnsi="Franklin Gothic Book"/>
                <w:b w:val="0"/>
                <w:sz w:val="17"/>
                <w:szCs w:val="17"/>
                <w:lang w:eastAsia="en-US"/>
              </w:rPr>
            </w:pPr>
            <w:r w:rsidRPr="00EF494A">
              <w:rPr>
                <w:rFonts w:ascii="Franklin Gothic Book" w:eastAsia="Times New Roman" w:hAnsi="Franklin Gothic Book"/>
                <w:b w:val="0"/>
                <w:sz w:val="17"/>
                <w:szCs w:val="17"/>
                <w:lang w:eastAsia="en-US"/>
              </w:rPr>
              <w:t>INJ353</w:t>
            </w:r>
          </w:p>
        </w:tc>
        <w:tc>
          <w:tcPr>
            <w:tcW w:w="2031" w:type="dxa"/>
          </w:tcPr>
          <w:p w:rsidR="00A85871" w:rsidRPr="00EF494A" w:rsidRDefault="00A85871" w:rsidP="00A25BF3">
            <w:pPr>
              <w:keepLines/>
              <w:spacing w:before="40" w:after="40" w:line="200" w:lineRule="atLeast"/>
              <w:rPr>
                <w:rFonts w:ascii="Franklin Gothic Book" w:eastAsia="Times New Roman" w:hAnsi="Franklin Gothic Book"/>
                <w:b w:val="0"/>
                <w:sz w:val="17"/>
                <w:szCs w:val="17"/>
                <w:lang w:eastAsia="en-US"/>
              </w:rPr>
            </w:pPr>
            <w:r w:rsidRPr="00EF494A">
              <w:rPr>
                <w:rFonts w:ascii="Franklin Gothic Book" w:eastAsia="Times New Roman" w:hAnsi="Franklin Gothic Book"/>
                <w:b w:val="0"/>
                <w:sz w:val="17"/>
                <w:szCs w:val="17"/>
                <w:lang w:eastAsia="en-US"/>
              </w:rPr>
              <w:t>Thematic study</w:t>
            </w:r>
          </w:p>
        </w:tc>
        <w:tc>
          <w:tcPr>
            <w:tcW w:w="1598" w:type="dxa"/>
          </w:tcPr>
          <w:p w:rsidR="00A85871" w:rsidRPr="00EF494A" w:rsidRDefault="00A85871" w:rsidP="00A25BF3">
            <w:pPr>
              <w:keepLines/>
              <w:spacing w:before="40" w:after="40" w:line="200" w:lineRule="atLeast"/>
              <w:rPr>
                <w:rFonts w:ascii="Franklin Gothic Book" w:eastAsia="Times New Roman" w:hAnsi="Franklin Gothic Book"/>
                <w:b w:val="0"/>
                <w:sz w:val="17"/>
                <w:szCs w:val="17"/>
                <w:lang w:eastAsia="en-US"/>
              </w:rPr>
            </w:pPr>
            <w:r w:rsidRPr="00EF494A">
              <w:rPr>
                <w:rFonts w:ascii="Franklin Gothic Book" w:eastAsia="Times New Roman" w:hAnsi="Franklin Gothic Book"/>
                <w:b w:val="0"/>
                <w:sz w:val="17"/>
                <w:szCs w:val="17"/>
                <w:lang w:eastAsia="en-US"/>
              </w:rPr>
              <w:t>May 2013</w:t>
            </w:r>
          </w:p>
        </w:tc>
        <w:tc>
          <w:tcPr>
            <w:tcW w:w="1921" w:type="dxa"/>
          </w:tcPr>
          <w:p w:rsidR="00A85871" w:rsidRPr="00EF494A" w:rsidRDefault="00A85871" w:rsidP="00A25BF3">
            <w:pPr>
              <w:keepLines/>
              <w:spacing w:before="40" w:after="40" w:line="200" w:lineRule="atLeast"/>
              <w:rPr>
                <w:rFonts w:ascii="Franklin Gothic Book" w:eastAsia="Times New Roman" w:hAnsi="Franklin Gothic Book"/>
                <w:b w:val="0"/>
                <w:sz w:val="17"/>
                <w:szCs w:val="17"/>
                <w:lang w:eastAsia="en-US"/>
              </w:rPr>
            </w:pPr>
            <w:r w:rsidRPr="00EF494A">
              <w:rPr>
                <w:rFonts w:ascii="Franklin Gothic Book" w:eastAsia="Times New Roman" w:hAnsi="Franklin Gothic Book"/>
                <w:b w:val="0"/>
                <w:sz w:val="17"/>
                <w:szCs w:val="17"/>
                <w:lang w:eastAsia="en-US"/>
              </w:rPr>
              <w:t>N/A</w:t>
            </w:r>
          </w:p>
        </w:tc>
        <w:tc>
          <w:tcPr>
            <w:tcW w:w="1743" w:type="dxa"/>
          </w:tcPr>
          <w:p w:rsidR="00A85871" w:rsidRPr="00EF494A" w:rsidRDefault="00A85871" w:rsidP="00A25BF3">
            <w:pPr>
              <w:keepLines/>
              <w:spacing w:before="40" w:after="40" w:line="200" w:lineRule="atLeast"/>
              <w:rPr>
                <w:rFonts w:ascii="Franklin Gothic Book" w:eastAsia="Times New Roman" w:hAnsi="Franklin Gothic Book"/>
                <w:b w:val="0"/>
                <w:sz w:val="17"/>
                <w:szCs w:val="17"/>
                <w:lang w:eastAsia="en-US"/>
              </w:rPr>
            </w:pPr>
            <w:r w:rsidRPr="00EF494A">
              <w:rPr>
                <w:rFonts w:ascii="Franklin Gothic Book" w:eastAsia="Times New Roman" w:hAnsi="Franklin Gothic Book"/>
                <w:b w:val="0"/>
                <w:sz w:val="17"/>
                <w:szCs w:val="17"/>
                <w:lang w:eastAsia="en-US"/>
              </w:rPr>
              <w:t>N/A</w:t>
            </w:r>
          </w:p>
        </w:tc>
        <w:tc>
          <w:tcPr>
            <w:tcW w:w="1503" w:type="dxa"/>
          </w:tcPr>
          <w:p w:rsidR="00A85871" w:rsidRPr="00EF494A" w:rsidRDefault="00A85871" w:rsidP="00A25BF3">
            <w:pPr>
              <w:keepLines/>
              <w:spacing w:before="40" w:after="40" w:line="200" w:lineRule="atLeast"/>
              <w:rPr>
                <w:rFonts w:ascii="Franklin Gothic Book" w:eastAsia="Times New Roman" w:hAnsi="Franklin Gothic Book"/>
                <w:b w:val="0"/>
                <w:sz w:val="17"/>
                <w:szCs w:val="17"/>
                <w:lang w:eastAsia="en-US"/>
              </w:rPr>
            </w:pPr>
            <w:r w:rsidRPr="00EF494A">
              <w:rPr>
                <w:rFonts w:ascii="Franklin Gothic Book" w:eastAsia="Times New Roman" w:hAnsi="Franklin Gothic Book"/>
                <w:b w:val="0"/>
                <w:sz w:val="17"/>
                <w:szCs w:val="17"/>
                <w:lang w:eastAsia="en-US"/>
              </w:rPr>
              <w:t>No</w:t>
            </w:r>
          </w:p>
        </w:tc>
      </w:tr>
      <w:tr w:rsidR="00A85871" w:rsidRPr="00EF494A" w:rsidTr="00A25BF3">
        <w:trPr>
          <w:cnfStyle w:val="100000000000" w:firstRow="1" w:lastRow="0" w:firstColumn="0" w:lastColumn="0" w:oddVBand="0" w:evenVBand="0" w:oddHBand="0" w:evenHBand="0" w:firstRowFirstColumn="0" w:firstRowLastColumn="0" w:lastRowFirstColumn="0" w:lastRowLastColumn="0"/>
        </w:trPr>
        <w:tc>
          <w:tcPr>
            <w:tcW w:w="2929" w:type="dxa"/>
          </w:tcPr>
          <w:p w:rsidR="00A85871" w:rsidRPr="00EF494A" w:rsidRDefault="00A85871" w:rsidP="00A25BF3">
            <w:pPr>
              <w:keepLines/>
              <w:spacing w:before="40" w:after="40" w:line="200" w:lineRule="atLeast"/>
              <w:rPr>
                <w:rFonts w:ascii="Franklin Gothic Book" w:eastAsia="Times New Roman" w:hAnsi="Franklin Gothic Book"/>
                <w:b w:val="0"/>
                <w:sz w:val="17"/>
                <w:szCs w:val="17"/>
                <w:lang w:eastAsia="en-US"/>
              </w:rPr>
            </w:pPr>
            <w:r w:rsidRPr="00EF494A">
              <w:rPr>
                <w:rFonts w:ascii="Franklin Gothic Book" w:eastAsia="Times New Roman" w:hAnsi="Franklin Gothic Book"/>
                <w:b w:val="0"/>
                <w:sz w:val="17"/>
                <w:szCs w:val="17"/>
                <w:lang w:eastAsia="en-US"/>
              </w:rPr>
              <w:t xml:space="preserve">Laos-NGO Cooperation Agreements </w:t>
            </w:r>
          </w:p>
        </w:tc>
        <w:tc>
          <w:tcPr>
            <w:tcW w:w="1463" w:type="dxa"/>
          </w:tcPr>
          <w:p w:rsidR="00A85871" w:rsidRPr="00EF494A" w:rsidRDefault="00A85871" w:rsidP="00A25BF3">
            <w:pPr>
              <w:keepLines/>
              <w:spacing w:before="40" w:after="40" w:line="200" w:lineRule="atLeast"/>
              <w:rPr>
                <w:rFonts w:ascii="Franklin Gothic Book" w:eastAsia="Times New Roman" w:hAnsi="Franklin Gothic Book"/>
                <w:b w:val="0"/>
                <w:sz w:val="17"/>
                <w:szCs w:val="17"/>
                <w:lang w:eastAsia="en-US"/>
              </w:rPr>
            </w:pPr>
            <w:r w:rsidRPr="00EF494A">
              <w:rPr>
                <w:rFonts w:ascii="Franklin Gothic Book" w:eastAsia="Times New Roman" w:hAnsi="Franklin Gothic Book"/>
                <w:b w:val="0"/>
                <w:sz w:val="17"/>
                <w:szCs w:val="17"/>
                <w:lang w:eastAsia="en-US"/>
              </w:rPr>
              <w:t>ING310</w:t>
            </w:r>
          </w:p>
        </w:tc>
        <w:tc>
          <w:tcPr>
            <w:tcW w:w="2031" w:type="dxa"/>
          </w:tcPr>
          <w:p w:rsidR="00A85871" w:rsidRPr="00EF494A" w:rsidRDefault="00A85871" w:rsidP="00A25BF3">
            <w:pPr>
              <w:keepLines/>
              <w:spacing w:before="40" w:after="40" w:line="200" w:lineRule="atLeast"/>
              <w:rPr>
                <w:rFonts w:ascii="Franklin Gothic Book" w:eastAsia="Times New Roman" w:hAnsi="Franklin Gothic Book"/>
                <w:b w:val="0"/>
                <w:sz w:val="17"/>
                <w:szCs w:val="17"/>
                <w:lang w:eastAsia="en-US"/>
              </w:rPr>
            </w:pPr>
            <w:r w:rsidRPr="00EF494A">
              <w:rPr>
                <w:rFonts w:ascii="Franklin Gothic Book" w:eastAsia="Times New Roman" w:hAnsi="Franklin Gothic Book"/>
                <w:b w:val="0"/>
                <w:sz w:val="17"/>
                <w:szCs w:val="17"/>
                <w:lang w:eastAsia="en-US"/>
              </w:rPr>
              <w:t xml:space="preserve">Final Evaluation </w:t>
            </w:r>
          </w:p>
        </w:tc>
        <w:tc>
          <w:tcPr>
            <w:tcW w:w="1598" w:type="dxa"/>
          </w:tcPr>
          <w:p w:rsidR="00A85871" w:rsidRPr="00EF494A" w:rsidRDefault="00A85871" w:rsidP="00A25BF3">
            <w:pPr>
              <w:keepLines/>
              <w:spacing w:before="40" w:after="40" w:line="200" w:lineRule="atLeast"/>
              <w:rPr>
                <w:rFonts w:ascii="Franklin Gothic Book" w:eastAsia="Times New Roman" w:hAnsi="Franklin Gothic Book"/>
                <w:b w:val="0"/>
                <w:sz w:val="17"/>
                <w:szCs w:val="17"/>
                <w:lang w:eastAsia="en-US"/>
              </w:rPr>
            </w:pPr>
            <w:r w:rsidRPr="00EF494A">
              <w:rPr>
                <w:rFonts w:ascii="Franklin Gothic Book" w:eastAsia="Times New Roman" w:hAnsi="Franklin Gothic Book"/>
                <w:b w:val="0"/>
                <w:sz w:val="17"/>
                <w:szCs w:val="17"/>
                <w:lang w:eastAsia="en-US"/>
              </w:rPr>
              <w:t>July 2014</w:t>
            </w:r>
          </w:p>
        </w:tc>
        <w:tc>
          <w:tcPr>
            <w:tcW w:w="1921" w:type="dxa"/>
          </w:tcPr>
          <w:p w:rsidR="00A85871" w:rsidRPr="00EF494A" w:rsidRDefault="00A85871" w:rsidP="00A25BF3">
            <w:pPr>
              <w:keepLines/>
              <w:spacing w:before="40" w:after="40" w:line="200" w:lineRule="atLeast"/>
              <w:rPr>
                <w:rFonts w:ascii="Franklin Gothic Book" w:eastAsia="Times New Roman" w:hAnsi="Franklin Gothic Book"/>
                <w:b w:val="0"/>
                <w:sz w:val="17"/>
                <w:szCs w:val="17"/>
                <w:lang w:eastAsia="en-US"/>
              </w:rPr>
            </w:pPr>
            <w:r w:rsidRPr="00EF494A">
              <w:rPr>
                <w:rFonts w:ascii="Franklin Gothic Book" w:eastAsia="Times New Roman" w:hAnsi="Franklin Gothic Book"/>
                <w:b w:val="0"/>
                <w:sz w:val="17"/>
                <w:szCs w:val="17"/>
                <w:lang w:eastAsia="en-US"/>
              </w:rPr>
              <w:t>July 2014</w:t>
            </w:r>
          </w:p>
        </w:tc>
        <w:tc>
          <w:tcPr>
            <w:tcW w:w="1743" w:type="dxa"/>
          </w:tcPr>
          <w:p w:rsidR="00A85871" w:rsidRPr="00EF494A" w:rsidRDefault="00A85871" w:rsidP="00A25BF3">
            <w:pPr>
              <w:keepLines/>
              <w:spacing w:before="40" w:after="40" w:line="200" w:lineRule="atLeast"/>
              <w:rPr>
                <w:rFonts w:ascii="Franklin Gothic Book" w:eastAsia="Times New Roman" w:hAnsi="Franklin Gothic Book"/>
                <w:b w:val="0"/>
                <w:sz w:val="17"/>
                <w:szCs w:val="17"/>
                <w:lang w:eastAsia="en-US"/>
              </w:rPr>
            </w:pPr>
            <w:r w:rsidRPr="00EF494A">
              <w:rPr>
                <w:rFonts w:ascii="Franklin Gothic Book" w:eastAsia="Times New Roman" w:hAnsi="Franklin Gothic Book"/>
                <w:b w:val="0"/>
                <w:sz w:val="17"/>
                <w:szCs w:val="17"/>
                <w:lang w:eastAsia="en-US"/>
              </w:rPr>
              <w:t>Aug 2014</w:t>
            </w:r>
          </w:p>
        </w:tc>
        <w:tc>
          <w:tcPr>
            <w:tcW w:w="1503" w:type="dxa"/>
          </w:tcPr>
          <w:p w:rsidR="00A85871" w:rsidRPr="00EF494A" w:rsidRDefault="00A85871" w:rsidP="00A25BF3">
            <w:pPr>
              <w:keepLines/>
              <w:spacing w:before="40" w:after="40" w:line="200" w:lineRule="atLeast"/>
              <w:rPr>
                <w:rFonts w:ascii="Franklin Gothic Book" w:eastAsia="Times New Roman" w:hAnsi="Franklin Gothic Book"/>
                <w:b w:val="0"/>
                <w:sz w:val="17"/>
                <w:szCs w:val="17"/>
                <w:lang w:eastAsia="en-US"/>
              </w:rPr>
            </w:pPr>
            <w:r w:rsidRPr="00EF494A">
              <w:rPr>
                <w:rFonts w:ascii="Franklin Gothic Book" w:eastAsia="Times New Roman" w:hAnsi="Franklin Gothic Book"/>
                <w:b w:val="0"/>
                <w:sz w:val="17"/>
                <w:szCs w:val="17"/>
                <w:lang w:eastAsia="en-US"/>
              </w:rPr>
              <w:t>Yes</w:t>
            </w:r>
          </w:p>
        </w:tc>
      </w:tr>
      <w:tr w:rsidR="00A85871" w:rsidRPr="00EF494A" w:rsidTr="00A25BF3">
        <w:trPr>
          <w:cnfStyle w:val="100000000000" w:firstRow="1" w:lastRow="0" w:firstColumn="0" w:lastColumn="0" w:oddVBand="0" w:evenVBand="0" w:oddHBand="0" w:evenHBand="0" w:firstRowFirstColumn="0" w:firstRowLastColumn="0" w:lastRowFirstColumn="0" w:lastRowLastColumn="0"/>
        </w:trPr>
        <w:tc>
          <w:tcPr>
            <w:tcW w:w="2929" w:type="dxa"/>
          </w:tcPr>
          <w:p w:rsidR="00A85871" w:rsidRPr="00EF494A" w:rsidRDefault="00A85871" w:rsidP="00A25BF3">
            <w:pPr>
              <w:keepLines/>
              <w:spacing w:before="40" w:after="40" w:line="200" w:lineRule="atLeast"/>
              <w:rPr>
                <w:rFonts w:ascii="Franklin Gothic Book" w:eastAsia="Times New Roman" w:hAnsi="Franklin Gothic Book"/>
                <w:b w:val="0"/>
                <w:color w:val="984806" w:themeColor="accent6" w:themeShade="80"/>
                <w:sz w:val="17"/>
                <w:szCs w:val="17"/>
                <w:lang w:eastAsia="en-US"/>
              </w:rPr>
            </w:pPr>
            <w:r w:rsidRPr="00EF494A">
              <w:rPr>
                <w:rFonts w:ascii="Franklin Gothic Book" w:eastAsia="Times New Roman" w:hAnsi="Franklin Gothic Book"/>
                <w:b w:val="0"/>
                <w:sz w:val="17"/>
                <w:szCs w:val="17"/>
                <w:lang w:eastAsia="en-US"/>
              </w:rPr>
              <w:t>Australia's UXO Assistance</w:t>
            </w:r>
          </w:p>
        </w:tc>
        <w:tc>
          <w:tcPr>
            <w:tcW w:w="1463" w:type="dxa"/>
          </w:tcPr>
          <w:p w:rsidR="00A85871" w:rsidRPr="00EF494A" w:rsidRDefault="00A85871" w:rsidP="00A25BF3">
            <w:pPr>
              <w:keepLines/>
              <w:spacing w:before="40" w:after="40" w:line="200" w:lineRule="atLeast"/>
              <w:rPr>
                <w:rFonts w:ascii="Franklin Gothic Book" w:eastAsia="Times New Roman" w:hAnsi="Franklin Gothic Book"/>
                <w:b w:val="0"/>
                <w:color w:val="000000" w:themeColor="text1"/>
                <w:sz w:val="17"/>
                <w:szCs w:val="17"/>
                <w:lang w:eastAsia="en-US"/>
              </w:rPr>
            </w:pPr>
            <w:r w:rsidRPr="00EF494A">
              <w:rPr>
                <w:rFonts w:ascii="Franklin Gothic Book" w:eastAsia="Times New Roman" w:hAnsi="Franklin Gothic Book"/>
                <w:b w:val="0"/>
                <w:color w:val="000000" w:themeColor="text1"/>
                <w:sz w:val="17"/>
                <w:szCs w:val="17"/>
                <w:lang w:eastAsia="en-US"/>
              </w:rPr>
              <w:t>N/A</w:t>
            </w:r>
          </w:p>
        </w:tc>
        <w:tc>
          <w:tcPr>
            <w:tcW w:w="2031" w:type="dxa"/>
          </w:tcPr>
          <w:p w:rsidR="00A85871" w:rsidRPr="00EF494A" w:rsidRDefault="00A85871" w:rsidP="00A25BF3">
            <w:pPr>
              <w:keepLines/>
              <w:spacing w:before="40" w:after="40" w:line="200" w:lineRule="atLeast"/>
              <w:rPr>
                <w:rFonts w:ascii="Franklin Gothic Book" w:eastAsia="Times New Roman" w:hAnsi="Franklin Gothic Book"/>
                <w:b w:val="0"/>
                <w:sz w:val="17"/>
                <w:szCs w:val="17"/>
                <w:lang w:eastAsia="en-US"/>
              </w:rPr>
            </w:pPr>
            <w:r w:rsidRPr="00EF494A">
              <w:rPr>
                <w:rFonts w:ascii="Franklin Gothic Book" w:eastAsia="Times New Roman" w:hAnsi="Franklin Gothic Book"/>
                <w:b w:val="0"/>
                <w:sz w:val="17"/>
                <w:szCs w:val="17"/>
                <w:lang w:eastAsia="en-US"/>
              </w:rPr>
              <w:t>Independent Evaluation</w:t>
            </w:r>
          </w:p>
        </w:tc>
        <w:tc>
          <w:tcPr>
            <w:tcW w:w="1598" w:type="dxa"/>
          </w:tcPr>
          <w:p w:rsidR="00A85871" w:rsidRPr="00EF494A" w:rsidRDefault="00A85871" w:rsidP="00A25BF3">
            <w:pPr>
              <w:keepLines/>
              <w:spacing w:before="40" w:after="40" w:line="200" w:lineRule="atLeast"/>
              <w:rPr>
                <w:rFonts w:ascii="Franklin Gothic Book" w:eastAsia="Times New Roman" w:hAnsi="Franklin Gothic Book"/>
                <w:b w:val="0"/>
                <w:sz w:val="17"/>
                <w:szCs w:val="17"/>
                <w:lang w:eastAsia="en-US"/>
              </w:rPr>
            </w:pPr>
            <w:r w:rsidRPr="00EF494A">
              <w:rPr>
                <w:rFonts w:ascii="Franklin Gothic Book" w:eastAsia="Times New Roman" w:hAnsi="Franklin Gothic Book"/>
                <w:b w:val="0"/>
                <w:sz w:val="17"/>
                <w:szCs w:val="17"/>
                <w:lang w:eastAsia="en-US"/>
              </w:rPr>
              <w:t>April 2014</w:t>
            </w:r>
          </w:p>
        </w:tc>
        <w:tc>
          <w:tcPr>
            <w:tcW w:w="1921" w:type="dxa"/>
          </w:tcPr>
          <w:p w:rsidR="00A85871" w:rsidRPr="00EF494A" w:rsidRDefault="00A85871" w:rsidP="00A25BF3">
            <w:pPr>
              <w:keepLines/>
              <w:spacing w:before="40" w:after="40" w:line="200" w:lineRule="atLeast"/>
              <w:rPr>
                <w:rFonts w:ascii="Franklin Gothic Book" w:eastAsia="Times New Roman" w:hAnsi="Franklin Gothic Book"/>
                <w:b w:val="0"/>
                <w:sz w:val="17"/>
                <w:szCs w:val="17"/>
                <w:lang w:eastAsia="en-US"/>
              </w:rPr>
            </w:pPr>
            <w:r w:rsidRPr="00EF494A">
              <w:rPr>
                <w:rFonts w:ascii="Franklin Gothic Book" w:eastAsia="Times New Roman" w:hAnsi="Franklin Gothic Book"/>
                <w:b w:val="0"/>
                <w:sz w:val="17"/>
                <w:szCs w:val="17"/>
                <w:lang w:eastAsia="en-US"/>
              </w:rPr>
              <w:t>Jun 2014</w:t>
            </w:r>
          </w:p>
        </w:tc>
        <w:tc>
          <w:tcPr>
            <w:tcW w:w="1743" w:type="dxa"/>
          </w:tcPr>
          <w:p w:rsidR="00A85871" w:rsidRPr="00EF494A" w:rsidRDefault="00A85871" w:rsidP="00A25BF3">
            <w:pPr>
              <w:keepLines/>
              <w:spacing w:before="40" w:after="40" w:line="200" w:lineRule="atLeast"/>
              <w:rPr>
                <w:rFonts w:ascii="Franklin Gothic Book" w:eastAsia="Times New Roman" w:hAnsi="Franklin Gothic Book"/>
                <w:b w:val="0"/>
                <w:sz w:val="17"/>
                <w:szCs w:val="17"/>
                <w:lang w:eastAsia="en-US"/>
              </w:rPr>
            </w:pPr>
            <w:r w:rsidRPr="00EF494A">
              <w:rPr>
                <w:rFonts w:ascii="Franklin Gothic Book" w:eastAsia="Times New Roman" w:hAnsi="Franklin Gothic Book"/>
                <w:b w:val="0"/>
                <w:sz w:val="17"/>
                <w:szCs w:val="17"/>
                <w:lang w:eastAsia="en-US"/>
              </w:rPr>
              <w:t>July 2014</w:t>
            </w:r>
          </w:p>
        </w:tc>
        <w:tc>
          <w:tcPr>
            <w:tcW w:w="1503" w:type="dxa"/>
          </w:tcPr>
          <w:p w:rsidR="00A85871" w:rsidRPr="00EF494A" w:rsidRDefault="00A85871" w:rsidP="00A25BF3">
            <w:pPr>
              <w:keepLines/>
              <w:spacing w:before="40" w:after="40" w:line="200" w:lineRule="atLeast"/>
              <w:rPr>
                <w:rFonts w:ascii="Franklin Gothic Book" w:eastAsia="Times New Roman" w:hAnsi="Franklin Gothic Book"/>
                <w:b w:val="0"/>
                <w:sz w:val="17"/>
                <w:szCs w:val="17"/>
                <w:lang w:eastAsia="en-US"/>
              </w:rPr>
            </w:pPr>
            <w:r w:rsidRPr="00EF494A">
              <w:rPr>
                <w:rFonts w:ascii="Franklin Gothic Book" w:eastAsia="Times New Roman" w:hAnsi="Franklin Gothic Book"/>
                <w:b w:val="0"/>
                <w:sz w:val="17"/>
                <w:szCs w:val="17"/>
                <w:lang w:eastAsia="en-US"/>
              </w:rPr>
              <w:t>No</w:t>
            </w:r>
          </w:p>
        </w:tc>
      </w:tr>
      <w:tr w:rsidR="00A85871" w:rsidRPr="00EF494A" w:rsidTr="00A25BF3">
        <w:trPr>
          <w:cnfStyle w:val="100000000000" w:firstRow="1" w:lastRow="0" w:firstColumn="0" w:lastColumn="0" w:oddVBand="0" w:evenVBand="0" w:oddHBand="0" w:evenHBand="0" w:firstRowFirstColumn="0" w:firstRowLastColumn="0" w:lastRowFirstColumn="0" w:lastRowLastColumn="0"/>
        </w:trPr>
        <w:tc>
          <w:tcPr>
            <w:tcW w:w="2929" w:type="dxa"/>
          </w:tcPr>
          <w:p w:rsidR="00A85871" w:rsidRPr="00EF494A" w:rsidRDefault="00A85871" w:rsidP="00A25BF3">
            <w:pPr>
              <w:keepLines/>
              <w:spacing w:before="40" w:after="40" w:line="200" w:lineRule="atLeast"/>
              <w:rPr>
                <w:rFonts w:ascii="Franklin Gothic Book" w:eastAsia="Times New Roman" w:hAnsi="Franklin Gothic Book"/>
                <w:b w:val="0"/>
                <w:sz w:val="17"/>
                <w:szCs w:val="17"/>
                <w:lang w:eastAsia="en-US"/>
              </w:rPr>
            </w:pPr>
            <w:r w:rsidRPr="00EF494A">
              <w:rPr>
                <w:rFonts w:ascii="Franklin Gothic Book" w:eastAsia="Times New Roman" w:hAnsi="Franklin Gothic Book"/>
                <w:b w:val="0"/>
                <w:sz w:val="17"/>
                <w:szCs w:val="17"/>
                <w:lang w:eastAsia="en-US"/>
              </w:rPr>
              <w:t>Lao-Australian Scholarships Program</w:t>
            </w:r>
          </w:p>
        </w:tc>
        <w:tc>
          <w:tcPr>
            <w:tcW w:w="1463" w:type="dxa"/>
          </w:tcPr>
          <w:p w:rsidR="00A85871" w:rsidRPr="00EF494A" w:rsidRDefault="00A85871" w:rsidP="00A25BF3">
            <w:pPr>
              <w:spacing w:before="40" w:after="20"/>
              <w:rPr>
                <w:rFonts w:ascii="Franklin Gothic Book" w:eastAsia="Times New Roman" w:hAnsi="Franklin Gothic Book"/>
                <w:b w:val="0"/>
                <w:sz w:val="17"/>
                <w:szCs w:val="17"/>
                <w:lang w:eastAsia="en-US"/>
              </w:rPr>
            </w:pPr>
            <w:r w:rsidRPr="00EF494A">
              <w:rPr>
                <w:rFonts w:ascii="Franklin Gothic Book" w:eastAsia="Times New Roman" w:hAnsi="Franklin Gothic Book"/>
                <w:b w:val="0"/>
                <w:sz w:val="17"/>
                <w:szCs w:val="17"/>
                <w:lang w:eastAsia="en-US"/>
              </w:rPr>
              <w:t xml:space="preserve">INH095, INJ264, INJ265, INJ709, </w:t>
            </w:r>
          </w:p>
          <w:p w:rsidR="00A85871" w:rsidRPr="00EF494A" w:rsidRDefault="00A85871" w:rsidP="00A25BF3">
            <w:pPr>
              <w:keepLines/>
              <w:spacing w:before="40" w:after="40" w:line="200" w:lineRule="atLeast"/>
              <w:rPr>
                <w:rFonts w:ascii="Franklin Gothic Book" w:eastAsia="Times New Roman" w:hAnsi="Franklin Gothic Book"/>
                <w:b w:val="0"/>
                <w:sz w:val="17"/>
                <w:szCs w:val="17"/>
                <w:lang w:eastAsia="en-US"/>
              </w:rPr>
            </w:pPr>
            <w:r w:rsidRPr="00EF494A">
              <w:rPr>
                <w:rFonts w:ascii="Franklin Gothic Book" w:eastAsia="Times New Roman" w:hAnsi="Franklin Gothic Book"/>
                <w:b w:val="0"/>
                <w:sz w:val="17"/>
                <w:szCs w:val="17"/>
                <w:lang w:eastAsia="en-US"/>
              </w:rPr>
              <w:t>INK048</w:t>
            </w:r>
          </w:p>
        </w:tc>
        <w:tc>
          <w:tcPr>
            <w:tcW w:w="2031" w:type="dxa"/>
          </w:tcPr>
          <w:p w:rsidR="00A85871" w:rsidRPr="00EF494A" w:rsidRDefault="00A85871" w:rsidP="00A25BF3">
            <w:pPr>
              <w:keepLines/>
              <w:spacing w:before="40" w:after="40" w:line="200" w:lineRule="atLeast"/>
              <w:rPr>
                <w:rFonts w:ascii="Franklin Gothic Book" w:eastAsia="Times New Roman" w:hAnsi="Franklin Gothic Book"/>
                <w:b w:val="0"/>
                <w:color w:val="000000" w:themeColor="text1"/>
                <w:sz w:val="17"/>
                <w:szCs w:val="17"/>
                <w:lang w:eastAsia="en-US"/>
              </w:rPr>
            </w:pPr>
            <w:r w:rsidRPr="00EF494A">
              <w:rPr>
                <w:rFonts w:ascii="Franklin Gothic Book" w:eastAsia="Times New Roman" w:hAnsi="Franklin Gothic Book"/>
                <w:b w:val="0"/>
                <w:color w:val="000000" w:themeColor="text1"/>
                <w:sz w:val="17"/>
                <w:szCs w:val="17"/>
                <w:lang w:eastAsia="en-US"/>
              </w:rPr>
              <w:t xml:space="preserve">Independent Completion </w:t>
            </w:r>
          </w:p>
        </w:tc>
        <w:tc>
          <w:tcPr>
            <w:tcW w:w="1598" w:type="dxa"/>
          </w:tcPr>
          <w:p w:rsidR="00A85871" w:rsidRPr="00EF494A" w:rsidRDefault="00A85871" w:rsidP="00A25BF3">
            <w:pPr>
              <w:keepLines/>
              <w:spacing w:before="40" w:after="40" w:line="200" w:lineRule="atLeast"/>
              <w:rPr>
                <w:rFonts w:ascii="Franklin Gothic Book" w:eastAsia="Times New Roman" w:hAnsi="Franklin Gothic Book"/>
                <w:b w:val="0"/>
                <w:color w:val="000000" w:themeColor="text1"/>
                <w:sz w:val="17"/>
                <w:szCs w:val="17"/>
                <w:lang w:eastAsia="en-US"/>
              </w:rPr>
            </w:pPr>
            <w:r w:rsidRPr="00EF494A">
              <w:rPr>
                <w:rFonts w:ascii="Franklin Gothic Book" w:eastAsia="Times New Roman" w:hAnsi="Franklin Gothic Book"/>
                <w:b w:val="0"/>
                <w:color w:val="000000" w:themeColor="text1"/>
                <w:sz w:val="17"/>
                <w:szCs w:val="17"/>
                <w:lang w:eastAsia="en-US"/>
              </w:rPr>
              <w:t>Dec 2013</w:t>
            </w:r>
          </w:p>
        </w:tc>
        <w:tc>
          <w:tcPr>
            <w:tcW w:w="1921" w:type="dxa"/>
          </w:tcPr>
          <w:p w:rsidR="00A85871" w:rsidRPr="00EF494A" w:rsidRDefault="00A85871" w:rsidP="00A25BF3">
            <w:pPr>
              <w:keepLines/>
              <w:spacing w:before="40" w:after="40" w:line="200" w:lineRule="atLeast"/>
              <w:rPr>
                <w:rFonts w:ascii="Franklin Gothic Book" w:eastAsia="Times New Roman" w:hAnsi="Franklin Gothic Book"/>
                <w:b w:val="0"/>
                <w:color w:val="000000" w:themeColor="text1"/>
                <w:sz w:val="17"/>
                <w:szCs w:val="17"/>
                <w:lang w:eastAsia="en-US"/>
              </w:rPr>
            </w:pPr>
            <w:r w:rsidRPr="00EF494A">
              <w:rPr>
                <w:rFonts w:ascii="Franklin Gothic Book" w:eastAsia="Times New Roman" w:hAnsi="Franklin Gothic Book"/>
                <w:b w:val="0"/>
                <w:color w:val="000000" w:themeColor="text1"/>
                <w:sz w:val="17"/>
                <w:szCs w:val="17"/>
                <w:lang w:eastAsia="en-US"/>
              </w:rPr>
              <w:t>Jan 2014</w:t>
            </w:r>
          </w:p>
        </w:tc>
        <w:tc>
          <w:tcPr>
            <w:tcW w:w="1743" w:type="dxa"/>
          </w:tcPr>
          <w:p w:rsidR="00A85871" w:rsidRPr="00EF494A" w:rsidRDefault="00A85871" w:rsidP="00A25BF3">
            <w:pPr>
              <w:keepLines/>
              <w:spacing w:before="40" w:after="40" w:line="200" w:lineRule="atLeast"/>
              <w:rPr>
                <w:rFonts w:ascii="Franklin Gothic Book" w:eastAsia="Times New Roman" w:hAnsi="Franklin Gothic Book"/>
                <w:b w:val="0"/>
                <w:color w:val="000000" w:themeColor="text1"/>
                <w:sz w:val="17"/>
                <w:szCs w:val="17"/>
                <w:lang w:eastAsia="en-US"/>
              </w:rPr>
            </w:pPr>
            <w:r w:rsidRPr="00EF494A">
              <w:rPr>
                <w:rFonts w:ascii="Franklin Gothic Book" w:eastAsia="Times New Roman" w:hAnsi="Franklin Gothic Book"/>
                <w:b w:val="0"/>
                <w:color w:val="000000" w:themeColor="text1"/>
                <w:sz w:val="17"/>
                <w:szCs w:val="17"/>
                <w:lang w:eastAsia="en-US"/>
              </w:rPr>
              <w:t>N/A</w:t>
            </w:r>
          </w:p>
        </w:tc>
        <w:tc>
          <w:tcPr>
            <w:tcW w:w="1503" w:type="dxa"/>
          </w:tcPr>
          <w:p w:rsidR="00A85871" w:rsidRPr="00EF494A" w:rsidRDefault="00A85871" w:rsidP="00A25BF3">
            <w:pPr>
              <w:keepLines/>
              <w:spacing w:before="40" w:after="40" w:line="200" w:lineRule="atLeast"/>
              <w:rPr>
                <w:rFonts w:ascii="Franklin Gothic Book" w:eastAsia="Times New Roman" w:hAnsi="Franklin Gothic Book"/>
                <w:b w:val="0"/>
                <w:color w:val="000000" w:themeColor="text1"/>
                <w:sz w:val="17"/>
                <w:szCs w:val="17"/>
                <w:lang w:eastAsia="en-US"/>
              </w:rPr>
            </w:pPr>
            <w:r w:rsidRPr="00EF494A">
              <w:rPr>
                <w:rFonts w:ascii="Franklin Gothic Book" w:eastAsia="Times New Roman" w:hAnsi="Franklin Gothic Book"/>
                <w:b w:val="0"/>
                <w:color w:val="000000" w:themeColor="text1"/>
                <w:sz w:val="17"/>
                <w:szCs w:val="17"/>
                <w:lang w:eastAsia="en-US"/>
              </w:rPr>
              <w:t>No</w:t>
            </w:r>
          </w:p>
        </w:tc>
      </w:tr>
      <w:tr w:rsidR="00A85871" w:rsidRPr="00EF494A" w:rsidTr="00A25BF3">
        <w:trPr>
          <w:cnfStyle w:val="100000000000" w:firstRow="1" w:lastRow="0" w:firstColumn="0" w:lastColumn="0" w:oddVBand="0" w:evenVBand="0" w:oddHBand="0" w:evenHBand="0" w:firstRowFirstColumn="0" w:firstRowLastColumn="0" w:lastRowFirstColumn="0" w:lastRowLastColumn="0"/>
        </w:trPr>
        <w:tc>
          <w:tcPr>
            <w:tcW w:w="2929" w:type="dxa"/>
          </w:tcPr>
          <w:p w:rsidR="00A85871" w:rsidRPr="00EF494A" w:rsidRDefault="00A85871" w:rsidP="00A25BF3">
            <w:pPr>
              <w:keepLines/>
              <w:spacing w:before="40" w:after="40" w:line="200" w:lineRule="atLeast"/>
              <w:rPr>
                <w:rFonts w:ascii="Franklin Gothic Book" w:eastAsia="Times New Roman" w:hAnsi="Franklin Gothic Book"/>
                <w:b w:val="0"/>
                <w:sz w:val="17"/>
                <w:szCs w:val="17"/>
                <w:lang w:eastAsia="en-US"/>
              </w:rPr>
            </w:pPr>
            <w:r w:rsidRPr="00EF494A">
              <w:rPr>
                <w:rFonts w:ascii="Franklin Gothic Book" w:eastAsia="Times New Roman" w:hAnsi="Franklin Gothic Book"/>
                <w:b w:val="0"/>
                <w:sz w:val="17"/>
                <w:szCs w:val="17"/>
                <w:lang w:eastAsia="en-US"/>
              </w:rPr>
              <w:t>Poverty Reduction Fund</w:t>
            </w:r>
          </w:p>
        </w:tc>
        <w:tc>
          <w:tcPr>
            <w:tcW w:w="1463" w:type="dxa"/>
          </w:tcPr>
          <w:p w:rsidR="00A85871" w:rsidRPr="00EF494A" w:rsidRDefault="00A85871" w:rsidP="00A25BF3">
            <w:pPr>
              <w:spacing w:before="40" w:after="20"/>
              <w:rPr>
                <w:rFonts w:ascii="Franklin Gothic Book" w:eastAsia="Times New Roman" w:hAnsi="Franklin Gothic Book"/>
                <w:b w:val="0"/>
                <w:sz w:val="17"/>
                <w:szCs w:val="17"/>
                <w:lang w:eastAsia="en-US"/>
              </w:rPr>
            </w:pPr>
            <w:r w:rsidRPr="00EF494A">
              <w:rPr>
                <w:rFonts w:ascii="Franklin Gothic Book" w:eastAsia="Times New Roman" w:hAnsi="Franklin Gothic Book"/>
                <w:b w:val="0"/>
                <w:sz w:val="17"/>
                <w:szCs w:val="17"/>
                <w:lang w:eastAsia="en-US"/>
              </w:rPr>
              <w:t>INJ573</w:t>
            </w:r>
          </w:p>
        </w:tc>
        <w:tc>
          <w:tcPr>
            <w:tcW w:w="2031" w:type="dxa"/>
          </w:tcPr>
          <w:p w:rsidR="00A85871" w:rsidRPr="00EF494A" w:rsidRDefault="00A85871" w:rsidP="00A25BF3">
            <w:pPr>
              <w:keepLines/>
              <w:spacing w:before="40" w:after="40" w:line="200" w:lineRule="atLeast"/>
              <w:rPr>
                <w:rFonts w:ascii="Franklin Gothic Book" w:eastAsia="Times New Roman" w:hAnsi="Franklin Gothic Book"/>
                <w:b w:val="0"/>
                <w:color w:val="000000" w:themeColor="text1"/>
                <w:sz w:val="17"/>
                <w:szCs w:val="17"/>
                <w:lang w:eastAsia="en-US"/>
              </w:rPr>
            </w:pPr>
            <w:r w:rsidRPr="00EF494A">
              <w:rPr>
                <w:rFonts w:ascii="Franklin Gothic Book" w:eastAsia="Times New Roman" w:hAnsi="Franklin Gothic Book"/>
                <w:b w:val="0"/>
                <w:color w:val="000000" w:themeColor="text1"/>
                <w:sz w:val="17"/>
                <w:szCs w:val="17"/>
                <w:lang w:eastAsia="en-US"/>
              </w:rPr>
              <w:t>Mid Term Review</w:t>
            </w:r>
          </w:p>
        </w:tc>
        <w:tc>
          <w:tcPr>
            <w:tcW w:w="1598" w:type="dxa"/>
          </w:tcPr>
          <w:p w:rsidR="00A85871" w:rsidRPr="00EF494A" w:rsidRDefault="00A85871" w:rsidP="00A25BF3">
            <w:pPr>
              <w:keepLines/>
              <w:spacing w:before="40" w:after="40" w:line="200" w:lineRule="atLeast"/>
              <w:rPr>
                <w:rFonts w:ascii="Franklin Gothic Book" w:eastAsia="Times New Roman" w:hAnsi="Franklin Gothic Book"/>
                <w:b w:val="0"/>
                <w:color w:val="000000" w:themeColor="text1"/>
                <w:sz w:val="17"/>
                <w:szCs w:val="17"/>
                <w:lang w:eastAsia="en-US"/>
              </w:rPr>
            </w:pPr>
            <w:r w:rsidRPr="00EF494A">
              <w:rPr>
                <w:rFonts w:ascii="Franklin Gothic Book" w:eastAsia="Times New Roman" w:hAnsi="Franklin Gothic Book"/>
                <w:b w:val="0"/>
                <w:color w:val="000000" w:themeColor="text1"/>
                <w:sz w:val="17"/>
                <w:szCs w:val="17"/>
                <w:lang w:eastAsia="en-US"/>
              </w:rPr>
              <w:t>May 2014</w:t>
            </w:r>
          </w:p>
        </w:tc>
        <w:tc>
          <w:tcPr>
            <w:tcW w:w="1921" w:type="dxa"/>
          </w:tcPr>
          <w:p w:rsidR="00A85871" w:rsidRPr="00EF494A" w:rsidRDefault="00A85871" w:rsidP="00A25BF3">
            <w:pPr>
              <w:keepLines/>
              <w:spacing w:before="40" w:after="40" w:line="200" w:lineRule="atLeast"/>
              <w:rPr>
                <w:rFonts w:ascii="Franklin Gothic Book" w:eastAsia="Times New Roman" w:hAnsi="Franklin Gothic Book"/>
                <w:b w:val="0"/>
                <w:color w:val="000000" w:themeColor="text1"/>
                <w:sz w:val="17"/>
                <w:szCs w:val="17"/>
                <w:lang w:eastAsia="en-US"/>
              </w:rPr>
            </w:pPr>
            <w:r w:rsidRPr="00EF494A">
              <w:rPr>
                <w:rFonts w:ascii="Franklin Gothic Book" w:eastAsia="Times New Roman" w:hAnsi="Franklin Gothic Book"/>
                <w:b w:val="0"/>
                <w:color w:val="000000" w:themeColor="text1"/>
                <w:sz w:val="17"/>
                <w:szCs w:val="17"/>
                <w:lang w:eastAsia="en-US"/>
              </w:rPr>
              <w:t>May 2014</w:t>
            </w:r>
          </w:p>
        </w:tc>
        <w:tc>
          <w:tcPr>
            <w:tcW w:w="1743" w:type="dxa"/>
          </w:tcPr>
          <w:p w:rsidR="00A85871" w:rsidRPr="00EF494A" w:rsidRDefault="00A85871" w:rsidP="00A25BF3">
            <w:pPr>
              <w:keepLines/>
              <w:spacing w:before="40" w:after="40" w:line="200" w:lineRule="atLeast"/>
              <w:rPr>
                <w:rFonts w:ascii="Franklin Gothic Book" w:eastAsia="Times New Roman" w:hAnsi="Franklin Gothic Book"/>
                <w:b w:val="0"/>
                <w:color w:val="000000" w:themeColor="text1"/>
                <w:sz w:val="17"/>
                <w:szCs w:val="17"/>
                <w:lang w:eastAsia="en-US"/>
              </w:rPr>
            </w:pPr>
            <w:r w:rsidRPr="00EF494A">
              <w:rPr>
                <w:rFonts w:ascii="Franklin Gothic Book" w:eastAsia="Times New Roman" w:hAnsi="Franklin Gothic Book"/>
                <w:b w:val="0"/>
                <w:color w:val="000000" w:themeColor="text1"/>
                <w:sz w:val="17"/>
                <w:szCs w:val="17"/>
                <w:lang w:eastAsia="en-US"/>
              </w:rPr>
              <w:t>Aug 2014</w:t>
            </w:r>
          </w:p>
        </w:tc>
        <w:tc>
          <w:tcPr>
            <w:tcW w:w="1503" w:type="dxa"/>
          </w:tcPr>
          <w:p w:rsidR="00A85871" w:rsidRPr="00EF494A" w:rsidRDefault="00A85871" w:rsidP="00A25BF3">
            <w:pPr>
              <w:keepLines/>
              <w:spacing w:before="40" w:after="40" w:line="200" w:lineRule="atLeast"/>
              <w:rPr>
                <w:rFonts w:ascii="Franklin Gothic Book" w:eastAsia="Times New Roman" w:hAnsi="Franklin Gothic Book"/>
                <w:b w:val="0"/>
                <w:color w:val="000000" w:themeColor="text1"/>
                <w:sz w:val="17"/>
                <w:szCs w:val="17"/>
                <w:lang w:eastAsia="en-US"/>
              </w:rPr>
            </w:pPr>
            <w:r w:rsidRPr="00EF494A">
              <w:rPr>
                <w:rFonts w:ascii="Franklin Gothic Book" w:eastAsia="Times New Roman" w:hAnsi="Franklin Gothic Book"/>
                <w:b w:val="0"/>
                <w:color w:val="000000" w:themeColor="text1"/>
                <w:sz w:val="17"/>
                <w:szCs w:val="17"/>
                <w:lang w:eastAsia="en-US"/>
              </w:rPr>
              <w:t>Yes</w:t>
            </w:r>
          </w:p>
        </w:tc>
      </w:tr>
      <w:tr w:rsidR="00A85871" w:rsidRPr="00EF494A" w:rsidTr="00A25BF3">
        <w:trPr>
          <w:cnfStyle w:val="100000000000" w:firstRow="1" w:lastRow="0" w:firstColumn="0" w:lastColumn="0" w:oddVBand="0" w:evenVBand="0" w:oddHBand="0" w:evenHBand="0" w:firstRowFirstColumn="0" w:firstRowLastColumn="0" w:lastRowFirstColumn="0" w:lastRowLastColumn="0"/>
        </w:trPr>
        <w:tc>
          <w:tcPr>
            <w:tcW w:w="2929" w:type="dxa"/>
          </w:tcPr>
          <w:p w:rsidR="00A85871" w:rsidRPr="00EF494A" w:rsidRDefault="00A85871" w:rsidP="00A25BF3">
            <w:pPr>
              <w:keepLines/>
              <w:spacing w:before="40" w:after="40" w:line="200" w:lineRule="atLeast"/>
              <w:rPr>
                <w:rFonts w:ascii="Franklin Gothic Book" w:eastAsia="Times New Roman" w:hAnsi="Franklin Gothic Book"/>
                <w:b w:val="0"/>
                <w:sz w:val="17"/>
                <w:szCs w:val="17"/>
                <w:lang w:eastAsia="en-US"/>
              </w:rPr>
            </w:pPr>
            <w:r w:rsidRPr="00EF494A">
              <w:rPr>
                <w:rFonts w:ascii="Franklin Gothic Book" w:eastAsia="Times New Roman" w:hAnsi="Franklin Gothic Book"/>
                <w:b w:val="0"/>
                <w:sz w:val="17"/>
                <w:szCs w:val="17"/>
                <w:lang w:eastAsia="en-US"/>
              </w:rPr>
              <w:t>Poverty Reduction Fund</w:t>
            </w:r>
          </w:p>
        </w:tc>
        <w:tc>
          <w:tcPr>
            <w:tcW w:w="1463" w:type="dxa"/>
          </w:tcPr>
          <w:p w:rsidR="00A85871" w:rsidRPr="00EF494A" w:rsidRDefault="00A85871" w:rsidP="00A25BF3">
            <w:pPr>
              <w:spacing w:before="40" w:after="20"/>
              <w:rPr>
                <w:rFonts w:ascii="Franklin Gothic Book" w:eastAsia="Times New Roman" w:hAnsi="Franklin Gothic Book"/>
                <w:b w:val="0"/>
                <w:sz w:val="17"/>
                <w:szCs w:val="17"/>
                <w:lang w:eastAsia="en-US"/>
              </w:rPr>
            </w:pPr>
            <w:r w:rsidRPr="00EF494A">
              <w:rPr>
                <w:rFonts w:ascii="Franklin Gothic Book" w:eastAsia="Times New Roman" w:hAnsi="Franklin Gothic Book"/>
                <w:b w:val="0"/>
                <w:sz w:val="17"/>
                <w:szCs w:val="17"/>
                <w:lang w:eastAsia="en-US"/>
              </w:rPr>
              <w:t>INJ573</w:t>
            </w:r>
          </w:p>
        </w:tc>
        <w:tc>
          <w:tcPr>
            <w:tcW w:w="2031" w:type="dxa"/>
          </w:tcPr>
          <w:p w:rsidR="00A85871" w:rsidRPr="00EF494A" w:rsidRDefault="00A85871" w:rsidP="00A25BF3">
            <w:pPr>
              <w:keepLines/>
              <w:spacing w:before="40" w:after="40" w:line="200" w:lineRule="atLeast"/>
              <w:rPr>
                <w:rFonts w:ascii="Franklin Gothic Book" w:eastAsia="Times New Roman" w:hAnsi="Franklin Gothic Book"/>
                <w:b w:val="0"/>
                <w:color w:val="000000" w:themeColor="text1"/>
                <w:sz w:val="17"/>
                <w:szCs w:val="17"/>
                <w:lang w:eastAsia="en-US"/>
              </w:rPr>
            </w:pPr>
            <w:r w:rsidRPr="00EF494A">
              <w:rPr>
                <w:rFonts w:ascii="Franklin Gothic Book" w:eastAsia="Times New Roman" w:hAnsi="Franklin Gothic Book"/>
                <w:b w:val="0"/>
                <w:sz w:val="17"/>
                <w:szCs w:val="17"/>
                <w:lang w:eastAsia="en-US"/>
              </w:rPr>
              <w:t>Household baseline survey impact evaluation</w:t>
            </w:r>
          </w:p>
        </w:tc>
        <w:tc>
          <w:tcPr>
            <w:tcW w:w="1598" w:type="dxa"/>
          </w:tcPr>
          <w:p w:rsidR="00A85871" w:rsidRPr="00EF494A" w:rsidRDefault="00A85871" w:rsidP="00A25BF3">
            <w:pPr>
              <w:keepLines/>
              <w:spacing w:before="40" w:after="40" w:line="200" w:lineRule="atLeast"/>
              <w:rPr>
                <w:rFonts w:ascii="Franklin Gothic Book" w:eastAsia="Times New Roman" w:hAnsi="Franklin Gothic Book"/>
                <w:b w:val="0"/>
                <w:color w:val="000000" w:themeColor="text1"/>
                <w:sz w:val="17"/>
                <w:szCs w:val="17"/>
                <w:lang w:eastAsia="en-US"/>
              </w:rPr>
            </w:pPr>
            <w:r w:rsidRPr="00EF494A">
              <w:rPr>
                <w:rFonts w:ascii="Franklin Gothic Book" w:eastAsia="Times New Roman" w:hAnsi="Franklin Gothic Book"/>
                <w:b w:val="0"/>
                <w:color w:val="000000" w:themeColor="text1"/>
                <w:sz w:val="17"/>
                <w:szCs w:val="17"/>
                <w:lang w:eastAsia="en-US"/>
              </w:rPr>
              <w:t>Jan 2014</w:t>
            </w:r>
          </w:p>
        </w:tc>
        <w:tc>
          <w:tcPr>
            <w:tcW w:w="1921" w:type="dxa"/>
          </w:tcPr>
          <w:p w:rsidR="00A85871" w:rsidRPr="00EF494A" w:rsidRDefault="00A85871" w:rsidP="00A25BF3">
            <w:pPr>
              <w:keepLines/>
              <w:spacing w:before="40" w:after="40" w:line="200" w:lineRule="atLeast"/>
              <w:rPr>
                <w:rFonts w:ascii="Franklin Gothic Book" w:eastAsia="Times New Roman" w:hAnsi="Franklin Gothic Book"/>
                <w:b w:val="0"/>
                <w:color w:val="000000" w:themeColor="text1"/>
                <w:sz w:val="17"/>
                <w:szCs w:val="17"/>
                <w:lang w:eastAsia="en-US"/>
              </w:rPr>
            </w:pPr>
            <w:r w:rsidRPr="00EF494A">
              <w:rPr>
                <w:rFonts w:ascii="Franklin Gothic Book" w:eastAsia="Times New Roman" w:hAnsi="Franklin Gothic Book"/>
                <w:b w:val="0"/>
                <w:color w:val="000000" w:themeColor="text1"/>
                <w:sz w:val="17"/>
                <w:szCs w:val="17"/>
                <w:lang w:eastAsia="en-US"/>
              </w:rPr>
              <w:t>Jun 2014</w:t>
            </w:r>
          </w:p>
        </w:tc>
        <w:tc>
          <w:tcPr>
            <w:tcW w:w="1743" w:type="dxa"/>
          </w:tcPr>
          <w:p w:rsidR="00A85871" w:rsidRPr="00EF494A" w:rsidRDefault="00A85871" w:rsidP="00A25BF3">
            <w:pPr>
              <w:keepLines/>
              <w:spacing w:before="40" w:after="40" w:line="200" w:lineRule="atLeast"/>
              <w:rPr>
                <w:rFonts w:ascii="Franklin Gothic Book" w:eastAsia="Times New Roman" w:hAnsi="Franklin Gothic Book"/>
                <w:b w:val="0"/>
                <w:color w:val="000000" w:themeColor="text1"/>
                <w:sz w:val="17"/>
                <w:szCs w:val="17"/>
                <w:lang w:eastAsia="en-US"/>
              </w:rPr>
            </w:pPr>
            <w:r w:rsidRPr="00EF494A">
              <w:rPr>
                <w:rFonts w:ascii="Franklin Gothic Book" w:eastAsia="Times New Roman" w:hAnsi="Franklin Gothic Book"/>
                <w:b w:val="0"/>
                <w:color w:val="000000" w:themeColor="text1"/>
                <w:sz w:val="17"/>
                <w:szCs w:val="17"/>
                <w:lang w:eastAsia="en-US"/>
              </w:rPr>
              <w:t>N/A</w:t>
            </w:r>
          </w:p>
        </w:tc>
        <w:tc>
          <w:tcPr>
            <w:tcW w:w="1503" w:type="dxa"/>
          </w:tcPr>
          <w:p w:rsidR="00A85871" w:rsidRPr="00EF494A" w:rsidRDefault="00A85871" w:rsidP="00A25BF3">
            <w:pPr>
              <w:keepLines/>
              <w:spacing w:before="40" w:after="40" w:line="200" w:lineRule="atLeast"/>
              <w:rPr>
                <w:rFonts w:ascii="Franklin Gothic Book" w:eastAsia="Times New Roman" w:hAnsi="Franklin Gothic Book"/>
                <w:b w:val="0"/>
                <w:color w:val="000000" w:themeColor="text1"/>
                <w:sz w:val="17"/>
                <w:szCs w:val="17"/>
                <w:lang w:eastAsia="en-US"/>
              </w:rPr>
            </w:pPr>
            <w:r w:rsidRPr="00EF494A">
              <w:rPr>
                <w:rFonts w:ascii="Franklin Gothic Book" w:eastAsia="Times New Roman" w:hAnsi="Franklin Gothic Book"/>
                <w:b w:val="0"/>
                <w:color w:val="000000" w:themeColor="text1"/>
                <w:sz w:val="17"/>
                <w:szCs w:val="17"/>
                <w:lang w:eastAsia="en-US"/>
              </w:rPr>
              <w:t>No</w:t>
            </w:r>
          </w:p>
        </w:tc>
      </w:tr>
    </w:tbl>
    <w:p w:rsidR="00A85871" w:rsidRPr="00EF494A" w:rsidRDefault="00A85871" w:rsidP="00A85871">
      <w:pPr>
        <w:pStyle w:val="Caption"/>
      </w:pPr>
    </w:p>
    <w:p w:rsidR="00A85871" w:rsidRPr="00EF494A" w:rsidRDefault="00A85871" w:rsidP="00A85871">
      <w:pPr>
        <w:pStyle w:val="Heading2"/>
        <w:tabs>
          <w:tab w:val="left" w:pos="1560"/>
        </w:tabs>
        <w:rPr>
          <w:color w:val="808080" w:themeColor="background1" w:themeShade="80"/>
        </w:rPr>
      </w:pPr>
      <w:r w:rsidRPr="00EF494A">
        <w:rPr>
          <w:color w:val="808080" w:themeColor="background1" w:themeShade="80"/>
        </w:rPr>
        <w:t>Table 2: List of evaluations planned in the next 12 months (September 2014 – September 2015)</w:t>
      </w:r>
    </w:p>
    <w:tbl>
      <w:tblPr>
        <w:tblStyle w:val="APPR"/>
        <w:tblW w:w="0" w:type="auto"/>
        <w:tblLook w:val="0600" w:firstRow="0" w:lastRow="0" w:firstColumn="0" w:lastColumn="0" w:noHBand="1" w:noVBand="1"/>
      </w:tblPr>
      <w:tblGrid>
        <w:gridCol w:w="1956"/>
        <w:gridCol w:w="1768"/>
        <w:gridCol w:w="2034"/>
        <w:gridCol w:w="1855"/>
        <w:gridCol w:w="1900"/>
      </w:tblGrid>
      <w:tr w:rsidR="00A85871" w:rsidRPr="00EF494A" w:rsidTr="00A25BF3">
        <w:tc>
          <w:tcPr>
            <w:tcW w:w="2601" w:type="dxa"/>
          </w:tcPr>
          <w:p w:rsidR="00A85871" w:rsidRPr="00EF494A" w:rsidRDefault="00A85871" w:rsidP="00A25BF3">
            <w:pPr>
              <w:pStyle w:val="TableTextColumnHeading"/>
            </w:pPr>
            <w:r w:rsidRPr="00EF494A">
              <w:t>Name of Investment</w:t>
            </w:r>
          </w:p>
        </w:tc>
        <w:tc>
          <w:tcPr>
            <w:tcW w:w="2530" w:type="dxa"/>
          </w:tcPr>
          <w:p w:rsidR="00A85871" w:rsidRPr="00EF494A" w:rsidRDefault="00A85871" w:rsidP="00A25BF3">
            <w:pPr>
              <w:pStyle w:val="TableTextColumnHeading"/>
            </w:pPr>
            <w:r w:rsidRPr="00EF494A">
              <w:t>Aidworks number</w:t>
            </w:r>
          </w:p>
        </w:tc>
        <w:tc>
          <w:tcPr>
            <w:tcW w:w="2612" w:type="dxa"/>
          </w:tcPr>
          <w:p w:rsidR="00A85871" w:rsidRPr="00EF494A" w:rsidRDefault="00A85871" w:rsidP="00A25BF3">
            <w:pPr>
              <w:pStyle w:val="TableTextColumnHeading"/>
            </w:pPr>
            <w:r w:rsidRPr="00EF494A">
              <w:t>Type of evaluation</w:t>
            </w:r>
          </w:p>
        </w:tc>
        <w:tc>
          <w:tcPr>
            <w:tcW w:w="2612" w:type="dxa"/>
          </w:tcPr>
          <w:p w:rsidR="00A85871" w:rsidRPr="00EF494A" w:rsidRDefault="00A85871" w:rsidP="00A25BF3">
            <w:pPr>
              <w:pStyle w:val="TableTextColumnHeading"/>
            </w:pPr>
            <w:r w:rsidRPr="00EF494A">
              <w:t>Purpose of evaluation</w:t>
            </w:r>
          </w:p>
        </w:tc>
        <w:tc>
          <w:tcPr>
            <w:tcW w:w="2617" w:type="dxa"/>
          </w:tcPr>
          <w:p w:rsidR="00A85871" w:rsidRPr="00EF494A" w:rsidRDefault="00A85871" w:rsidP="00A25BF3">
            <w:pPr>
              <w:pStyle w:val="TableTextColumnHeading"/>
            </w:pPr>
            <w:r w:rsidRPr="00EF494A">
              <w:t>Expected completion date</w:t>
            </w:r>
          </w:p>
        </w:tc>
      </w:tr>
      <w:tr w:rsidR="00A85871" w:rsidRPr="00EF494A" w:rsidTr="00A25BF3">
        <w:tc>
          <w:tcPr>
            <w:tcW w:w="2601" w:type="dxa"/>
            <w:tcBorders>
              <w:top w:val="nil"/>
              <w:bottom w:val="nil"/>
            </w:tcBorders>
          </w:tcPr>
          <w:p w:rsidR="00A85871" w:rsidRPr="00EF494A" w:rsidRDefault="00A85871" w:rsidP="00A25BF3">
            <w:pPr>
              <w:pStyle w:val="TableTextEntries"/>
            </w:pPr>
            <w:r w:rsidRPr="00EF494A">
              <w:t>Education For All: Fast Track Initiative</w:t>
            </w:r>
          </w:p>
        </w:tc>
        <w:tc>
          <w:tcPr>
            <w:tcW w:w="2530" w:type="dxa"/>
            <w:tcBorders>
              <w:top w:val="nil"/>
              <w:bottom w:val="nil"/>
            </w:tcBorders>
          </w:tcPr>
          <w:p w:rsidR="00A85871" w:rsidRPr="00EF494A" w:rsidRDefault="00A85871" w:rsidP="00A25BF3">
            <w:pPr>
              <w:pStyle w:val="TableTextEntries"/>
            </w:pPr>
            <w:r w:rsidRPr="00EF494A">
              <w:t>INJ396</w:t>
            </w:r>
          </w:p>
        </w:tc>
        <w:tc>
          <w:tcPr>
            <w:tcW w:w="2612" w:type="dxa"/>
            <w:tcBorders>
              <w:top w:val="nil"/>
              <w:bottom w:val="nil"/>
            </w:tcBorders>
          </w:tcPr>
          <w:p w:rsidR="00A85871" w:rsidRPr="00EF494A" w:rsidRDefault="00A85871" w:rsidP="00A25BF3">
            <w:pPr>
              <w:pStyle w:val="TableTextEntries"/>
            </w:pPr>
            <w:r w:rsidRPr="00EF494A">
              <w:t>Implementation Completion (partner-led)</w:t>
            </w:r>
          </w:p>
        </w:tc>
        <w:tc>
          <w:tcPr>
            <w:tcW w:w="2612" w:type="dxa"/>
            <w:tcBorders>
              <w:top w:val="nil"/>
              <w:bottom w:val="nil"/>
            </w:tcBorders>
          </w:tcPr>
          <w:p w:rsidR="00A85871" w:rsidRPr="00EF494A" w:rsidRDefault="00A85871" w:rsidP="00A25BF3">
            <w:pPr>
              <w:pStyle w:val="TableTextEntries"/>
            </w:pPr>
            <w:r w:rsidRPr="00EF494A">
              <w:t>to verify program outcomes</w:t>
            </w:r>
          </w:p>
        </w:tc>
        <w:tc>
          <w:tcPr>
            <w:tcW w:w="2617" w:type="dxa"/>
            <w:tcBorders>
              <w:top w:val="nil"/>
              <w:bottom w:val="nil"/>
            </w:tcBorders>
          </w:tcPr>
          <w:p w:rsidR="00A85871" w:rsidRPr="00EF494A" w:rsidRDefault="00A85871" w:rsidP="00A25BF3">
            <w:pPr>
              <w:pStyle w:val="TableTextEntries"/>
            </w:pPr>
            <w:r w:rsidRPr="00EF494A">
              <w:t>December 2014</w:t>
            </w:r>
          </w:p>
        </w:tc>
      </w:tr>
      <w:tr w:rsidR="00A85871" w:rsidRPr="00EF494A" w:rsidTr="00A25BF3">
        <w:tc>
          <w:tcPr>
            <w:tcW w:w="2601" w:type="dxa"/>
            <w:tcBorders>
              <w:top w:val="nil"/>
              <w:bottom w:val="nil"/>
            </w:tcBorders>
          </w:tcPr>
          <w:p w:rsidR="00A85871" w:rsidRPr="00EF494A" w:rsidRDefault="00A85871" w:rsidP="00A25BF3">
            <w:pPr>
              <w:pStyle w:val="TableTextEntries"/>
            </w:pPr>
            <w:r w:rsidRPr="00EF494A">
              <w:t>The Second Trade Development Facility</w:t>
            </w:r>
          </w:p>
        </w:tc>
        <w:tc>
          <w:tcPr>
            <w:tcW w:w="2530" w:type="dxa"/>
            <w:tcBorders>
              <w:top w:val="nil"/>
              <w:bottom w:val="nil"/>
            </w:tcBorders>
          </w:tcPr>
          <w:p w:rsidR="00A85871" w:rsidRPr="00EF494A" w:rsidRDefault="00A85871" w:rsidP="00A25BF3">
            <w:pPr>
              <w:pStyle w:val="TableTextEntries"/>
            </w:pPr>
            <w:r w:rsidRPr="00EF494A">
              <w:t>INH726</w:t>
            </w:r>
          </w:p>
          <w:p w:rsidR="00A85871" w:rsidRPr="00EF494A" w:rsidRDefault="00A85871" w:rsidP="00A25BF3">
            <w:pPr>
              <w:pStyle w:val="TableTextEntries"/>
            </w:pPr>
          </w:p>
        </w:tc>
        <w:tc>
          <w:tcPr>
            <w:tcW w:w="2612" w:type="dxa"/>
            <w:tcBorders>
              <w:top w:val="nil"/>
              <w:bottom w:val="nil"/>
            </w:tcBorders>
          </w:tcPr>
          <w:p w:rsidR="00A85871" w:rsidRPr="00EF494A" w:rsidRDefault="00A85871" w:rsidP="00A25BF3">
            <w:pPr>
              <w:pStyle w:val="TableTextEntries"/>
            </w:pPr>
            <w:r w:rsidRPr="00EF494A">
              <w:t>Mid Term Review (partner-led)</w:t>
            </w:r>
          </w:p>
        </w:tc>
        <w:tc>
          <w:tcPr>
            <w:tcW w:w="2612" w:type="dxa"/>
            <w:tcBorders>
              <w:top w:val="nil"/>
              <w:bottom w:val="nil"/>
            </w:tcBorders>
          </w:tcPr>
          <w:p w:rsidR="00A85871" w:rsidRPr="00EF494A" w:rsidRDefault="00A85871" w:rsidP="00A25BF3">
            <w:pPr>
              <w:pStyle w:val="TableTextEntries"/>
            </w:pPr>
            <w:r w:rsidRPr="00EF494A">
              <w:t>to improve existing program and to verify program outcomes</w:t>
            </w:r>
          </w:p>
        </w:tc>
        <w:tc>
          <w:tcPr>
            <w:tcW w:w="2617" w:type="dxa"/>
            <w:tcBorders>
              <w:top w:val="nil"/>
              <w:bottom w:val="nil"/>
            </w:tcBorders>
          </w:tcPr>
          <w:p w:rsidR="00A85871" w:rsidRPr="00EF494A" w:rsidRDefault="00A85871" w:rsidP="00A25BF3">
            <w:pPr>
              <w:pStyle w:val="TableTextEntries"/>
            </w:pPr>
            <w:r w:rsidRPr="00EF494A">
              <w:t>July 2015</w:t>
            </w:r>
          </w:p>
        </w:tc>
      </w:tr>
    </w:tbl>
    <w:p w:rsidR="001466EE" w:rsidRDefault="001466EE" w:rsidP="00E57FF8">
      <w:pPr>
        <w:pStyle w:val="Heading1"/>
      </w:pPr>
    </w:p>
    <w:p w:rsidR="001466EE" w:rsidRDefault="001466EE">
      <w:pPr>
        <w:spacing w:after="200" w:line="276" w:lineRule="auto"/>
        <w:rPr>
          <w:rFonts w:ascii="Helvetica" w:eastAsia="Times New Roman" w:hAnsi="Helvetica" w:cs="Arial"/>
          <w:color w:val="007FAD"/>
          <w:spacing w:val="-10"/>
          <w:kern w:val="28"/>
          <w:sz w:val="28"/>
          <w:szCs w:val="28"/>
        </w:rPr>
      </w:pPr>
      <w:r>
        <w:br w:type="page"/>
      </w:r>
    </w:p>
    <w:p w:rsidR="00E57FF8" w:rsidRPr="00EF494A" w:rsidRDefault="00E57FF8" w:rsidP="00E57FF8">
      <w:pPr>
        <w:pStyle w:val="Heading1"/>
      </w:pPr>
      <w:r w:rsidRPr="00EF494A">
        <w:lastRenderedPageBreak/>
        <w:t xml:space="preserve">Annex </w:t>
      </w:r>
      <w:r w:rsidR="00372213" w:rsidRPr="00EF494A">
        <w:t>D</w:t>
      </w:r>
      <w:r w:rsidR="00622573" w:rsidRPr="00EF494A">
        <w:t xml:space="preserve"> Analysis of Quality at Implementation Ratings</w:t>
      </w:r>
    </w:p>
    <w:p w:rsidR="00622573" w:rsidRPr="00EF494A" w:rsidRDefault="00622573" w:rsidP="00CB399C">
      <w:pPr>
        <w:rPr>
          <w:rFonts w:ascii="Franklin Gothic Book" w:eastAsia="Times New Roman" w:hAnsi="Franklin Gothic Book"/>
          <w:sz w:val="21"/>
        </w:rPr>
      </w:pPr>
      <w:r w:rsidRPr="00EF494A">
        <w:rPr>
          <w:rFonts w:ascii="Franklin Gothic Book" w:eastAsia="Times New Roman" w:hAnsi="Franklin Gothic Book"/>
          <w:sz w:val="21"/>
        </w:rPr>
        <w:t xml:space="preserve">Overall program quality at implementation for the Laos Country Program in 2013-14 was satisfactory. Across ten </w:t>
      </w:r>
      <w:r w:rsidR="004E50AE" w:rsidRPr="00EF494A">
        <w:rPr>
          <w:rFonts w:ascii="Franklin Gothic Book" w:eastAsia="Times New Roman" w:hAnsi="Franklin Gothic Book"/>
          <w:sz w:val="21"/>
        </w:rPr>
        <w:t xml:space="preserve">initiatives, </w:t>
      </w:r>
      <w:r w:rsidRPr="00EF494A">
        <w:rPr>
          <w:rFonts w:ascii="Franklin Gothic Book" w:eastAsia="Times New Roman" w:hAnsi="Franklin Gothic Book"/>
          <w:sz w:val="21"/>
        </w:rPr>
        <w:t xml:space="preserve">90 per cent </w:t>
      </w:r>
      <w:r w:rsidR="004E50AE" w:rsidRPr="00EF494A">
        <w:rPr>
          <w:rFonts w:ascii="Franklin Gothic Book" w:eastAsia="Times New Roman" w:hAnsi="Franklin Gothic Book"/>
          <w:sz w:val="21"/>
        </w:rPr>
        <w:t xml:space="preserve">were assessed as </w:t>
      </w:r>
      <w:r w:rsidRPr="00EF494A">
        <w:rPr>
          <w:rFonts w:ascii="Franklin Gothic Book" w:eastAsia="Times New Roman" w:hAnsi="Franklin Gothic Book"/>
          <w:sz w:val="21"/>
        </w:rPr>
        <w:t xml:space="preserve">being implemented satisfactorily, as in 2012-13. </w:t>
      </w:r>
    </w:p>
    <w:p w:rsidR="00622573" w:rsidRPr="00EF494A" w:rsidRDefault="00622573" w:rsidP="00CB399C">
      <w:pPr>
        <w:rPr>
          <w:rFonts w:ascii="Franklin Gothic Book" w:eastAsia="Times New Roman" w:hAnsi="Franklin Gothic Book"/>
          <w:sz w:val="21"/>
        </w:rPr>
      </w:pPr>
    </w:p>
    <w:p w:rsidR="00622573" w:rsidRPr="00EF494A" w:rsidRDefault="00622573" w:rsidP="00CB399C">
      <w:pPr>
        <w:rPr>
          <w:rFonts w:ascii="Franklin Gothic Book" w:eastAsia="Times New Roman" w:hAnsi="Franklin Gothic Book"/>
          <w:sz w:val="21"/>
        </w:rPr>
      </w:pPr>
      <w:r w:rsidRPr="00EF494A">
        <w:rPr>
          <w:rFonts w:ascii="Franklin Gothic Book" w:eastAsia="Times New Roman" w:hAnsi="Franklin Gothic Book"/>
          <w:sz w:val="21"/>
        </w:rPr>
        <w:t>There were slight improvements in effectiveness, efficiency across the program in 2013-14; with 91 per cent and 82 per cent respectively, compared with 90 per cent and 80 per cent in 2012-13.  PRFII is back on track in 2013-14.  The serious delays highlighted in 2012-13 have been addressed over the last 12 months. Performance ratings decreased to “less than satisfactory” against three investments (EFA- FTI, LANGOCA and Lao UXO) due to inadequate and weak monitoring and evaluation systems. The Poverty Reduction Support Operation and Public Financial Management Strengthening Program initiative had poor ratings across all criteria due to an over estimation of partner government capacity and underachievement of reform processes.  This initiative has since concluded.  QAI ratings for 2013-14 show that activities on women’s participation and women’s empowerment are on their way to achieving expected results, as evidenced by four out of ten initiatives receiving a ‘good quality’ score, and only one initiative ranking as ‘less than adequate’ on gender equality.</w:t>
      </w:r>
    </w:p>
    <w:p w:rsidR="00E57FF8" w:rsidRPr="00EF494A" w:rsidRDefault="00E57FF8" w:rsidP="00E57FF8">
      <w:pPr>
        <w:pStyle w:val="Heading2"/>
        <w:tabs>
          <w:tab w:val="left" w:pos="1560"/>
        </w:tabs>
        <w:rPr>
          <w:rFonts w:ascii="Franklin Gothic Book" w:hAnsi="Franklin Gothic Book" w:cs="Times New Roman"/>
          <w:iCs/>
          <w:color w:val="auto"/>
          <w:kern w:val="0"/>
          <w:sz w:val="17"/>
          <w:szCs w:val="17"/>
          <w:lang w:eastAsia="en-US"/>
        </w:rPr>
      </w:pPr>
      <w:r w:rsidRPr="00EF494A">
        <w:rPr>
          <w:sz w:val="28"/>
        </w:rPr>
        <w:t>Quality at Implementation Ratings</w:t>
      </w:r>
    </w:p>
    <w:tbl>
      <w:tblPr>
        <w:tblStyle w:val="APPR"/>
        <w:tblpPr w:leftFromText="180" w:rightFromText="180" w:vertAnchor="text" w:tblpY="1"/>
        <w:tblOverlap w:val="never"/>
        <w:tblW w:w="4590" w:type="pct"/>
        <w:tblLayout w:type="fixed"/>
        <w:tblLook w:val="0000" w:firstRow="0" w:lastRow="0" w:firstColumn="0" w:lastColumn="0" w:noHBand="0" w:noVBand="0"/>
      </w:tblPr>
      <w:tblGrid>
        <w:gridCol w:w="1803"/>
        <w:gridCol w:w="1226"/>
        <w:gridCol w:w="991"/>
        <w:gridCol w:w="230"/>
        <w:gridCol w:w="500"/>
        <w:gridCol w:w="631"/>
        <w:gridCol w:w="228"/>
        <w:gridCol w:w="552"/>
        <w:gridCol w:w="306"/>
        <w:gridCol w:w="509"/>
        <w:gridCol w:w="349"/>
        <w:gridCol w:w="469"/>
        <w:gridCol w:w="391"/>
        <w:gridCol w:w="441"/>
        <w:gridCol w:w="107"/>
      </w:tblGrid>
      <w:tr w:rsidR="00C02E08" w:rsidRPr="00EF494A" w:rsidTr="00EB0C6D">
        <w:trPr>
          <w:cnfStyle w:val="000000010000" w:firstRow="0" w:lastRow="0" w:firstColumn="0" w:lastColumn="0" w:oddVBand="0" w:evenVBand="0" w:oddHBand="0" w:evenHBand="1" w:firstRowFirstColumn="0" w:firstRowLastColumn="0" w:lastRowFirstColumn="0" w:lastRowLastColumn="0"/>
          <w:trHeight w:val="1362"/>
        </w:trPr>
        <w:tc>
          <w:tcPr>
            <w:tcW w:w="1028" w:type="pct"/>
            <w:tcBorders>
              <w:top w:val="single" w:sz="12" w:space="0" w:color="000000" w:themeColor="text1"/>
              <w:bottom w:val="single" w:sz="4" w:space="0" w:color="auto"/>
            </w:tcBorders>
          </w:tcPr>
          <w:p w:rsidR="00E57FF8" w:rsidRPr="00EF494A" w:rsidRDefault="00E57FF8" w:rsidP="001A591A">
            <w:pPr>
              <w:pStyle w:val="TableTextColumnHeading"/>
            </w:pPr>
            <w:bookmarkStart w:id="3" w:name="OLE_LINK1"/>
            <w:r w:rsidRPr="00EF494A">
              <w:rPr>
                <w:noProof/>
                <w:lang w:eastAsia="en-AU"/>
              </w:rPr>
              <w:drawing>
                <wp:anchor distT="0" distB="0" distL="114300" distR="114300" simplePos="0" relativeHeight="251665408" behindDoc="0" locked="0" layoutInCell="1" allowOverlap="1" wp14:anchorId="1EF73F3D" wp14:editId="0E41BEE9">
                  <wp:simplePos x="0" y="0"/>
                  <wp:positionH relativeFrom="column">
                    <wp:posOffset>0</wp:posOffset>
                  </wp:positionH>
                  <wp:positionV relativeFrom="paragraph">
                    <wp:posOffset>0</wp:posOffset>
                  </wp:positionV>
                  <wp:extent cx="1857375" cy="228600"/>
                  <wp:effectExtent l="0" t="0" r="9525" b="0"/>
                  <wp:wrapNone/>
                  <wp:docPr id="19" name="Picture 1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94A">
              <w:t>Initiative name</w:t>
            </w:r>
          </w:p>
        </w:tc>
        <w:tc>
          <w:tcPr>
            <w:tcW w:w="700" w:type="pct"/>
            <w:tcBorders>
              <w:top w:val="single" w:sz="12" w:space="0" w:color="000000" w:themeColor="text1"/>
              <w:bottom w:val="single" w:sz="4" w:space="0" w:color="auto"/>
            </w:tcBorders>
            <w:textDirection w:val="btLr"/>
          </w:tcPr>
          <w:p w:rsidR="00E57FF8" w:rsidRPr="00EF494A" w:rsidRDefault="00E57FF8" w:rsidP="001A591A">
            <w:pPr>
              <w:pStyle w:val="TableTextColumnHeading"/>
            </w:pPr>
            <w:r w:rsidRPr="00EF494A">
              <w:t xml:space="preserve">Approved budget </w:t>
            </w:r>
          </w:p>
          <w:p w:rsidR="00E57FF8" w:rsidRPr="00EF494A" w:rsidRDefault="00E57FF8" w:rsidP="001A591A">
            <w:pPr>
              <w:pStyle w:val="TableTextColumnHeading"/>
            </w:pPr>
            <w:r w:rsidRPr="00EF494A">
              <w:t>and duration</w:t>
            </w:r>
          </w:p>
        </w:tc>
        <w:tc>
          <w:tcPr>
            <w:tcW w:w="680" w:type="pct"/>
            <w:gridSpan w:val="2"/>
            <w:tcBorders>
              <w:top w:val="single" w:sz="12" w:space="0" w:color="000000" w:themeColor="text1"/>
              <w:bottom w:val="single" w:sz="4" w:space="0" w:color="auto"/>
            </w:tcBorders>
            <w:textDirection w:val="btLr"/>
          </w:tcPr>
          <w:p w:rsidR="00E57FF8" w:rsidRPr="00EF494A" w:rsidRDefault="00EF494A" w:rsidP="001A591A">
            <w:pPr>
              <w:pStyle w:val="TableTextColumnHeading"/>
            </w:pPr>
            <w:r>
              <w:t>QAI</w:t>
            </w:r>
            <w:r w:rsidR="00E57FF8" w:rsidRPr="00EF494A">
              <w:t xml:space="preserve"> year</w:t>
            </w:r>
          </w:p>
        </w:tc>
        <w:tc>
          <w:tcPr>
            <w:tcW w:w="276" w:type="pct"/>
            <w:tcBorders>
              <w:top w:val="single" w:sz="12" w:space="0" w:color="000000" w:themeColor="text1"/>
              <w:bottom w:val="single" w:sz="4" w:space="0" w:color="auto"/>
            </w:tcBorders>
            <w:textDirection w:val="btLr"/>
            <w:vAlign w:val="center"/>
          </w:tcPr>
          <w:p w:rsidR="00E57FF8" w:rsidRPr="00EF494A" w:rsidRDefault="00E57FF8" w:rsidP="001A591A">
            <w:pPr>
              <w:pStyle w:val="TableTextColumnHeading"/>
            </w:pPr>
            <w:r w:rsidRPr="00EF494A">
              <w:t>Relevance</w:t>
            </w:r>
          </w:p>
        </w:tc>
        <w:tc>
          <w:tcPr>
            <w:tcW w:w="469" w:type="pct"/>
            <w:gridSpan w:val="2"/>
            <w:tcBorders>
              <w:top w:val="single" w:sz="12" w:space="0" w:color="000000" w:themeColor="text1"/>
              <w:bottom w:val="single" w:sz="4" w:space="0" w:color="auto"/>
            </w:tcBorders>
            <w:textDirection w:val="btLr"/>
            <w:vAlign w:val="center"/>
          </w:tcPr>
          <w:p w:rsidR="00E57FF8" w:rsidRPr="00EF494A" w:rsidRDefault="00E57FF8" w:rsidP="001A591A">
            <w:pPr>
              <w:pStyle w:val="TableTextColumnHeading"/>
            </w:pPr>
            <w:r w:rsidRPr="00EF494A">
              <w:t>Effectiveness</w:t>
            </w:r>
          </w:p>
        </w:tc>
        <w:tc>
          <w:tcPr>
            <w:tcW w:w="469" w:type="pct"/>
            <w:gridSpan w:val="2"/>
            <w:tcBorders>
              <w:top w:val="single" w:sz="12" w:space="0" w:color="000000" w:themeColor="text1"/>
              <w:bottom w:val="single" w:sz="4" w:space="0" w:color="auto"/>
            </w:tcBorders>
            <w:textDirection w:val="btLr"/>
            <w:vAlign w:val="center"/>
          </w:tcPr>
          <w:p w:rsidR="00E57FF8" w:rsidRPr="00EF494A" w:rsidRDefault="00E57FF8" w:rsidP="001A591A">
            <w:pPr>
              <w:pStyle w:val="TableTextColumnHeading"/>
            </w:pPr>
            <w:r w:rsidRPr="00EF494A">
              <w:t>Efficiency</w:t>
            </w:r>
          </w:p>
        </w:tc>
        <w:tc>
          <w:tcPr>
            <w:tcW w:w="469" w:type="pct"/>
            <w:gridSpan w:val="2"/>
            <w:tcBorders>
              <w:top w:val="single" w:sz="12" w:space="0" w:color="000000" w:themeColor="text1"/>
              <w:bottom w:val="single" w:sz="4" w:space="0" w:color="auto"/>
            </w:tcBorders>
            <w:textDirection w:val="btLr"/>
            <w:vAlign w:val="center"/>
          </w:tcPr>
          <w:p w:rsidR="00E57FF8" w:rsidRPr="00EF494A" w:rsidRDefault="00E57FF8" w:rsidP="001A591A">
            <w:pPr>
              <w:pStyle w:val="TableTextColumnHeading"/>
            </w:pPr>
            <w:r w:rsidRPr="00EF494A">
              <w:t>Monitoring and evaluation</w:t>
            </w:r>
          </w:p>
        </w:tc>
        <w:tc>
          <w:tcPr>
            <w:tcW w:w="469" w:type="pct"/>
            <w:gridSpan w:val="2"/>
            <w:tcBorders>
              <w:top w:val="single" w:sz="12" w:space="0" w:color="000000" w:themeColor="text1"/>
              <w:bottom w:val="single" w:sz="4" w:space="0" w:color="auto"/>
            </w:tcBorders>
            <w:textDirection w:val="btLr"/>
            <w:vAlign w:val="center"/>
          </w:tcPr>
          <w:p w:rsidR="00E57FF8" w:rsidRPr="00EF494A" w:rsidRDefault="00E57FF8" w:rsidP="001A591A">
            <w:pPr>
              <w:pStyle w:val="TableTextColumnHeading"/>
            </w:pPr>
            <w:r w:rsidRPr="00EF494A">
              <w:t>Sustainability</w:t>
            </w:r>
          </w:p>
        </w:tc>
        <w:tc>
          <w:tcPr>
            <w:tcW w:w="279" w:type="pct"/>
            <w:gridSpan w:val="2"/>
            <w:tcBorders>
              <w:top w:val="single" w:sz="12" w:space="0" w:color="000000" w:themeColor="text1"/>
              <w:bottom w:val="single" w:sz="4" w:space="0" w:color="auto"/>
            </w:tcBorders>
            <w:textDirection w:val="btLr"/>
            <w:vAlign w:val="center"/>
          </w:tcPr>
          <w:p w:rsidR="00E57FF8" w:rsidRPr="00EF494A" w:rsidRDefault="00E57FF8" w:rsidP="001A591A">
            <w:pPr>
              <w:pStyle w:val="TableTextColumnHeading"/>
            </w:pPr>
            <w:r w:rsidRPr="00EF494A">
              <w:t>Gender equality</w:t>
            </w:r>
          </w:p>
        </w:tc>
      </w:tr>
      <w:tr w:rsidR="00C02E08" w:rsidRPr="00EF494A" w:rsidTr="00EB0C6D">
        <w:trPr>
          <w:gridAfter w:val="1"/>
          <w:wAfter w:w="23" w:type="pct"/>
          <w:trHeight w:val="284"/>
          <w:tblHeader w:val="0"/>
        </w:trPr>
        <w:tc>
          <w:tcPr>
            <w:tcW w:w="1028" w:type="pct"/>
            <w:vMerge w:val="restart"/>
            <w:tcBorders>
              <w:top w:val="nil"/>
              <w:bottom w:val="nil"/>
            </w:tcBorders>
          </w:tcPr>
          <w:p w:rsidR="00E57FF8" w:rsidRPr="00EF494A" w:rsidRDefault="00E57FF8" w:rsidP="001A591A">
            <w:pPr>
              <w:pStyle w:val="TableTextEntries"/>
            </w:pPr>
            <w:r w:rsidRPr="00EF494A">
              <w:t>Education For All: Fast Track Initiative</w:t>
            </w:r>
          </w:p>
        </w:tc>
        <w:tc>
          <w:tcPr>
            <w:tcW w:w="700" w:type="pct"/>
            <w:vMerge w:val="restart"/>
            <w:tcBorders>
              <w:top w:val="nil"/>
              <w:bottom w:val="nil"/>
            </w:tcBorders>
          </w:tcPr>
          <w:p w:rsidR="00E57FF8" w:rsidRPr="00EF494A" w:rsidRDefault="00E57FF8" w:rsidP="001A591A">
            <w:pPr>
              <w:pStyle w:val="TableTextEntries"/>
            </w:pPr>
            <w:r w:rsidRPr="00EF494A">
              <w:t>$22.3 million (2010–2013)</w:t>
            </w:r>
          </w:p>
        </w:tc>
        <w:tc>
          <w:tcPr>
            <w:tcW w:w="562" w:type="pct"/>
            <w:tcBorders>
              <w:top w:val="nil"/>
              <w:bottom w:val="nil"/>
            </w:tcBorders>
          </w:tcPr>
          <w:p w:rsidR="00E57FF8" w:rsidRPr="00EF494A" w:rsidRDefault="00E57FF8" w:rsidP="001A591A">
            <w:pPr>
              <w:pStyle w:val="TableTextEntries"/>
              <w:tabs>
                <w:tab w:val="left" w:pos="579"/>
              </w:tabs>
              <w:ind w:right="-241"/>
            </w:pPr>
            <w:r w:rsidRPr="00EF494A">
              <w:t>2013</w:t>
            </w:r>
          </w:p>
        </w:tc>
        <w:tc>
          <w:tcPr>
            <w:tcW w:w="394" w:type="pct"/>
            <w:gridSpan w:val="2"/>
            <w:tcBorders>
              <w:top w:val="nil"/>
              <w:bottom w:val="nil"/>
            </w:tcBorders>
            <w:shd w:val="clear" w:color="auto" w:fill="00B050"/>
            <w:noWrap/>
          </w:tcPr>
          <w:p w:rsidR="00E57FF8" w:rsidRPr="00EF494A" w:rsidRDefault="00E57FF8" w:rsidP="001A591A">
            <w:pPr>
              <w:pStyle w:val="TableTextEntries"/>
              <w:jc w:val="center"/>
            </w:pPr>
            <w:r w:rsidRPr="00EF494A">
              <w:t>5</w:t>
            </w:r>
          </w:p>
        </w:tc>
        <w:tc>
          <w:tcPr>
            <w:tcW w:w="352" w:type="pct"/>
            <w:tcBorders>
              <w:top w:val="nil"/>
              <w:bottom w:val="nil"/>
            </w:tcBorders>
            <w:shd w:val="clear" w:color="auto" w:fill="FFFF00"/>
            <w:noWrap/>
          </w:tcPr>
          <w:p w:rsidR="00E57FF8" w:rsidRPr="00EF494A" w:rsidRDefault="00E57FF8" w:rsidP="001A591A">
            <w:pPr>
              <w:pStyle w:val="TableTextEntries"/>
              <w:jc w:val="center"/>
            </w:pPr>
            <w:r w:rsidRPr="00EF494A">
              <w:t>4</w:t>
            </w:r>
          </w:p>
        </w:tc>
        <w:tc>
          <w:tcPr>
            <w:tcW w:w="423" w:type="pct"/>
            <w:gridSpan w:val="2"/>
            <w:tcBorders>
              <w:top w:val="nil"/>
              <w:bottom w:val="nil"/>
            </w:tcBorders>
            <w:shd w:val="clear" w:color="auto" w:fill="FFFF00"/>
            <w:noWrap/>
          </w:tcPr>
          <w:p w:rsidR="00E57FF8" w:rsidRPr="00EF494A" w:rsidRDefault="00E57FF8" w:rsidP="001A591A">
            <w:pPr>
              <w:pStyle w:val="TableTextEntries"/>
              <w:jc w:val="center"/>
            </w:pPr>
            <w:r w:rsidRPr="00EF494A">
              <w:t>4</w:t>
            </w:r>
          </w:p>
        </w:tc>
        <w:tc>
          <w:tcPr>
            <w:tcW w:w="444" w:type="pct"/>
            <w:gridSpan w:val="2"/>
            <w:tcBorders>
              <w:top w:val="nil"/>
              <w:bottom w:val="nil"/>
            </w:tcBorders>
            <w:shd w:val="clear" w:color="auto" w:fill="F79646" w:themeFill="accent6"/>
            <w:noWrap/>
          </w:tcPr>
          <w:p w:rsidR="00E57FF8" w:rsidRPr="00EF494A" w:rsidRDefault="00E57FF8" w:rsidP="001A591A">
            <w:pPr>
              <w:pStyle w:val="TableTextEntries"/>
              <w:jc w:val="center"/>
            </w:pPr>
            <w:r w:rsidRPr="00EF494A">
              <w:t>3</w:t>
            </w:r>
          </w:p>
        </w:tc>
        <w:tc>
          <w:tcPr>
            <w:tcW w:w="445" w:type="pct"/>
            <w:gridSpan w:val="2"/>
            <w:tcBorders>
              <w:top w:val="nil"/>
              <w:bottom w:val="nil"/>
            </w:tcBorders>
            <w:shd w:val="clear" w:color="auto" w:fill="F79646" w:themeFill="accent6"/>
            <w:noWrap/>
          </w:tcPr>
          <w:p w:rsidR="00E57FF8" w:rsidRPr="00EF494A" w:rsidRDefault="00E57FF8" w:rsidP="001A591A">
            <w:pPr>
              <w:pStyle w:val="TableTextEntries"/>
              <w:jc w:val="center"/>
            </w:pPr>
            <w:r w:rsidRPr="00EF494A">
              <w:t>3</w:t>
            </w:r>
          </w:p>
        </w:tc>
        <w:tc>
          <w:tcPr>
            <w:tcW w:w="453" w:type="pct"/>
            <w:gridSpan w:val="2"/>
            <w:tcBorders>
              <w:top w:val="nil"/>
              <w:bottom w:val="nil"/>
            </w:tcBorders>
            <w:shd w:val="clear" w:color="auto" w:fill="FFFF00"/>
            <w:noWrap/>
          </w:tcPr>
          <w:p w:rsidR="00E57FF8" w:rsidRPr="00EF494A" w:rsidRDefault="00E57FF8" w:rsidP="001A591A">
            <w:pPr>
              <w:pStyle w:val="TableTextEntries"/>
              <w:jc w:val="center"/>
            </w:pPr>
            <w:r w:rsidRPr="00EF494A">
              <w:t>4</w:t>
            </w:r>
          </w:p>
        </w:tc>
      </w:tr>
      <w:tr w:rsidR="00C02E08" w:rsidRPr="00EF494A" w:rsidTr="00EB0C6D">
        <w:trPr>
          <w:gridAfter w:val="1"/>
          <w:cnfStyle w:val="000000010000" w:firstRow="0" w:lastRow="0" w:firstColumn="0" w:lastColumn="0" w:oddVBand="0" w:evenVBand="0" w:oddHBand="0" w:evenHBand="1" w:firstRowFirstColumn="0" w:firstRowLastColumn="0" w:lastRowFirstColumn="0" w:lastRowLastColumn="0"/>
          <w:wAfter w:w="23" w:type="pct"/>
          <w:trHeight w:val="284"/>
          <w:tblHeader w:val="0"/>
        </w:trPr>
        <w:tc>
          <w:tcPr>
            <w:tcW w:w="1028" w:type="pct"/>
            <w:vMerge/>
          </w:tcPr>
          <w:p w:rsidR="00E57FF8" w:rsidRPr="00EF494A" w:rsidRDefault="00E57FF8" w:rsidP="001A591A">
            <w:pPr>
              <w:pStyle w:val="TableTextEntries"/>
            </w:pPr>
          </w:p>
        </w:tc>
        <w:tc>
          <w:tcPr>
            <w:tcW w:w="700" w:type="pct"/>
            <w:vMerge/>
          </w:tcPr>
          <w:p w:rsidR="00E57FF8" w:rsidRPr="00EF494A" w:rsidRDefault="00E57FF8" w:rsidP="001A591A">
            <w:pPr>
              <w:pStyle w:val="TableTextEntries"/>
            </w:pPr>
          </w:p>
        </w:tc>
        <w:tc>
          <w:tcPr>
            <w:tcW w:w="562" w:type="pct"/>
          </w:tcPr>
          <w:p w:rsidR="00E57FF8" w:rsidRPr="00EF494A" w:rsidRDefault="00E57FF8" w:rsidP="001A591A">
            <w:pPr>
              <w:pStyle w:val="TableTextEntries"/>
            </w:pPr>
            <w:r w:rsidRPr="00EF494A">
              <w:t>2012</w:t>
            </w:r>
          </w:p>
        </w:tc>
        <w:tc>
          <w:tcPr>
            <w:tcW w:w="394" w:type="pct"/>
            <w:gridSpan w:val="2"/>
            <w:shd w:val="clear" w:color="auto" w:fill="00B050"/>
            <w:noWrap/>
          </w:tcPr>
          <w:p w:rsidR="00E57FF8" w:rsidRPr="00EF494A" w:rsidRDefault="00E57FF8" w:rsidP="001A591A">
            <w:pPr>
              <w:pStyle w:val="TableTextEntries"/>
              <w:jc w:val="center"/>
            </w:pPr>
            <w:r w:rsidRPr="00EF494A">
              <w:t>5</w:t>
            </w:r>
          </w:p>
        </w:tc>
        <w:tc>
          <w:tcPr>
            <w:tcW w:w="352" w:type="pct"/>
            <w:shd w:val="clear" w:color="auto" w:fill="FFFF00"/>
            <w:noWrap/>
          </w:tcPr>
          <w:p w:rsidR="00E57FF8" w:rsidRPr="00EF494A" w:rsidRDefault="00E57FF8" w:rsidP="001A591A">
            <w:pPr>
              <w:pStyle w:val="TableTextEntries"/>
              <w:jc w:val="center"/>
            </w:pPr>
            <w:r w:rsidRPr="00EF494A">
              <w:t>4</w:t>
            </w:r>
          </w:p>
        </w:tc>
        <w:tc>
          <w:tcPr>
            <w:tcW w:w="423" w:type="pct"/>
            <w:gridSpan w:val="2"/>
            <w:shd w:val="clear" w:color="auto" w:fill="FFFF00"/>
            <w:noWrap/>
          </w:tcPr>
          <w:p w:rsidR="00E57FF8" w:rsidRPr="00EF494A" w:rsidRDefault="00E57FF8" w:rsidP="001A591A">
            <w:pPr>
              <w:pStyle w:val="TableTextEntries"/>
              <w:jc w:val="center"/>
            </w:pPr>
            <w:r w:rsidRPr="00EF494A">
              <w:t>4</w:t>
            </w:r>
          </w:p>
        </w:tc>
        <w:tc>
          <w:tcPr>
            <w:tcW w:w="444" w:type="pct"/>
            <w:gridSpan w:val="2"/>
            <w:shd w:val="clear" w:color="auto" w:fill="FFFF00"/>
            <w:noWrap/>
          </w:tcPr>
          <w:p w:rsidR="00E57FF8" w:rsidRPr="00EF494A" w:rsidRDefault="00E57FF8" w:rsidP="001A591A">
            <w:pPr>
              <w:pStyle w:val="TableTextEntries"/>
              <w:jc w:val="center"/>
            </w:pPr>
            <w:r w:rsidRPr="00EF494A">
              <w:t>4</w:t>
            </w:r>
          </w:p>
        </w:tc>
        <w:tc>
          <w:tcPr>
            <w:tcW w:w="445" w:type="pct"/>
            <w:gridSpan w:val="2"/>
            <w:shd w:val="clear" w:color="auto" w:fill="FFFF00"/>
            <w:noWrap/>
          </w:tcPr>
          <w:p w:rsidR="00E57FF8" w:rsidRPr="00EF494A" w:rsidRDefault="00E57FF8" w:rsidP="001A591A">
            <w:pPr>
              <w:pStyle w:val="TableTextEntries"/>
              <w:jc w:val="center"/>
            </w:pPr>
            <w:r w:rsidRPr="00EF494A">
              <w:t>4</w:t>
            </w:r>
          </w:p>
        </w:tc>
        <w:tc>
          <w:tcPr>
            <w:tcW w:w="453" w:type="pct"/>
            <w:gridSpan w:val="2"/>
            <w:shd w:val="clear" w:color="auto" w:fill="FFFF00"/>
            <w:noWrap/>
          </w:tcPr>
          <w:p w:rsidR="00E57FF8" w:rsidRPr="00EF494A" w:rsidRDefault="00E57FF8" w:rsidP="001A591A">
            <w:pPr>
              <w:pStyle w:val="TableTextEntries"/>
              <w:jc w:val="center"/>
            </w:pPr>
            <w:r w:rsidRPr="00EF494A">
              <w:t>4</w:t>
            </w:r>
          </w:p>
        </w:tc>
      </w:tr>
      <w:tr w:rsidR="00C02E08" w:rsidRPr="00EF494A" w:rsidTr="00EB0C6D">
        <w:trPr>
          <w:gridAfter w:val="1"/>
          <w:wAfter w:w="23" w:type="pct"/>
          <w:trHeight w:val="284"/>
          <w:tblHeader w:val="0"/>
        </w:trPr>
        <w:tc>
          <w:tcPr>
            <w:tcW w:w="1028" w:type="pct"/>
            <w:vMerge w:val="restart"/>
            <w:tcBorders>
              <w:top w:val="nil"/>
              <w:bottom w:val="nil"/>
            </w:tcBorders>
          </w:tcPr>
          <w:p w:rsidR="00E57FF8" w:rsidRPr="00EF494A" w:rsidRDefault="00E57FF8" w:rsidP="001A591A">
            <w:pPr>
              <w:pStyle w:val="TableTextEntries"/>
            </w:pPr>
            <w:r w:rsidRPr="00EF494A">
              <w:t>Laos Basic Education WASH and School Meals</w:t>
            </w:r>
          </w:p>
        </w:tc>
        <w:tc>
          <w:tcPr>
            <w:tcW w:w="700" w:type="pct"/>
            <w:vMerge w:val="restart"/>
            <w:tcBorders>
              <w:top w:val="nil"/>
              <w:bottom w:val="nil"/>
            </w:tcBorders>
          </w:tcPr>
          <w:p w:rsidR="00E57FF8" w:rsidRPr="00EF494A" w:rsidRDefault="00E57FF8" w:rsidP="001A591A">
            <w:pPr>
              <w:pStyle w:val="TableTextEntries"/>
            </w:pPr>
            <w:r w:rsidRPr="00EF494A">
              <w:t>$20.5 million (2013–2017)</w:t>
            </w:r>
          </w:p>
        </w:tc>
        <w:tc>
          <w:tcPr>
            <w:tcW w:w="562" w:type="pct"/>
            <w:tcBorders>
              <w:top w:val="nil"/>
              <w:bottom w:val="nil"/>
            </w:tcBorders>
          </w:tcPr>
          <w:p w:rsidR="00E57FF8" w:rsidRPr="00EF494A" w:rsidRDefault="00E57FF8" w:rsidP="001A591A">
            <w:pPr>
              <w:pStyle w:val="TableTextEntries"/>
            </w:pPr>
            <w:r w:rsidRPr="00EF494A">
              <w:t>2013</w:t>
            </w:r>
          </w:p>
        </w:tc>
        <w:tc>
          <w:tcPr>
            <w:tcW w:w="394" w:type="pct"/>
            <w:gridSpan w:val="2"/>
            <w:tcBorders>
              <w:top w:val="nil"/>
              <w:bottom w:val="nil"/>
            </w:tcBorders>
            <w:shd w:val="clear" w:color="auto" w:fill="00B050"/>
            <w:noWrap/>
          </w:tcPr>
          <w:p w:rsidR="00E57FF8" w:rsidRPr="00EF494A" w:rsidRDefault="00E57FF8" w:rsidP="001A591A">
            <w:pPr>
              <w:pStyle w:val="TableTextEntries"/>
              <w:jc w:val="center"/>
            </w:pPr>
            <w:r w:rsidRPr="00EF494A">
              <w:t>5</w:t>
            </w:r>
          </w:p>
        </w:tc>
        <w:tc>
          <w:tcPr>
            <w:tcW w:w="352" w:type="pct"/>
            <w:tcBorders>
              <w:top w:val="nil"/>
              <w:bottom w:val="nil"/>
            </w:tcBorders>
            <w:shd w:val="clear" w:color="auto" w:fill="FFFF00"/>
            <w:noWrap/>
          </w:tcPr>
          <w:p w:rsidR="00E57FF8" w:rsidRPr="00EF494A" w:rsidRDefault="00E57FF8" w:rsidP="001A591A">
            <w:pPr>
              <w:pStyle w:val="TableTextEntries"/>
              <w:jc w:val="center"/>
            </w:pPr>
            <w:r w:rsidRPr="00EF494A">
              <w:t>4</w:t>
            </w:r>
          </w:p>
        </w:tc>
        <w:tc>
          <w:tcPr>
            <w:tcW w:w="423" w:type="pct"/>
            <w:gridSpan w:val="2"/>
            <w:tcBorders>
              <w:top w:val="nil"/>
              <w:bottom w:val="nil"/>
            </w:tcBorders>
            <w:shd w:val="clear" w:color="auto" w:fill="FFFF00"/>
            <w:noWrap/>
          </w:tcPr>
          <w:p w:rsidR="00E57FF8" w:rsidRPr="00EF494A" w:rsidRDefault="00E57FF8" w:rsidP="001A591A">
            <w:pPr>
              <w:pStyle w:val="TableTextEntries"/>
              <w:jc w:val="center"/>
            </w:pPr>
            <w:r w:rsidRPr="00EF494A">
              <w:t>4</w:t>
            </w:r>
          </w:p>
        </w:tc>
        <w:tc>
          <w:tcPr>
            <w:tcW w:w="444" w:type="pct"/>
            <w:gridSpan w:val="2"/>
            <w:tcBorders>
              <w:top w:val="nil"/>
              <w:bottom w:val="nil"/>
            </w:tcBorders>
            <w:shd w:val="clear" w:color="auto" w:fill="FFFF00"/>
            <w:noWrap/>
          </w:tcPr>
          <w:p w:rsidR="00E57FF8" w:rsidRPr="00EF494A" w:rsidRDefault="00E57FF8" w:rsidP="001A591A">
            <w:pPr>
              <w:pStyle w:val="TableTextEntries"/>
              <w:jc w:val="center"/>
            </w:pPr>
            <w:r w:rsidRPr="00EF494A">
              <w:t>4</w:t>
            </w:r>
          </w:p>
        </w:tc>
        <w:tc>
          <w:tcPr>
            <w:tcW w:w="445" w:type="pct"/>
            <w:gridSpan w:val="2"/>
            <w:tcBorders>
              <w:top w:val="nil"/>
              <w:bottom w:val="nil"/>
            </w:tcBorders>
            <w:shd w:val="clear" w:color="auto" w:fill="00B050"/>
            <w:noWrap/>
          </w:tcPr>
          <w:p w:rsidR="00E57FF8" w:rsidRPr="00EF494A" w:rsidRDefault="00E57FF8" w:rsidP="001A591A">
            <w:pPr>
              <w:pStyle w:val="TableTextEntries"/>
              <w:jc w:val="center"/>
            </w:pPr>
            <w:r w:rsidRPr="00EF494A">
              <w:t>5</w:t>
            </w:r>
          </w:p>
        </w:tc>
        <w:tc>
          <w:tcPr>
            <w:tcW w:w="453" w:type="pct"/>
            <w:gridSpan w:val="2"/>
            <w:tcBorders>
              <w:top w:val="nil"/>
              <w:bottom w:val="nil"/>
            </w:tcBorders>
            <w:shd w:val="clear" w:color="auto" w:fill="00B050"/>
            <w:noWrap/>
          </w:tcPr>
          <w:p w:rsidR="00E57FF8" w:rsidRPr="00EF494A" w:rsidRDefault="00E57FF8" w:rsidP="001A591A">
            <w:pPr>
              <w:pStyle w:val="TableTextEntries"/>
              <w:jc w:val="center"/>
            </w:pPr>
            <w:r w:rsidRPr="00EF494A">
              <w:t>5</w:t>
            </w:r>
          </w:p>
        </w:tc>
      </w:tr>
      <w:tr w:rsidR="00C02E08" w:rsidRPr="00EF494A" w:rsidTr="00EB0C6D">
        <w:trPr>
          <w:gridAfter w:val="1"/>
          <w:cnfStyle w:val="000000010000" w:firstRow="0" w:lastRow="0" w:firstColumn="0" w:lastColumn="0" w:oddVBand="0" w:evenVBand="0" w:oddHBand="0" w:evenHBand="1" w:firstRowFirstColumn="0" w:firstRowLastColumn="0" w:lastRowFirstColumn="0" w:lastRowLastColumn="0"/>
          <w:wAfter w:w="23" w:type="pct"/>
          <w:trHeight w:val="284"/>
          <w:tblHeader w:val="0"/>
        </w:trPr>
        <w:tc>
          <w:tcPr>
            <w:tcW w:w="1028" w:type="pct"/>
            <w:vMerge/>
          </w:tcPr>
          <w:p w:rsidR="00E57FF8" w:rsidRPr="00EF494A" w:rsidRDefault="00E57FF8" w:rsidP="001A591A">
            <w:pPr>
              <w:pStyle w:val="TableTextEntries"/>
            </w:pPr>
          </w:p>
        </w:tc>
        <w:tc>
          <w:tcPr>
            <w:tcW w:w="700" w:type="pct"/>
            <w:vMerge/>
          </w:tcPr>
          <w:p w:rsidR="00E57FF8" w:rsidRPr="00EF494A" w:rsidRDefault="00E57FF8" w:rsidP="001A591A">
            <w:pPr>
              <w:pStyle w:val="TableTextEntries"/>
            </w:pPr>
          </w:p>
        </w:tc>
        <w:tc>
          <w:tcPr>
            <w:tcW w:w="562" w:type="pct"/>
          </w:tcPr>
          <w:p w:rsidR="00E57FF8" w:rsidRPr="00EF494A" w:rsidRDefault="00E57FF8" w:rsidP="001A591A">
            <w:pPr>
              <w:pStyle w:val="TableTextEntries"/>
            </w:pPr>
            <w:r w:rsidRPr="00EF494A">
              <w:t>2012</w:t>
            </w:r>
          </w:p>
        </w:tc>
        <w:tc>
          <w:tcPr>
            <w:tcW w:w="394" w:type="pct"/>
            <w:gridSpan w:val="2"/>
            <w:shd w:val="pct5" w:color="auto" w:fill="FFFFFF" w:themeFill="background1"/>
            <w:noWrap/>
          </w:tcPr>
          <w:p w:rsidR="00E57FF8" w:rsidRPr="00EF494A" w:rsidRDefault="00E57FF8" w:rsidP="001A591A">
            <w:pPr>
              <w:pStyle w:val="TableTextEntries"/>
              <w:jc w:val="center"/>
            </w:pPr>
            <w:r w:rsidRPr="00EF494A">
              <w:t>N/A</w:t>
            </w:r>
          </w:p>
        </w:tc>
        <w:tc>
          <w:tcPr>
            <w:tcW w:w="352" w:type="pct"/>
            <w:shd w:val="pct5" w:color="auto" w:fill="FFFFFF" w:themeFill="background1"/>
            <w:noWrap/>
          </w:tcPr>
          <w:p w:rsidR="00E57FF8" w:rsidRPr="00EF494A" w:rsidRDefault="00E57FF8" w:rsidP="001A591A">
            <w:pPr>
              <w:pStyle w:val="TableTextEntries"/>
              <w:jc w:val="center"/>
            </w:pPr>
            <w:r w:rsidRPr="00EF494A">
              <w:t>N/A</w:t>
            </w:r>
          </w:p>
        </w:tc>
        <w:tc>
          <w:tcPr>
            <w:tcW w:w="423" w:type="pct"/>
            <w:gridSpan w:val="2"/>
            <w:shd w:val="pct5" w:color="auto" w:fill="FFFFFF" w:themeFill="background1"/>
            <w:noWrap/>
          </w:tcPr>
          <w:p w:rsidR="00E57FF8" w:rsidRPr="00EF494A" w:rsidRDefault="00E57FF8" w:rsidP="001A591A">
            <w:pPr>
              <w:pStyle w:val="TableTextEntries"/>
              <w:jc w:val="center"/>
            </w:pPr>
            <w:r w:rsidRPr="00EF494A">
              <w:t>N/A</w:t>
            </w:r>
          </w:p>
        </w:tc>
        <w:tc>
          <w:tcPr>
            <w:tcW w:w="444" w:type="pct"/>
            <w:gridSpan w:val="2"/>
            <w:shd w:val="pct5" w:color="auto" w:fill="FFFFFF" w:themeFill="background1"/>
            <w:noWrap/>
          </w:tcPr>
          <w:p w:rsidR="00E57FF8" w:rsidRPr="00EF494A" w:rsidRDefault="00E57FF8" w:rsidP="001A591A">
            <w:pPr>
              <w:pStyle w:val="TableTextEntries"/>
              <w:jc w:val="center"/>
            </w:pPr>
            <w:r w:rsidRPr="00EF494A">
              <w:t>N/A</w:t>
            </w:r>
          </w:p>
        </w:tc>
        <w:tc>
          <w:tcPr>
            <w:tcW w:w="445" w:type="pct"/>
            <w:gridSpan w:val="2"/>
            <w:shd w:val="pct5" w:color="auto" w:fill="FFFFFF" w:themeFill="background1"/>
            <w:noWrap/>
          </w:tcPr>
          <w:p w:rsidR="00E57FF8" w:rsidRPr="00EF494A" w:rsidRDefault="00E57FF8" w:rsidP="001A591A">
            <w:pPr>
              <w:pStyle w:val="TableTextEntries"/>
              <w:jc w:val="center"/>
            </w:pPr>
            <w:r w:rsidRPr="00EF494A">
              <w:t>N/A</w:t>
            </w:r>
          </w:p>
        </w:tc>
        <w:tc>
          <w:tcPr>
            <w:tcW w:w="453" w:type="pct"/>
            <w:gridSpan w:val="2"/>
            <w:shd w:val="pct5" w:color="auto" w:fill="FFFFFF" w:themeFill="background1"/>
            <w:noWrap/>
          </w:tcPr>
          <w:p w:rsidR="00E57FF8" w:rsidRPr="00EF494A" w:rsidRDefault="00E57FF8" w:rsidP="001A591A">
            <w:pPr>
              <w:pStyle w:val="TableTextEntries"/>
              <w:jc w:val="center"/>
            </w:pPr>
            <w:r w:rsidRPr="00EF494A">
              <w:t>N/A</w:t>
            </w:r>
          </w:p>
        </w:tc>
      </w:tr>
      <w:tr w:rsidR="00C02E08" w:rsidRPr="00EF494A" w:rsidTr="00EB0C6D">
        <w:trPr>
          <w:gridAfter w:val="1"/>
          <w:wAfter w:w="23" w:type="pct"/>
          <w:trHeight w:val="216"/>
          <w:tblHeader w:val="0"/>
        </w:trPr>
        <w:tc>
          <w:tcPr>
            <w:tcW w:w="1028" w:type="pct"/>
            <w:vMerge w:val="restart"/>
            <w:tcBorders>
              <w:top w:val="nil"/>
              <w:bottom w:val="nil"/>
            </w:tcBorders>
          </w:tcPr>
          <w:p w:rsidR="00E57FF8" w:rsidRPr="00EF494A" w:rsidRDefault="00E57FF8" w:rsidP="001A591A">
            <w:pPr>
              <w:pStyle w:val="TableTextEntries"/>
            </w:pPr>
            <w:r w:rsidRPr="00EF494A">
              <w:t>The Second Trade Development Facility</w:t>
            </w:r>
          </w:p>
        </w:tc>
        <w:tc>
          <w:tcPr>
            <w:tcW w:w="700" w:type="pct"/>
            <w:vMerge w:val="restart"/>
            <w:tcBorders>
              <w:top w:val="nil"/>
              <w:bottom w:val="nil"/>
            </w:tcBorders>
          </w:tcPr>
          <w:p w:rsidR="00E57FF8" w:rsidRPr="00EF494A" w:rsidRDefault="00E57FF8" w:rsidP="001A591A">
            <w:pPr>
              <w:pStyle w:val="TableTextEntries"/>
            </w:pPr>
            <w:r w:rsidRPr="00EF494A">
              <w:t>$5.4 million (2013–2017)</w:t>
            </w:r>
          </w:p>
        </w:tc>
        <w:tc>
          <w:tcPr>
            <w:tcW w:w="562" w:type="pct"/>
            <w:tcBorders>
              <w:top w:val="nil"/>
              <w:bottom w:val="nil"/>
            </w:tcBorders>
          </w:tcPr>
          <w:p w:rsidR="00E57FF8" w:rsidRPr="00EF494A" w:rsidRDefault="00E57FF8" w:rsidP="001A591A">
            <w:pPr>
              <w:pStyle w:val="TableTextEntries"/>
            </w:pPr>
            <w:r w:rsidRPr="00EF494A">
              <w:t>2013</w:t>
            </w:r>
          </w:p>
        </w:tc>
        <w:tc>
          <w:tcPr>
            <w:tcW w:w="394" w:type="pct"/>
            <w:gridSpan w:val="2"/>
            <w:tcBorders>
              <w:top w:val="nil"/>
              <w:bottom w:val="nil"/>
            </w:tcBorders>
            <w:shd w:val="clear" w:color="auto" w:fill="00B050"/>
            <w:noWrap/>
          </w:tcPr>
          <w:p w:rsidR="00E57FF8" w:rsidRPr="00EF494A" w:rsidRDefault="00E57FF8" w:rsidP="001A591A">
            <w:pPr>
              <w:pStyle w:val="TableTextEntries"/>
              <w:jc w:val="center"/>
            </w:pPr>
            <w:r w:rsidRPr="00EF494A">
              <w:t>5</w:t>
            </w:r>
          </w:p>
        </w:tc>
        <w:tc>
          <w:tcPr>
            <w:tcW w:w="352" w:type="pct"/>
            <w:tcBorders>
              <w:top w:val="nil"/>
              <w:bottom w:val="nil"/>
            </w:tcBorders>
            <w:shd w:val="clear" w:color="auto" w:fill="FFFF00"/>
            <w:noWrap/>
          </w:tcPr>
          <w:p w:rsidR="00E57FF8" w:rsidRPr="00EF494A" w:rsidRDefault="00E57FF8" w:rsidP="001A591A">
            <w:pPr>
              <w:pStyle w:val="TableTextEntries"/>
              <w:jc w:val="center"/>
            </w:pPr>
            <w:r w:rsidRPr="00EF494A">
              <w:t>4</w:t>
            </w:r>
          </w:p>
        </w:tc>
        <w:tc>
          <w:tcPr>
            <w:tcW w:w="423" w:type="pct"/>
            <w:gridSpan w:val="2"/>
            <w:tcBorders>
              <w:top w:val="nil"/>
              <w:bottom w:val="nil"/>
            </w:tcBorders>
            <w:shd w:val="clear" w:color="auto" w:fill="FFFF00"/>
            <w:noWrap/>
          </w:tcPr>
          <w:p w:rsidR="00E57FF8" w:rsidRPr="00EF494A" w:rsidRDefault="00E57FF8" w:rsidP="001A591A">
            <w:pPr>
              <w:pStyle w:val="TableTextEntries"/>
              <w:jc w:val="center"/>
            </w:pPr>
            <w:r w:rsidRPr="00EF494A">
              <w:t>4</w:t>
            </w:r>
          </w:p>
        </w:tc>
        <w:tc>
          <w:tcPr>
            <w:tcW w:w="444" w:type="pct"/>
            <w:gridSpan w:val="2"/>
            <w:tcBorders>
              <w:top w:val="nil"/>
              <w:bottom w:val="nil"/>
            </w:tcBorders>
            <w:shd w:val="clear" w:color="auto" w:fill="FFFF00"/>
            <w:noWrap/>
          </w:tcPr>
          <w:p w:rsidR="00E57FF8" w:rsidRPr="00EF494A" w:rsidRDefault="00E57FF8" w:rsidP="001A591A">
            <w:pPr>
              <w:pStyle w:val="TableTextEntries"/>
              <w:jc w:val="center"/>
            </w:pPr>
            <w:r w:rsidRPr="00EF494A">
              <w:t>4</w:t>
            </w:r>
          </w:p>
        </w:tc>
        <w:tc>
          <w:tcPr>
            <w:tcW w:w="445" w:type="pct"/>
            <w:gridSpan w:val="2"/>
            <w:tcBorders>
              <w:top w:val="nil"/>
              <w:bottom w:val="nil"/>
            </w:tcBorders>
            <w:shd w:val="clear" w:color="auto" w:fill="FFFF00"/>
            <w:noWrap/>
          </w:tcPr>
          <w:p w:rsidR="00E57FF8" w:rsidRPr="00EF494A" w:rsidRDefault="00E57FF8" w:rsidP="001A591A">
            <w:pPr>
              <w:pStyle w:val="TableTextEntries"/>
              <w:jc w:val="center"/>
            </w:pPr>
            <w:r w:rsidRPr="00EF494A">
              <w:t>4</w:t>
            </w:r>
          </w:p>
        </w:tc>
        <w:tc>
          <w:tcPr>
            <w:tcW w:w="453" w:type="pct"/>
            <w:gridSpan w:val="2"/>
            <w:tcBorders>
              <w:top w:val="nil"/>
              <w:bottom w:val="nil"/>
            </w:tcBorders>
            <w:shd w:val="clear" w:color="auto" w:fill="FFFF00"/>
            <w:noWrap/>
          </w:tcPr>
          <w:p w:rsidR="00E57FF8" w:rsidRPr="00EF494A" w:rsidRDefault="00E57FF8" w:rsidP="001A591A">
            <w:pPr>
              <w:pStyle w:val="TableTextEntries"/>
              <w:jc w:val="center"/>
            </w:pPr>
            <w:r w:rsidRPr="00EF494A">
              <w:t>4</w:t>
            </w:r>
          </w:p>
        </w:tc>
      </w:tr>
      <w:tr w:rsidR="00C02E08" w:rsidRPr="00EF494A" w:rsidTr="00EB0C6D">
        <w:trPr>
          <w:gridAfter w:val="1"/>
          <w:cnfStyle w:val="000000010000" w:firstRow="0" w:lastRow="0" w:firstColumn="0" w:lastColumn="0" w:oddVBand="0" w:evenVBand="0" w:oddHBand="0" w:evenHBand="1" w:firstRowFirstColumn="0" w:firstRowLastColumn="0" w:lastRowFirstColumn="0" w:lastRowLastColumn="0"/>
          <w:wAfter w:w="23" w:type="pct"/>
          <w:trHeight w:val="250"/>
          <w:tblHeader w:val="0"/>
        </w:trPr>
        <w:tc>
          <w:tcPr>
            <w:tcW w:w="1028" w:type="pct"/>
            <w:vMerge/>
          </w:tcPr>
          <w:p w:rsidR="00E57FF8" w:rsidRPr="00EF494A" w:rsidRDefault="00E57FF8" w:rsidP="001A591A">
            <w:pPr>
              <w:pStyle w:val="TableTextEntries"/>
            </w:pPr>
          </w:p>
        </w:tc>
        <w:tc>
          <w:tcPr>
            <w:tcW w:w="700" w:type="pct"/>
            <w:vMerge/>
          </w:tcPr>
          <w:p w:rsidR="00E57FF8" w:rsidRPr="00EF494A" w:rsidRDefault="00E57FF8" w:rsidP="001A591A">
            <w:pPr>
              <w:pStyle w:val="TableTextEntries"/>
            </w:pPr>
          </w:p>
        </w:tc>
        <w:tc>
          <w:tcPr>
            <w:tcW w:w="562" w:type="pct"/>
          </w:tcPr>
          <w:p w:rsidR="00E57FF8" w:rsidRPr="00EF494A" w:rsidRDefault="00E57FF8" w:rsidP="001A591A">
            <w:pPr>
              <w:pStyle w:val="TableTextEntries"/>
            </w:pPr>
            <w:r w:rsidRPr="00EF494A">
              <w:t>2012</w:t>
            </w:r>
          </w:p>
        </w:tc>
        <w:tc>
          <w:tcPr>
            <w:tcW w:w="394" w:type="pct"/>
            <w:gridSpan w:val="2"/>
            <w:shd w:val="clear" w:color="auto" w:fill="00B050"/>
            <w:noWrap/>
          </w:tcPr>
          <w:p w:rsidR="00E57FF8" w:rsidRPr="00EF494A" w:rsidRDefault="00E57FF8" w:rsidP="001A591A">
            <w:pPr>
              <w:pStyle w:val="TableTextEntries"/>
              <w:jc w:val="center"/>
            </w:pPr>
            <w:r w:rsidRPr="00EF494A">
              <w:t>5</w:t>
            </w:r>
          </w:p>
        </w:tc>
        <w:tc>
          <w:tcPr>
            <w:tcW w:w="352" w:type="pct"/>
            <w:shd w:val="clear" w:color="auto" w:fill="00B050"/>
            <w:noWrap/>
          </w:tcPr>
          <w:p w:rsidR="00E57FF8" w:rsidRPr="00EF494A" w:rsidRDefault="00E57FF8" w:rsidP="001A591A">
            <w:pPr>
              <w:pStyle w:val="TableTextEntries"/>
              <w:jc w:val="center"/>
            </w:pPr>
            <w:r w:rsidRPr="00EF494A">
              <w:t>5</w:t>
            </w:r>
          </w:p>
        </w:tc>
        <w:tc>
          <w:tcPr>
            <w:tcW w:w="423" w:type="pct"/>
            <w:gridSpan w:val="2"/>
            <w:shd w:val="clear" w:color="auto" w:fill="00B050"/>
            <w:noWrap/>
          </w:tcPr>
          <w:p w:rsidR="00E57FF8" w:rsidRPr="00EF494A" w:rsidRDefault="00E57FF8" w:rsidP="001A591A">
            <w:pPr>
              <w:pStyle w:val="TableTextEntries"/>
              <w:jc w:val="center"/>
            </w:pPr>
            <w:r w:rsidRPr="00EF494A">
              <w:t>5</w:t>
            </w:r>
          </w:p>
        </w:tc>
        <w:tc>
          <w:tcPr>
            <w:tcW w:w="444" w:type="pct"/>
            <w:gridSpan w:val="2"/>
            <w:shd w:val="clear" w:color="auto" w:fill="FFFF00"/>
            <w:noWrap/>
          </w:tcPr>
          <w:p w:rsidR="00E57FF8" w:rsidRPr="00EF494A" w:rsidRDefault="00E57FF8" w:rsidP="001A591A">
            <w:pPr>
              <w:pStyle w:val="TableTextEntries"/>
              <w:jc w:val="center"/>
            </w:pPr>
            <w:r w:rsidRPr="00EF494A">
              <w:t>4</w:t>
            </w:r>
          </w:p>
        </w:tc>
        <w:tc>
          <w:tcPr>
            <w:tcW w:w="445" w:type="pct"/>
            <w:gridSpan w:val="2"/>
            <w:shd w:val="clear" w:color="auto" w:fill="FFFF00"/>
            <w:noWrap/>
          </w:tcPr>
          <w:p w:rsidR="00E57FF8" w:rsidRPr="00EF494A" w:rsidRDefault="00E57FF8" w:rsidP="001A591A">
            <w:pPr>
              <w:pStyle w:val="TableTextEntries"/>
              <w:jc w:val="center"/>
            </w:pPr>
            <w:r w:rsidRPr="00EF494A">
              <w:t>4</w:t>
            </w:r>
          </w:p>
        </w:tc>
        <w:tc>
          <w:tcPr>
            <w:tcW w:w="453" w:type="pct"/>
            <w:gridSpan w:val="2"/>
            <w:shd w:val="clear" w:color="auto" w:fill="FFFF00"/>
            <w:noWrap/>
          </w:tcPr>
          <w:p w:rsidR="00E57FF8" w:rsidRPr="00EF494A" w:rsidRDefault="00E57FF8" w:rsidP="001A591A">
            <w:pPr>
              <w:pStyle w:val="TableTextEntries"/>
              <w:jc w:val="center"/>
            </w:pPr>
            <w:r w:rsidRPr="00EF494A">
              <w:t>4</w:t>
            </w:r>
          </w:p>
        </w:tc>
      </w:tr>
      <w:tr w:rsidR="00C02E08" w:rsidRPr="00EF494A" w:rsidTr="00EB0C6D">
        <w:trPr>
          <w:gridAfter w:val="1"/>
          <w:wAfter w:w="23" w:type="pct"/>
          <w:trHeight w:val="257"/>
          <w:tblHeader w:val="0"/>
        </w:trPr>
        <w:tc>
          <w:tcPr>
            <w:tcW w:w="1028" w:type="pct"/>
            <w:vMerge w:val="restart"/>
            <w:tcBorders>
              <w:top w:val="nil"/>
              <w:bottom w:val="nil"/>
            </w:tcBorders>
          </w:tcPr>
          <w:p w:rsidR="00E57FF8" w:rsidRPr="00EF494A" w:rsidRDefault="00E57FF8" w:rsidP="001A591A">
            <w:pPr>
              <w:pStyle w:val="TableTextEntries"/>
            </w:pPr>
            <w:r w:rsidRPr="00EF494A">
              <w:t>Laos-NGO Cooperation Agreements</w:t>
            </w:r>
          </w:p>
        </w:tc>
        <w:tc>
          <w:tcPr>
            <w:tcW w:w="700" w:type="pct"/>
            <w:vMerge w:val="restart"/>
            <w:tcBorders>
              <w:top w:val="nil"/>
              <w:bottom w:val="nil"/>
            </w:tcBorders>
          </w:tcPr>
          <w:p w:rsidR="00E57FF8" w:rsidRPr="00EF494A" w:rsidRDefault="00E57FF8" w:rsidP="001A591A">
            <w:pPr>
              <w:pStyle w:val="TableTextEntries"/>
            </w:pPr>
            <w:r w:rsidRPr="00EF494A">
              <w:t>14 million (2005–2014)</w:t>
            </w:r>
          </w:p>
        </w:tc>
        <w:tc>
          <w:tcPr>
            <w:tcW w:w="562" w:type="pct"/>
            <w:tcBorders>
              <w:top w:val="nil"/>
              <w:bottom w:val="nil"/>
            </w:tcBorders>
            <w:shd w:val="clear" w:color="auto" w:fill="auto"/>
          </w:tcPr>
          <w:p w:rsidR="00E57FF8" w:rsidRPr="00EF494A" w:rsidRDefault="00E57FF8" w:rsidP="001A591A">
            <w:pPr>
              <w:pStyle w:val="TableTextEntries"/>
            </w:pPr>
            <w:r w:rsidRPr="00EF494A">
              <w:t>2013</w:t>
            </w:r>
          </w:p>
        </w:tc>
        <w:tc>
          <w:tcPr>
            <w:tcW w:w="394" w:type="pct"/>
            <w:gridSpan w:val="2"/>
            <w:tcBorders>
              <w:top w:val="nil"/>
              <w:bottom w:val="nil"/>
            </w:tcBorders>
            <w:shd w:val="clear" w:color="auto" w:fill="FFFF00"/>
            <w:noWrap/>
          </w:tcPr>
          <w:p w:rsidR="00E57FF8" w:rsidRPr="00EF494A" w:rsidRDefault="00E57FF8" w:rsidP="001A591A">
            <w:pPr>
              <w:pStyle w:val="TableTextEntries"/>
              <w:jc w:val="center"/>
            </w:pPr>
            <w:r w:rsidRPr="00EF494A">
              <w:t>4</w:t>
            </w:r>
          </w:p>
        </w:tc>
        <w:tc>
          <w:tcPr>
            <w:tcW w:w="352" w:type="pct"/>
            <w:tcBorders>
              <w:top w:val="nil"/>
              <w:bottom w:val="nil"/>
            </w:tcBorders>
            <w:shd w:val="clear" w:color="auto" w:fill="00B050"/>
            <w:noWrap/>
          </w:tcPr>
          <w:p w:rsidR="00E57FF8" w:rsidRPr="00EF494A" w:rsidRDefault="00E57FF8" w:rsidP="001A591A">
            <w:pPr>
              <w:pStyle w:val="TableTextEntries"/>
              <w:jc w:val="center"/>
            </w:pPr>
            <w:r w:rsidRPr="00EF494A">
              <w:t>5</w:t>
            </w:r>
          </w:p>
        </w:tc>
        <w:tc>
          <w:tcPr>
            <w:tcW w:w="423" w:type="pct"/>
            <w:gridSpan w:val="2"/>
            <w:tcBorders>
              <w:top w:val="nil"/>
              <w:bottom w:val="nil"/>
            </w:tcBorders>
            <w:shd w:val="clear" w:color="auto" w:fill="00B050"/>
            <w:noWrap/>
          </w:tcPr>
          <w:p w:rsidR="00E57FF8" w:rsidRPr="00EF494A" w:rsidRDefault="00E57FF8" w:rsidP="001A591A">
            <w:pPr>
              <w:pStyle w:val="TableTextEntries"/>
              <w:jc w:val="center"/>
            </w:pPr>
            <w:r w:rsidRPr="00EF494A">
              <w:t>5</w:t>
            </w:r>
          </w:p>
        </w:tc>
        <w:tc>
          <w:tcPr>
            <w:tcW w:w="444" w:type="pct"/>
            <w:gridSpan w:val="2"/>
            <w:tcBorders>
              <w:top w:val="nil"/>
              <w:bottom w:val="nil"/>
            </w:tcBorders>
            <w:shd w:val="clear" w:color="auto" w:fill="F79646" w:themeFill="accent6"/>
            <w:noWrap/>
          </w:tcPr>
          <w:p w:rsidR="00E57FF8" w:rsidRPr="00EF494A" w:rsidRDefault="00E57FF8" w:rsidP="001A591A">
            <w:pPr>
              <w:pStyle w:val="TableTextEntries"/>
              <w:jc w:val="center"/>
            </w:pPr>
            <w:r w:rsidRPr="00EF494A">
              <w:t>3</w:t>
            </w:r>
          </w:p>
        </w:tc>
        <w:tc>
          <w:tcPr>
            <w:tcW w:w="445" w:type="pct"/>
            <w:gridSpan w:val="2"/>
            <w:tcBorders>
              <w:top w:val="nil"/>
              <w:bottom w:val="nil"/>
            </w:tcBorders>
            <w:shd w:val="clear" w:color="auto" w:fill="FFFF00"/>
            <w:noWrap/>
          </w:tcPr>
          <w:p w:rsidR="00E57FF8" w:rsidRPr="00EF494A" w:rsidRDefault="00E57FF8" w:rsidP="001A591A">
            <w:pPr>
              <w:pStyle w:val="TableTextEntries"/>
              <w:jc w:val="center"/>
            </w:pPr>
            <w:r w:rsidRPr="00EF494A">
              <w:t>4</w:t>
            </w:r>
          </w:p>
        </w:tc>
        <w:tc>
          <w:tcPr>
            <w:tcW w:w="453" w:type="pct"/>
            <w:gridSpan w:val="2"/>
            <w:tcBorders>
              <w:top w:val="nil"/>
              <w:bottom w:val="nil"/>
            </w:tcBorders>
            <w:shd w:val="clear" w:color="auto" w:fill="FFFF00"/>
            <w:noWrap/>
          </w:tcPr>
          <w:p w:rsidR="00E57FF8" w:rsidRPr="00EF494A" w:rsidRDefault="00E57FF8" w:rsidP="001A591A">
            <w:pPr>
              <w:pStyle w:val="TableTextEntries"/>
              <w:jc w:val="center"/>
            </w:pPr>
            <w:r w:rsidRPr="00EF494A">
              <w:t>4</w:t>
            </w:r>
          </w:p>
        </w:tc>
      </w:tr>
      <w:tr w:rsidR="00C02E08" w:rsidRPr="00EF494A" w:rsidTr="00EB0C6D">
        <w:trPr>
          <w:gridAfter w:val="1"/>
          <w:cnfStyle w:val="000000010000" w:firstRow="0" w:lastRow="0" w:firstColumn="0" w:lastColumn="0" w:oddVBand="0" w:evenVBand="0" w:oddHBand="0" w:evenHBand="1" w:firstRowFirstColumn="0" w:firstRowLastColumn="0" w:lastRowFirstColumn="0" w:lastRowLastColumn="0"/>
          <w:wAfter w:w="23" w:type="pct"/>
          <w:trHeight w:val="279"/>
          <w:tblHeader w:val="0"/>
        </w:trPr>
        <w:tc>
          <w:tcPr>
            <w:tcW w:w="1028" w:type="pct"/>
            <w:vMerge/>
          </w:tcPr>
          <w:p w:rsidR="00E57FF8" w:rsidRPr="00EF494A" w:rsidRDefault="00E57FF8" w:rsidP="001A591A">
            <w:pPr>
              <w:pStyle w:val="TableTextEntries"/>
            </w:pPr>
          </w:p>
        </w:tc>
        <w:tc>
          <w:tcPr>
            <w:tcW w:w="700" w:type="pct"/>
            <w:vMerge/>
          </w:tcPr>
          <w:p w:rsidR="00E57FF8" w:rsidRPr="00EF494A" w:rsidRDefault="00E57FF8" w:rsidP="001A591A">
            <w:pPr>
              <w:pStyle w:val="TableTextEntries"/>
            </w:pPr>
          </w:p>
        </w:tc>
        <w:tc>
          <w:tcPr>
            <w:tcW w:w="562" w:type="pct"/>
          </w:tcPr>
          <w:p w:rsidR="00E57FF8" w:rsidRPr="00EF494A" w:rsidRDefault="00E57FF8" w:rsidP="001A591A">
            <w:pPr>
              <w:pStyle w:val="TableTextEntries"/>
            </w:pPr>
            <w:r w:rsidRPr="00EF494A">
              <w:t>2012</w:t>
            </w:r>
          </w:p>
        </w:tc>
        <w:tc>
          <w:tcPr>
            <w:tcW w:w="394" w:type="pct"/>
            <w:gridSpan w:val="2"/>
            <w:shd w:val="clear" w:color="auto" w:fill="FFFF00"/>
            <w:noWrap/>
          </w:tcPr>
          <w:p w:rsidR="00E57FF8" w:rsidRPr="00EF494A" w:rsidRDefault="00E57FF8" w:rsidP="001A591A">
            <w:pPr>
              <w:pStyle w:val="TableTextEntries"/>
              <w:jc w:val="center"/>
            </w:pPr>
            <w:r w:rsidRPr="00EF494A">
              <w:t>4</w:t>
            </w:r>
          </w:p>
        </w:tc>
        <w:tc>
          <w:tcPr>
            <w:tcW w:w="352" w:type="pct"/>
            <w:shd w:val="clear" w:color="auto" w:fill="FFFF00"/>
            <w:noWrap/>
          </w:tcPr>
          <w:p w:rsidR="00E57FF8" w:rsidRPr="00EF494A" w:rsidRDefault="00E57FF8" w:rsidP="001A591A">
            <w:pPr>
              <w:pStyle w:val="TableTextEntries"/>
              <w:jc w:val="center"/>
            </w:pPr>
            <w:r w:rsidRPr="00EF494A">
              <w:t>4</w:t>
            </w:r>
          </w:p>
        </w:tc>
        <w:tc>
          <w:tcPr>
            <w:tcW w:w="423" w:type="pct"/>
            <w:gridSpan w:val="2"/>
            <w:shd w:val="clear" w:color="auto" w:fill="FFFF00"/>
            <w:noWrap/>
          </w:tcPr>
          <w:p w:rsidR="00E57FF8" w:rsidRPr="00EF494A" w:rsidRDefault="00E57FF8" w:rsidP="001A591A">
            <w:pPr>
              <w:pStyle w:val="TableTextEntries"/>
              <w:jc w:val="center"/>
            </w:pPr>
            <w:r w:rsidRPr="00EF494A">
              <w:t>4</w:t>
            </w:r>
          </w:p>
        </w:tc>
        <w:tc>
          <w:tcPr>
            <w:tcW w:w="444" w:type="pct"/>
            <w:gridSpan w:val="2"/>
            <w:shd w:val="clear" w:color="auto" w:fill="FFFF00"/>
            <w:noWrap/>
          </w:tcPr>
          <w:p w:rsidR="00E57FF8" w:rsidRPr="00EF494A" w:rsidRDefault="00E57FF8" w:rsidP="001A591A">
            <w:pPr>
              <w:pStyle w:val="TableTextEntries"/>
              <w:jc w:val="center"/>
            </w:pPr>
            <w:r w:rsidRPr="00EF494A">
              <w:t>4</w:t>
            </w:r>
          </w:p>
        </w:tc>
        <w:tc>
          <w:tcPr>
            <w:tcW w:w="445" w:type="pct"/>
            <w:gridSpan w:val="2"/>
            <w:shd w:val="clear" w:color="auto" w:fill="FFFF00"/>
            <w:noWrap/>
          </w:tcPr>
          <w:p w:rsidR="00E57FF8" w:rsidRPr="00EF494A" w:rsidRDefault="00E57FF8" w:rsidP="001A591A">
            <w:pPr>
              <w:pStyle w:val="TableTextEntries"/>
              <w:jc w:val="center"/>
            </w:pPr>
            <w:r w:rsidRPr="00EF494A">
              <w:t>4</w:t>
            </w:r>
          </w:p>
        </w:tc>
        <w:tc>
          <w:tcPr>
            <w:tcW w:w="453" w:type="pct"/>
            <w:gridSpan w:val="2"/>
            <w:shd w:val="clear" w:color="auto" w:fill="FFFF00"/>
            <w:noWrap/>
          </w:tcPr>
          <w:p w:rsidR="00E57FF8" w:rsidRPr="00EF494A" w:rsidRDefault="00E57FF8" w:rsidP="001A591A">
            <w:pPr>
              <w:pStyle w:val="TableTextEntries"/>
              <w:jc w:val="center"/>
            </w:pPr>
            <w:r w:rsidRPr="00EF494A">
              <w:t>4</w:t>
            </w:r>
          </w:p>
        </w:tc>
      </w:tr>
      <w:tr w:rsidR="00C02E08" w:rsidRPr="00EF494A" w:rsidTr="00EB0C6D">
        <w:trPr>
          <w:gridAfter w:val="1"/>
          <w:wAfter w:w="23" w:type="pct"/>
          <w:trHeight w:val="262"/>
          <w:tblHeader w:val="0"/>
        </w:trPr>
        <w:tc>
          <w:tcPr>
            <w:tcW w:w="1028" w:type="pct"/>
            <w:vMerge w:val="restart"/>
            <w:tcBorders>
              <w:top w:val="nil"/>
              <w:bottom w:val="nil"/>
            </w:tcBorders>
          </w:tcPr>
          <w:p w:rsidR="00E57FF8" w:rsidRPr="00EF494A" w:rsidRDefault="00E57FF8" w:rsidP="001A591A">
            <w:pPr>
              <w:pStyle w:val="TableTextEntries"/>
            </w:pPr>
            <w:r w:rsidRPr="00EF494A">
              <w:t>Laos: unexploded ordnance consolidated</w:t>
            </w:r>
          </w:p>
        </w:tc>
        <w:tc>
          <w:tcPr>
            <w:tcW w:w="700" w:type="pct"/>
            <w:vMerge w:val="restart"/>
            <w:tcBorders>
              <w:top w:val="nil"/>
              <w:bottom w:val="nil"/>
            </w:tcBorders>
          </w:tcPr>
          <w:p w:rsidR="00E57FF8" w:rsidRPr="00EF494A" w:rsidRDefault="00E57FF8" w:rsidP="001A591A">
            <w:pPr>
              <w:pStyle w:val="TableTextEntries"/>
            </w:pPr>
            <w:r w:rsidRPr="00EF494A">
              <w:t>$14 million</w:t>
            </w:r>
          </w:p>
          <w:p w:rsidR="00E57FF8" w:rsidRPr="00EF494A" w:rsidRDefault="00E57FF8" w:rsidP="001A591A">
            <w:pPr>
              <w:pStyle w:val="TableTextEntries"/>
            </w:pPr>
            <w:r w:rsidRPr="00EF494A">
              <w:t>(2009–2016)</w:t>
            </w:r>
          </w:p>
        </w:tc>
        <w:tc>
          <w:tcPr>
            <w:tcW w:w="562" w:type="pct"/>
            <w:tcBorders>
              <w:top w:val="nil"/>
              <w:bottom w:val="nil"/>
            </w:tcBorders>
          </w:tcPr>
          <w:p w:rsidR="00E57FF8" w:rsidRPr="00EF494A" w:rsidRDefault="00E57FF8" w:rsidP="001A591A">
            <w:pPr>
              <w:pStyle w:val="TableTextEntries"/>
            </w:pPr>
            <w:r w:rsidRPr="00EF494A">
              <w:t>2013</w:t>
            </w:r>
          </w:p>
        </w:tc>
        <w:tc>
          <w:tcPr>
            <w:tcW w:w="394" w:type="pct"/>
            <w:gridSpan w:val="2"/>
            <w:tcBorders>
              <w:top w:val="nil"/>
              <w:bottom w:val="nil"/>
            </w:tcBorders>
            <w:shd w:val="clear" w:color="auto" w:fill="00B050"/>
            <w:noWrap/>
          </w:tcPr>
          <w:p w:rsidR="00E57FF8" w:rsidRPr="00EF494A" w:rsidRDefault="00E57FF8" w:rsidP="001A591A">
            <w:pPr>
              <w:pStyle w:val="TableTextEntries"/>
              <w:jc w:val="center"/>
            </w:pPr>
            <w:r w:rsidRPr="00EF494A">
              <w:t>6</w:t>
            </w:r>
          </w:p>
        </w:tc>
        <w:tc>
          <w:tcPr>
            <w:tcW w:w="352" w:type="pct"/>
            <w:tcBorders>
              <w:top w:val="nil"/>
              <w:bottom w:val="nil"/>
            </w:tcBorders>
            <w:shd w:val="clear" w:color="auto" w:fill="FFFF00"/>
            <w:noWrap/>
          </w:tcPr>
          <w:p w:rsidR="00E57FF8" w:rsidRPr="00EF494A" w:rsidRDefault="00E57FF8" w:rsidP="001A591A">
            <w:pPr>
              <w:pStyle w:val="TableTextEntries"/>
              <w:jc w:val="center"/>
            </w:pPr>
            <w:r w:rsidRPr="00EF494A">
              <w:t>4</w:t>
            </w:r>
          </w:p>
        </w:tc>
        <w:tc>
          <w:tcPr>
            <w:tcW w:w="423" w:type="pct"/>
            <w:gridSpan w:val="2"/>
            <w:tcBorders>
              <w:top w:val="nil"/>
              <w:bottom w:val="nil"/>
            </w:tcBorders>
            <w:shd w:val="clear" w:color="auto" w:fill="F79646" w:themeFill="accent6"/>
            <w:noWrap/>
          </w:tcPr>
          <w:p w:rsidR="00E57FF8" w:rsidRPr="00EF494A" w:rsidRDefault="00E57FF8" w:rsidP="001A591A">
            <w:pPr>
              <w:pStyle w:val="TableTextEntries"/>
              <w:jc w:val="center"/>
            </w:pPr>
            <w:r w:rsidRPr="00EF494A">
              <w:t>3</w:t>
            </w:r>
          </w:p>
        </w:tc>
        <w:tc>
          <w:tcPr>
            <w:tcW w:w="444" w:type="pct"/>
            <w:gridSpan w:val="2"/>
            <w:tcBorders>
              <w:top w:val="nil"/>
              <w:bottom w:val="nil"/>
            </w:tcBorders>
            <w:shd w:val="clear" w:color="auto" w:fill="F79646" w:themeFill="accent6"/>
            <w:noWrap/>
          </w:tcPr>
          <w:p w:rsidR="00E57FF8" w:rsidRPr="00EF494A" w:rsidRDefault="00E57FF8" w:rsidP="001A591A">
            <w:pPr>
              <w:pStyle w:val="TableTextEntries"/>
              <w:jc w:val="center"/>
            </w:pPr>
            <w:r w:rsidRPr="00EF494A">
              <w:t>3</w:t>
            </w:r>
          </w:p>
        </w:tc>
        <w:tc>
          <w:tcPr>
            <w:tcW w:w="445" w:type="pct"/>
            <w:gridSpan w:val="2"/>
            <w:tcBorders>
              <w:top w:val="nil"/>
              <w:bottom w:val="nil"/>
            </w:tcBorders>
            <w:shd w:val="clear" w:color="auto" w:fill="FFFF00"/>
            <w:noWrap/>
          </w:tcPr>
          <w:p w:rsidR="00E57FF8" w:rsidRPr="00EF494A" w:rsidRDefault="00E57FF8" w:rsidP="001A591A">
            <w:pPr>
              <w:pStyle w:val="TableTextEntries"/>
              <w:jc w:val="center"/>
            </w:pPr>
            <w:r w:rsidRPr="00EF494A">
              <w:t>4</w:t>
            </w:r>
          </w:p>
        </w:tc>
        <w:tc>
          <w:tcPr>
            <w:tcW w:w="453" w:type="pct"/>
            <w:gridSpan w:val="2"/>
            <w:tcBorders>
              <w:top w:val="nil"/>
              <w:bottom w:val="nil"/>
            </w:tcBorders>
            <w:shd w:val="clear" w:color="auto" w:fill="FFFF00"/>
            <w:noWrap/>
          </w:tcPr>
          <w:p w:rsidR="00E57FF8" w:rsidRPr="00EF494A" w:rsidRDefault="00E57FF8" w:rsidP="001A591A">
            <w:pPr>
              <w:pStyle w:val="TableTextEntries"/>
              <w:jc w:val="center"/>
            </w:pPr>
            <w:r w:rsidRPr="00EF494A">
              <w:t>4</w:t>
            </w:r>
          </w:p>
        </w:tc>
      </w:tr>
      <w:tr w:rsidR="00C02E08" w:rsidRPr="00EF494A" w:rsidTr="00EB0C6D">
        <w:trPr>
          <w:gridAfter w:val="1"/>
          <w:cnfStyle w:val="000000010000" w:firstRow="0" w:lastRow="0" w:firstColumn="0" w:lastColumn="0" w:oddVBand="0" w:evenVBand="0" w:oddHBand="0" w:evenHBand="1" w:firstRowFirstColumn="0" w:firstRowLastColumn="0" w:lastRowFirstColumn="0" w:lastRowLastColumn="0"/>
          <w:wAfter w:w="23" w:type="pct"/>
          <w:trHeight w:val="238"/>
          <w:tblHeader w:val="0"/>
        </w:trPr>
        <w:tc>
          <w:tcPr>
            <w:tcW w:w="1028" w:type="pct"/>
            <w:vMerge/>
          </w:tcPr>
          <w:p w:rsidR="00E57FF8" w:rsidRPr="00EF494A" w:rsidRDefault="00E57FF8" w:rsidP="001A591A">
            <w:pPr>
              <w:pStyle w:val="TableTextEntries"/>
            </w:pPr>
          </w:p>
        </w:tc>
        <w:tc>
          <w:tcPr>
            <w:tcW w:w="700" w:type="pct"/>
            <w:vMerge/>
          </w:tcPr>
          <w:p w:rsidR="00E57FF8" w:rsidRPr="00EF494A" w:rsidRDefault="00E57FF8" w:rsidP="001A591A">
            <w:pPr>
              <w:pStyle w:val="TableTextEntries"/>
            </w:pPr>
          </w:p>
        </w:tc>
        <w:tc>
          <w:tcPr>
            <w:tcW w:w="562" w:type="pct"/>
          </w:tcPr>
          <w:p w:rsidR="00E57FF8" w:rsidRPr="00EF494A" w:rsidRDefault="00E57FF8" w:rsidP="001A591A">
            <w:pPr>
              <w:pStyle w:val="TableTextEntries"/>
            </w:pPr>
            <w:r w:rsidRPr="00EF494A">
              <w:t>2012</w:t>
            </w:r>
          </w:p>
        </w:tc>
        <w:tc>
          <w:tcPr>
            <w:tcW w:w="394" w:type="pct"/>
            <w:gridSpan w:val="2"/>
            <w:shd w:val="clear" w:color="auto" w:fill="00B050"/>
            <w:noWrap/>
          </w:tcPr>
          <w:p w:rsidR="00E57FF8" w:rsidRPr="00EF494A" w:rsidRDefault="00E57FF8" w:rsidP="001A591A">
            <w:pPr>
              <w:pStyle w:val="TableTextEntries"/>
              <w:jc w:val="center"/>
            </w:pPr>
            <w:r w:rsidRPr="00EF494A">
              <w:t>6</w:t>
            </w:r>
          </w:p>
        </w:tc>
        <w:tc>
          <w:tcPr>
            <w:tcW w:w="352" w:type="pct"/>
            <w:shd w:val="clear" w:color="auto" w:fill="00B050"/>
            <w:noWrap/>
          </w:tcPr>
          <w:p w:rsidR="00E57FF8" w:rsidRPr="00EF494A" w:rsidRDefault="00E57FF8" w:rsidP="001A591A">
            <w:pPr>
              <w:pStyle w:val="TableTextEntries"/>
              <w:jc w:val="center"/>
            </w:pPr>
            <w:r w:rsidRPr="00EF494A">
              <w:t>5</w:t>
            </w:r>
          </w:p>
        </w:tc>
        <w:tc>
          <w:tcPr>
            <w:tcW w:w="423" w:type="pct"/>
            <w:gridSpan w:val="2"/>
            <w:shd w:val="clear" w:color="auto" w:fill="FFFF00"/>
            <w:noWrap/>
          </w:tcPr>
          <w:p w:rsidR="00E57FF8" w:rsidRPr="00EF494A" w:rsidRDefault="00E57FF8" w:rsidP="001A591A">
            <w:pPr>
              <w:pStyle w:val="TableTextEntries"/>
              <w:jc w:val="center"/>
            </w:pPr>
            <w:r w:rsidRPr="00EF494A">
              <w:t>4</w:t>
            </w:r>
          </w:p>
        </w:tc>
        <w:tc>
          <w:tcPr>
            <w:tcW w:w="444" w:type="pct"/>
            <w:gridSpan w:val="2"/>
            <w:shd w:val="clear" w:color="auto" w:fill="FFFF00"/>
            <w:noWrap/>
          </w:tcPr>
          <w:p w:rsidR="00E57FF8" w:rsidRPr="00EF494A" w:rsidRDefault="00E57FF8" w:rsidP="001A591A">
            <w:pPr>
              <w:pStyle w:val="TableTextEntries"/>
              <w:jc w:val="center"/>
            </w:pPr>
            <w:r w:rsidRPr="00EF494A">
              <w:t>4</w:t>
            </w:r>
          </w:p>
        </w:tc>
        <w:tc>
          <w:tcPr>
            <w:tcW w:w="445" w:type="pct"/>
            <w:gridSpan w:val="2"/>
            <w:shd w:val="clear" w:color="auto" w:fill="FFFF00"/>
            <w:noWrap/>
          </w:tcPr>
          <w:p w:rsidR="00E57FF8" w:rsidRPr="00EF494A" w:rsidRDefault="00E57FF8" w:rsidP="001A591A">
            <w:pPr>
              <w:pStyle w:val="TableTextEntries"/>
              <w:jc w:val="center"/>
            </w:pPr>
            <w:r w:rsidRPr="00EF494A">
              <w:t>4</w:t>
            </w:r>
          </w:p>
        </w:tc>
        <w:tc>
          <w:tcPr>
            <w:tcW w:w="453" w:type="pct"/>
            <w:gridSpan w:val="2"/>
            <w:shd w:val="clear" w:color="auto" w:fill="FFFF00"/>
            <w:noWrap/>
          </w:tcPr>
          <w:p w:rsidR="00E57FF8" w:rsidRPr="00EF494A" w:rsidRDefault="00E57FF8" w:rsidP="001A591A">
            <w:pPr>
              <w:pStyle w:val="TableTextEntries"/>
              <w:jc w:val="center"/>
            </w:pPr>
            <w:r w:rsidRPr="00EF494A">
              <w:t>4</w:t>
            </w:r>
          </w:p>
        </w:tc>
      </w:tr>
      <w:tr w:rsidR="00C02E08" w:rsidRPr="00EF494A" w:rsidTr="00EB0C6D">
        <w:trPr>
          <w:gridAfter w:val="1"/>
          <w:wAfter w:w="23" w:type="pct"/>
          <w:trHeight w:val="334"/>
          <w:tblHeader w:val="0"/>
        </w:trPr>
        <w:tc>
          <w:tcPr>
            <w:tcW w:w="1028" w:type="pct"/>
            <w:vMerge w:val="restart"/>
            <w:tcBorders>
              <w:top w:val="nil"/>
              <w:bottom w:val="nil"/>
            </w:tcBorders>
          </w:tcPr>
          <w:p w:rsidR="00E57FF8" w:rsidRPr="00EF494A" w:rsidRDefault="00E57FF8" w:rsidP="001A591A">
            <w:pPr>
              <w:pStyle w:val="TableTextEntries"/>
            </w:pPr>
            <w:r w:rsidRPr="00EF494A">
              <w:t>Laos Australia Rural Livelihood Program</w:t>
            </w:r>
          </w:p>
        </w:tc>
        <w:tc>
          <w:tcPr>
            <w:tcW w:w="700" w:type="pct"/>
            <w:vMerge w:val="restart"/>
            <w:tcBorders>
              <w:top w:val="nil"/>
              <w:bottom w:val="nil"/>
            </w:tcBorders>
          </w:tcPr>
          <w:p w:rsidR="00E57FF8" w:rsidRPr="00EF494A" w:rsidRDefault="00E57FF8" w:rsidP="001A591A">
            <w:pPr>
              <w:pStyle w:val="TableTextEntries"/>
            </w:pPr>
            <w:r w:rsidRPr="00EF494A">
              <w:t>$38 million (2012–2016)</w:t>
            </w:r>
          </w:p>
        </w:tc>
        <w:tc>
          <w:tcPr>
            <w:tcW w:w="562" w:type="pct"/>
            <w:tcBorders>
              <w:top w:val="nil"/>
              <w:bottom w:val="nil"/>
            </w:tcBorders>
          </w:tcPr>
          <w:p w:rsidR="00E57FF8" w:rsidRPr="00EF494A" w:rsidRDefault="00E57FF8" w:rsidP="001A591A">
            <w:pPr>
              <w:pStyle w:val="TableTextEntries"/>
            </w:pPr>
            <w:r w:rsidRPr="00EF494A">
              <w:t>2013</w:t>
            </w:r>
          </w:p>
        </w:tc>
        <w:tc>
          <w:tcPr>
            <w:tcW w:w="394" w:type="pct"/>
            <w:gridSpan w:val="2"/>
            <w:tcBorders>
              <w:top w:val="nil"/>
              <w:bottom w:val="nil"/>
            </w:tcBorders>
            <w:shd w:val="clear" w:color="auto" w:fill="00B050"/>
            <w:noWrap/>
          </w:tcPr>
          <w:p w:rsidR="00E57FF8" w:rsidRPr="00EF494A" w:rsidRDefault="00E57FF8" w:rsidP="001A591A">
            <w:pPr>
              <w:pStyle w:val="TableTextEntries"/>
              <w:jc w:val="center"/>
            </w:pPr>
            <w:r w:rsidRPr="00EF494A">
              <w:t>6</w:t>
            </w:r>
          </w:p>
        </w:tc>
        <w:tc>
          <w:tcPr>
            <w:tcW w:w="352" w:type="pct"/>
            <w:tcBorders>
              <w:top w:val="nil"/>
              <w:bottom w:val="nil"/>
            </w:tcBorders>
            <w:shd w:val="clear" w:color="auto" w:fill="FFFF00"/>
            <w:noWrap/>
          </w:tcPr>
          <w:p w:rsidR="00E57FF8" w:rsidRPr="00EF494A" w:rsidRDefault="00E57FF8" w:rsidP="001A591A">
            <w:pPr>
              <w:pStyle w:val="TableTextEntries"/>
              <w:jc w:val="center"/>
            </w:pPr>
            <w:r w:rsidRPr="00EF494A">
              <w:t>4</w:t>
            </w:r>
          </w:p>
        </w:tc>
        <w:tc>
          <w:tcPr>
            <w:tcW w:w="423" w:type="pct"/>
            <w:gridSpan w:val="2"/>
            <w:tcBorders>
              <w:top w:val="nil"/>
              <w:bottom w:val="nil"/>
            </w:tcBorders>
            <w:shd w:val="clear" w:color="auto" w:fill="FFFF00"/>
            <w:noWrap/>
          </w:tcPr>
          <w:p w:rsidR="00E57FF8" w:rsidRPr="00EF494A" w:rsidRDefault="00E57FF8" w:rsidP="001A591A">
            <w:pPr>
              <w:pStyle w:val="TableTextEntries"/>
              <w:jc w:val="center"/>
            </w:pPr>
            <w:r w:rsidRPr="00EF494A">
              <w:t>4</w:t>
            </w:r>
          </w:p>
        </w:tc>
        <w:tc>
          <w:tcPr>
            <w:tcW w:w="444" w:type="pct"/>
            <w:gridSpan w:val="2"/>
            <w:tcBorders>
              <w:top w:val="nil"/>
              <w:bottom w:val="nil"/>
            </w:tcBorders>
            <w:shd w:val="clear" w:color="auto" w:fill="00B050"/>
            <w:noWrap/>
          </w:tcPr>
          <w:p w:rsidR="00E57FF8" w:rsidRPr="00EF494A" w:rsidRDefault="00E57FF8" w:rsidP="001A591A">
            <w:pPr>
              <w:pStyle w:val="TableTextEntries"/>
              <w:jc w:val="center"/>
            </w:pPr>
            <w:r w:rsidRPr="00EF494A">
              <w:t>5</w:t>
            </w:r>
          </w:p>
        </w:tc>
        <w:tc>
          <w:tcPr>
            <w:tcW w:w="445" w:type="pct"/>
            <w:gridSpan w:val="2"/>
            <w:tcBorders>
              <w:top w:val="nil"/>
              <w:bottom w:val="nil"/>
            </w:tcBorders>
            <w:shd w:val="clear" w:color="auto" w:fill="FFFF00"/>
            <w:noWrap/>
          </w:tcPr>
          <w:p w:rsidR="00E57FF8" w:rsidRPr="00EF494A" w:rsidRDefault="00E57FF8" w:rsidP="001A591A">
            <w:pPr>
              <w:pStyle w:val="TableTextEntries"/>
              <w:jc w:val="center"/>
            </w:pPr>
            <w:r w:rsidRPr="00EF494A">
              <w:t>4</w:t>
            </w:r>
          </w:p>
        </w:tc>
        <w:tc>
          <w:tcPr>
            <w:tcW w:w="453" w:type="pct"/>
            <w:gridSpan w:val="2"/>
            <w:tcBorders>
              <w:top w:val="nil"/>
              <w:bottom w:val="nil"/>
            </w:tcBorders>
            <w:shd w:val="clear" w:color="auto" w:fill="00B050"/>
            <w:noWrap/>
          </w:tcPr>
          <w:p w:rsidR="00E57FF8" w:rsidRPr="00EF494A" w:rsidRDefault="00E57FF8" w:rsidP="001A591A">
            <w:pPr>
              <w:pStyle w:val="TableTextEntries"/>
              <w:jc w:val="center"/>
            </w:pPr>
            <w:r w:rsidRPr="00EF494A">
              <w:t>5</w:t>
            </w:r>
          </w:p>
        </w:tc>
      </w:tr>
      <w:tr w:rsidR="00C02E08" w:rsidRPr="00EF494A" w:rsidTr="00EB0C6D">
        <w:trPr>
          <w:gridAfter w:val="1"/>
          <w:cnfStyle w:val="000000010000" w:firstRow="0" w:lastRow="0" w:firstColumn="0" w:lastColumn="0" w:oddVBand="0" w:evenVBand="0" w:oddHBand="0" w:evenHBand="1" w:firstRowFirstColumn="0" w:firstRowLastColumn="0" w:lastRowFirstColumn="0" w:lastRowLastColumn="0"/>
          <w:wAfter w:w="23" w:type="pct"/>
          <w:trHeight w:val="255"/>
          <w:tblHeader w:val="0"/>
        </w:trPr>
        <w:tc>
          <w:tcPr>
            <w:tcW w:w="1028" w:type="pct"/>
            <w:vMerge/>
          </w:tcPr>
          <w:p w:rsidR="00E57FF8" w:rsidRPr="00EF494A" w:rsidRDefault="00E57FF8" w:rsidP="001A591A">
            <w:pPr>
              <w:pStyle w:val="TableTextEntries"/>
            </w:pPr>
          </w:p>
        </w:tc>
        <w:tc>
          <w:tcPr>
            <w:tcW w:w="700" w:type="pct"/>
            <w:vMerge/>
          </w:tcPr>
          <w:p w:rsidR="00E57FF8" w:rsidRPr="00EF494A" w:rsidRDefault="00E57FF8" w:rsidP="001A591A">
            <w:pPr>
              <w:pStyle w:val="TableTextEntries"/>
            </w:pPr>
          </w:p>
        </w:tc>
        <w:tc>
          <w:tcPr>
            <w:tcW w:w="562" w:type="pct"/>
          </w:tcPr>
          <w:p w:rsidR="00E57FF8" w:rsidRPr="00EF494A" w:rsidRDefault="00E57FF8" w:rsidP="001A591A">
            <w:pPr>
              <w:pStyle w:val="TableTextEntries"/>
            </w:pPr>
            <w:r w:rsidRPr="00EF494A">
              <w:t>2012</w:t>
            </w:r>
          </w:p>
        </w:tc>
        <w:tc>
          <w:tcPr>
            <w:tcW w:w="394" w:type="pct"/>
            <w:gridSpan w:val="2"/>
            <w:shd w:val="clear" w:color="auto" w:fill="00B050"/>
            <w:noWrap/>
          </w:tcPr>
          <w:p w:rsidR="00E57FF8" w:rsidRPr="00EF494A" w:rsidRDefault="00E57FF8" w:rsidP="001A591A">
            <w:pPr>
              <w:pStyle w:val="TableTextEntries"/>
              <w:jc w:val="center"/>
            </w:pPr>
            <w:r w:rsidRPr="00EF494A">
              <w:t>5</w:t>
            </w:r>
          </w:p>
        </w:tc>
        <w:tc>
          <w:tcPr>
            <w:tcW w:w="352" w:type="pct"/>
            <w:shd w:val="clear" w:color="auto" w:fill="FFFF00"/>
            <w:noWrap/>
          </w:tcPr>
          <w:p w:rsidR="00E57FF8" w:rsidRPr="00EF494A" w:rsidRDefault="00E57FF8" w:rsidP="001A591A">
            <w:pPr>
              <w:pStyle w:val="TableTextEntries"/>
              <w:jc w:val="center"/>
            </w:pPr>
            <w:r w:rsidRPr="00EF494A">
              <w:t>4</w:t>
            </w:r>
          </w:p>
        </w:tc>
        <w:tc>
          <w:tcPr>
            <w:tcW w:w="423" w:type="pct"/>
            <w:gridSpan w:val="2"/>
            <w:shd w:val="clear" w:color="auto" w:fill="FFFF00"/>
            <w:noWrap/>
          </w:tcPr>
          <w:p w:rsidR="00E57FF8" w:rsidRPr="00EF494A" w:rsidRDefault="00E57FF8" w:rsidP="001A591A">
            <w:pPr>
              <w:pStyle w:val="TableTextEntries"/>
              <w:jc w:val="center"/>
            </w:pPr>
            <w:r w:rsidRPr="00EF494A">
              <w:t>4</w:t>
            </w:r>
          </w:p>
        </w:tc>
        <w:tc>
          <w:tcPr>
            <w:tcW w:w="444" w:type="pct"/>
            <w:gridSpan w:val="2"/>
            <w:shd w:val="clear" w:color="auto" w:fill="FFFF00"/>
            <w:noWrap/>
          </w:tcPr>
          <w:p w:rsidR="00E57FF8" w:rsidRPr="00EF494A" w:rsidRDefault="00E57FF8" w:rsidP="001A591A">
            <w:pPr>
              <w:pStyle w:val="TableTextEntries"/>
              <w:jc w:val="center"/>
            </w:pPr>
            <w:r w:rsidRPr="00EF494A">
              <w:t>4</w:t>
            </w:r>
          </w:p>
        </w:tc>
        <w:tc>
          <w:tcPr>
            <w:tcW w:w="445" w:type="pct"/>
            <w:gridSpan w:val="2"/>
            <w:shd w:val="clear" w:color="auto" w:fill="FFFF00"/>
            <w:noWrap/>
          </w:tcPr>
          <w:p w:rsidR="00E57FF8" w:rsidRPr="00EF494A" w:rsidRDefault="00E57FF8" w:rsidP="001A591A">
            <w:pPr>
              <w:pStyle w:val="TableTextEntries"/>
              <w:jc w:val="center"/>
            </w:pPr>
            <w:r w:rsidRPr="00EF494A">
              <w:t>4</w:t>
            </w:r>
          </w:p>
        </w:tc>
        <w:tc>
          <w:tcPr>
            <w:tcW w:w="453" w:type="pct"/>
            <w:gridSpan w:val="2"/>
            <w:shd w:val="clear" w:color="auto" w:fill="FFFF00"/>
            <w:noWrap/>
          </w:tcPr>
          <w:p w:rsidR="00E57FF8" w:rsidRPr="00EF494A" w:rsidRDefault="00E57FF8" w:rsidP="001A591A">
            <w:pPr>
              <w:pStyle w:val="TableTextEntries"/>
              <w:jc w:val="center"/>
            </w:pPr>
            <w:r w:rsidRPr="00EF494A">
              <w:t>4</w:t>
            </w:r>
          </w:p>
        </w:tc>
      </w:tr>
      <w:tr w:rsidR="00C02E08" w:rsidRPr="00EF494A" w:rsidTr="00EB0C6D">
        <w:trPr>
          <w:gridAfter w:val="1"/>
          <w:wAfter w:w="23" w:type="pct"/>
          <w:trHeight w:val="372"/>
          <w:tblHeader w:val="0"/>
        </w:trPr>
        <w:tc>
          <w:tcPr>
            <w:tcW w:w="1028" w:type="pct"/>
            <w:vMerge w:val="restart"/>
            <w:tcBorders>
              <w:top w:val="nil"/>
              <w:bottom w:val="nil"/>
            </w:tcBorders>
          </w:tcPr>
          <w:p w:rsidR="00E57FF8" w:rsidRPr="00EF494A" w:rsidRDefault="00E57FF8" w:rsidP="001A591A">
            <w:pPr>
              <w:pStyle w:val="TableTextEntries"/>
            </w:pPr>
            <w:r w:rsidRPr="00EF494A">
              <w:t>Northern Transport Network Improvement Program</w:t>
            </w:r>
          </w:p>
        </w:tc>
        <w:tc>
          <w:tcPr>
            <w:tcW w:w="700" w:type="pct"/>
            <w:vMerge w:val="restart"/>
            <w:tcBorders>
              <w:top w:val="nil"/>
              <w:bottom w:val="nil"/>
            </w:tcBorders>
          </w:tcPr>
          <w:p w:rsidR="00E57FF8" w:rsidRPr="00EF494A" w:rsidRDefault="00E57FF8" w:rsidP="001A591A">
            <w:pPr>
              <w:pStyle w:val="TableTextEntries"/>
            </w:pPr>
            <w:r w:rsidRPr="00EF494A">
              <w:t>$18.8 million (2008–2014)</w:t>
            </w:r>
          </w:p>
        </w:tc>
        <w:tc>
          <w:tcPr>
            <w:tcW w:w="562" w:type="pct"/>
            <w:tcBorders>
              <w:top w:val="nil"/>
              <w:bottom w:val="nil"/>
            </w:tcBorders>
          </w:tcPr>
          <w:p w:rsidR="00E57FF8" w:rsidRPr="00EF494A" w:rsidRDefault="00E57FF8" w:rsidP="001A591A">
            <w:pPr>
              <w:pStyle w:val="TableTextEntries"/>
            </w:pPr>
            <w:r w:rsidRPr="00EF494A">
              <w:t>2013</w:t>
            </w:r>
          </w:p>
        </w:tc>
        <w:tc>
          <w:tcPr>
            <w:tcW w:w="394" w:type="pct"/>
            <w:gridSpan w:val="2"/>
            <w:tcBorders>
              <w:top w:val="nil"/>
              <w:bottom w:val="nil"/>
            </w:tcBorders>
            <w:shd w:val="clear" w:color="auto" w:fill="00B050"/>
            <w:noWrap/>
          </w:tcPr>
          <w:p w:rsidR="00E57FF8" w:rsidRPr="00EF494A" w:rsidRDefault="00E57FF8" w:rsidP="001A591A">
            <w:pPr>
              <w:pStyle w:val="TableTextEntries"/>
              <w:jc w:val="center"/>
            </w:pPr>
            <w:r w:rsidRPr="00EF494A">
              <w:t>5</w:t>
            </w:r>
          </w:p>
        </w:tc>
        <w:tc>
          <w:tcPr>
            <w:tcW w:w="352" w:type="pct"/>
            <w:tcBorders>
              <w:top w:val="nil"/>
              <w:bottom w:val="nil"/>
            </w:tcBorders>
            <w:shd w:val="clear" w:color="auto" w:fill="00B050"/>
            <w:noWrap/>
          </w:tcPr>
          <w:p w:rsidR="00E57FF8" w:rsidRPr="00EF494A" w:rsidRDefault="00E57FF8" w:rsidP="001A591A">
            <w:pPr>
              <w:pStyle w:val="TableTextEntries"/>
              <w:jc w:val="center"/>
            </w:pPr>
            <w:r w:rsidRPr="00EF494A">
              <w:t>5</w:t>
            </w:r>
          </w:p>
        </w:tc>
        <w:tc>
          <w:tcPr>
            <w:tcW w:w="423" w:type="pct"/>
            <w:gridSpan w:val="2"/>
            <w:tcBorders>
              <w:top w:val="nil"/>
              <w:bottom w:val="nil"/>
            </w:tcBorders>
            <w:shd w:val="clear" w:color="auto" w:fill="FFFF00"/>
            <w:noWrap/>
          </w:tcPr>
          <w:p w:rsidR="00E57FF8" w:rsidRPr="00EF494A" w:rsidRDefault="00E57FF8" w:rsidP="001A591A">
            <w:pPr>
              <w:pStyle w:val="TableTextEntries"/>
              <w:jc w:val="center"/>
            </w:pPr>
            <w:r w:rsidRPr="00EF494A">
              <w:t>4</w:t>
            </w:r>
          </w:p>
        </w:tc>
        <w:tc>
          <w:tcPr>
            <w:tcW w:w="444" w:type="pct"/>
            <w:gridSpan w:val="2"/>
            <w:tcBorders>
              <w:top w:val="nil"/>
              <w:bottom w:val="nil"/>
            </w:tcBorders>
            <w:shd w:val="clear" w:color="auto" w:fill="FFFF00"/>
            <w:noWrap/>
          </w:tcPr>
          <w:p w:rsidR="00E57FF8" w:rsidRPr="00EF494A" w:rsidRDefault="00E57FF8" w:rsidP="001A591A">
            <w:pPr>
              <w:pStyle w:val="TableTextEntries"/>
              <w:jc w:val="center"/>
            </w:pPr>
            <w:r w:rsidRPr="00EF494A">
              <w:t>4</w:t>
            </w:r>
          </w:p>
        </w:tc>
        <w:tc>
          <w:tcPr>
            <w:tcW w:w="445" w:type="pct"/>
            <w:gridSpan w:val="2"/>
            <w:tcBorders>
              <w:top w:val="nil"/>
              <w:bottom w:val="nil"/>
            </w:tcBorders>
            <w:shd w:val="clear" w:color="auto" w:fill="F79646" w:themeFill="accent6"/>
            <w:noWrap/>
          </w:tcPr>
          <w:p w:rsidR="00E57FF8" w:rsidRPr="00EF494A" w:rsidRDefault="00E57FF8" w:rsidP="001A591A">
            <w:pPr>
              <w:pStyle w:val="TableTextEntries"/>
              <w:jc w:val="center"/>
            </w:pPr>
            <w:r w:rsidRPr="00EF494A">
              <w:t>3</w:t>
            </w:r>
          </w:p>
        </w:tc>
        <w:tc>
          <w:tcPr>
            <w:tcW w:w="453" w:type="pct"/>
            <w:gridSpan w:val="2"/>
            <w:tcBorders>
              <w:top w:val="nil"/>
              <w:bottom w:val="nil"/>
            </w:tcBorders>
            <w:shd w:val="clear" w:color="auto" w:fill="FFFF00"/>
            <w:noWrap/>
          </w:tcPr>
          <w:p w:rsidR="00E57FF8" w:rsidRPr="00EF494A" w:rsidRDefault="00E57FF8" w:rsidP="001A591A">
            <w:pPr>
              <w:pStyle w:val="TableTextEntries"/>
              <w:jc w:val="center"/>
            </w:pPr>
            <w:r w:rsidRPr="00EF494A">
              <w:t>4</w:t>
            </w:r>
          </w:p>
        </w:tc>
      </w:tr>
      <w:tr w:rsidR="00C02E08" w:rsidRPr="00EF494A" w:rsidTr="00EB0C6D">
        <w:trPr>
          <w:gridAfter w:val="1"/>
          <w:cnfStyle w:val="000000010000" w:firstRow="0" w:lastRow="0" w:firstColumn="0" w:lastColumn="0" w:oddVBand="0" w:evenVBand="0" w:oddHBand="0" w:evenHBand="1" w:firstRowFirstColumn="0" w:firstRowLastColumn="0" w:lastRowFirstColumn="0" w:lastRowLastColumn="0"/>
          <w:wAfter w:w="23" w:type="pct"/>
          <w:trHeight w:val="251"/>
          <w:tblHeader w:val="0"/>
        </w:trPr>
        <w:tc>
          <w:tcPr>
            <w:tcW w:w="1028" w:type="pct"/>
            <w:vMerge/>
          </w:tcPr>
          <w:p w:rsidR="00E57FF8" w:rsidRPr="00EF494A" w:rsidRDefault="00E57FF8" w:rsidP="001A591A">
            <w:pPr>
              <w:pStyle w:val="TableTextEntries"/>
            </w:pPr>
          </w:p>
        </w:tc>
        <w:tc>
          <w:tcPr>
            <w:tcW w:w="700" w:type="pct"/>
            <w:vMerge/>
          </w:tcPr>
          <w:p w:rsidR="00E57FF8" w:rsidRPr="00EF494A" w:rsidRDefault="00E57FF8" w:rsidP="001A591A">
            <w:pPr>
              <w:pStyle w:val="TableTextEntries"/>
            </w:pPr>
          </w:p>
        </w:tc>
        <w:tc>
          <w:tcPr>
            <w:tcW w:w="562" w:type="pct"/>
          </w:tcPr>
          <w:p w:rsidR="00E57FF8" w:rsidRPr="00EF494A" w:rsidRDefault="00E57FF8" w:rsidP="001A591A">
            <w:pPr>
              <w:pStyle w:val="TableTextEntries"/>
            </w:pPr>
            <w:r w:rsidRPr="00EF494A">
              <w:t>2012</w:t>
            </w:r>
          </w:p>
        </w:tc>
        <w:tc>
          <w:tcPr>
            <w:tcW w:w="394" w:type="pct"/>
            <w:gridSpan w:val="2"/>
            <w:shd w:val="clear" w:color="auto" w:fill="00B050"/>
            <w:noWrap/>
          </w:tcPr>
          <w:p w:rsidR="00E57FF8" w:rsidRPr="00EF494A" w:rsidRDefault="00E57FF8" w:rsidP="001A591A">
            <w:pPr>
              <w:pStyle w:val="TableTextEntries"/>
              <w:jc w:val="center"/>
            </w:pPr>
            <w:r w:rsidRPr="00EF494A">
              <w:t>6</w:t>
            </w:r>
          </w:p>
        </w:tc>
        <w:tc>
          <w:tcPr>
            <w:tcW w:w="352" w:type="pct"/>
            <w:shd w:val="clear" w:color="auto" w:fill="FFFF00"/>
            <w:noWrap/>
          </w:tcPr>
          <w:p w:rsidR="00E57FF8" w:rsidRPr="00EF494A" w:rsidRDefault="00E57FF8" w:rsidP="001A591A">
            <w:pPr>
              <w:pStyle w:val="TableTextEntries"/>
              <w:jc w:val="center"/>
            </w:pPr>
            <w:r w:rsidRPr="00EF494A">
              <w:t>4</w:t>
            </w:r>
          </w:p>
        </w:tc>
        <w:tc>
          <w:tcPr>
            <w:tcW w:w="423" w:type="pct"/>
            <w:gridSpan w:val="2"/>
            <w:shd w:val="clear" w:color="auto" w:fill="00B050"/>
            <w:noWrap/>
          </w:tcPr>
          <w:p w:rsidR="00E57FF8" w:rsidRPr="00EF494A" w:rsidRDefault="00E57FF8" w:rsidP="001A591A">
            <w:pPr>
              <w:pStyle w:val="TableTextEntries"/>
              <w:jc w:val="center"/>
            </w:pPr>
            <w:r w:rsidRPr="00EF494A">
              <w:t>5</w:t>
            </w:r>
          </w:p>
        </w:tc>
        <w:tc>
          <w:tcPr>
            <w:tcW w:w="444" w:type="pct"/>
            <w:gridSpan w:val="2"/>
            <w:shd w:val="clear" w:color="auto" w:fill="FFFF00"/>
            <w:noWrap/>
          </w:tcPr>
          <w:p w:rsidR="00E57FF8" w:rsidRPr="00EF494A" w:rsidRDefault="00E57FF8" w:rsidP="001A591A">
            <w:pPr>
              <w:pStyle w:val="TableTextEntries"/>
              <w:jc w:val="center"/>
            </w:pPr>
            <w:r w:rsidRPr="00EF494A">
              <w:t>4</w:t>
            </w:r>
          </w:p>
        </w:tc>
        <w:tc>
          <w:tcPr>
            <w:tcW w:w="445" w:type="pct"/>
            <w:gridSpan w:val="2"/>
            <w:shd w:val="clear" w:color="auto" w:fill="FFFF00"/>
            <w:noWrap/>
          </w:tcPr>
          <w:p w:rsidR="00E57FF8" w:rsidRPr="00EF494A" w:rsidRDefault="00E57FF8" w:rsidP="001A591A">
            <w:pPr>
              <w:pStyle w:val="TableTextEntries"/>
              <w:jc w:val="center"/>
            </w:pPr>
            <w:r w:rsidRPr="00EF494A">
              <w:t>4</w:t>
            </w:r>
          </w:p>
        </w:tc>
        <w:tc>
          <w:tcPr>
            <w:tcW w:w="453" w:type="pct"/>
            <w:gridSpan w:val="2"/>
            <w:shd w:val="clear" w:color="auto" w:fill="FFFF00"/>
            <w:noWrap/>
          </w:tcPr>
          <w:p w:rsidR="00E57FF8" w:rsidRPr="00EF494A" w:rsidRDefault="00E57FF8" w:rsidP="001A591A">
            <w:pPr>
              <w:pStyle w:val="TableTextEntries"/>
              <w:jc w:val="center"/>
            </w:pPr>
            <w:r w:rsidRPr="00EF494A">
              <w:t>4</w:t>
            </w:r>
          </w:p>
        </w:tc>
      </w:tr>
      <w:tr w:rsidR="00C02E08" w:rsidRPr="00EF494A" w:rsidTr="00EB0C6D">
        <w:trPr>
          <w:gridAfter w:val="1"/>
          <w:wAfter w:w="23" w:type="pct"/>
          <w:trHeight w:val="284"/>
          <w:tblHeader w:val="0"/>
        </w:trPr>
        <w:tc>
          <w:tcPr>
            <w:tcW w:w="1028" w:type="pct"/>
            <w:vMerge w:val="restart"/>
            <w:tcBorders>
              <w:top w:val="nil"/>
              <w:bottom w:val="nil"/>
            </w:tcBorders>
          </w:tcPr>
          <w:p w:rsidR="00E57FF8" w:rsidRPr="00EF494A" w:rsidRDefault="00E57FF8" w:rsidP="001A591A">
            <w:pPr>
              <w:pStyle w:val="TableTextEntries"/>
            </w:pPr>
            <w:r w:rsidRPr="00EF494A">
              <w:t>Poverty Reduction Fund Phase II</w:t>
            </w:r>
          </w:p>
        </w:tc>
        <w:tc>
          <w:tcPr>
            <w:tcW w:w="700" w:type="pct"/>
            <w:vMerge w:val="restart"/>
            <w:tcBorders>
              <w:top w:val="nil"/>
              <w:bottom w:val="nil"/>
            </w:tcBorders>
          </w:tcPr>
          <w:p w:rsidR="00E57FF8" w:rsidRPr="00EF494A" w:rsidRDefault="00E57FF8" w:rsidP="001A591A">
            <w:pPr>
              <w:pStyle w:val="TableTextEntries"/>
            </w:pPr>
            <w:r w:rsidRPr="00EF494A">
              <w:t>$21 million (2011–2017)</w:t>
            </w:r>
          </w:p>
        </w:tc>
        <w:tc>
          <w:tcPr>
            <w:tcW w:w="562" w:type="pct"/>
            <w:tcBorders>
              <w:top w:val="nil"/>
              <w:bottom w:val="nil"/>
            </w:tcBorders>
          </w:tcPr>
          <w:p w:rsidR="00E57FF8" w:rsidRPr="00EF494A" w:rsidRDefault="00E57FF8" w:rsidP="001A591A">
            <w:pPr>
              <w:pStyle w:val="TableTextEntries"/>
            </w:pPr>
            <w:r w:rsidRPr="00EF494A">
              <w:t>2013</w:t>
            </w:r>
          </w:p>
        </w:tc>
        <w:tc>
          <w:tcPr>
            <w:tcW w:w="394" w:type="pct"/>
            <w:gridSpan w:val="2"/>
            <w:tcBorders>
              <w:top w:val="nil"/>
              <w:bottom w:val="nil"/>
            </w:tcBorders>
            <w:shd w:val="clear" w:color="auto" w:fill="00B050"/>
            <w:noWrap/>
          </w:tcPr>
          <w:p w:rsidR="00E57FF8" w:rsidRPr="00EF494A" w:rsidRDefault="00E57FF8" w:rsidP="001A591A">
            <w:pPr>
              <w:pStyle w:val="TableTextEntries"/>
              <w:jc w:val="center"/>
            </w:pPr>
            <w:r w:rsidRPr="00EF494A">
              <w:t>5</w:t>
            </w:r>
          </w:p>
        </w:tc>
        <w:tc>
          <w:tcPr>
            <w:tcW w:w="352" w:type="pct"/>
            <w:tcBorders>
              <w:top w:val="nil"/>
              <w:bottom w:val="nil"/>
            </w:tcBorders>
            <w:shd w:val="clear" w:color="auto" w:fill="FFFF00"/>
            <w:noWrap/>
          </w:tcPr>
          <w:p w:rsidR="00E57FF8" w:rsidRPr="00EF494A" w:rsidRDefault="00E57FF8" w:rsidP="001A591A">
            <w:pPr>
              <w:pStyle w:val="TableTextEntries"/>
              <w:jc w:val="center"/>
            </w:pPr>
            <w:r w:rsidRPr="00EF494A">
              <w:t>4</w:t>
            </w:r>
          </w:p>
        </w:tc>
        <w:tc>
          <w:tcPr>
            <w:tcW w:w="423" w:type="pct"/>
            <w:gridSpan w:val="2"/>
            <w:tcBorders>
              <w:top w:val="nil"/>
              <w:bottom w:val="nil"/>
            </w:tcBorders>
            <w:shd w:val="clear" w:color="auto" w:fill="FFFF00"/>
            <w:noWrap/>
          </w:tcPr>
          <w:p w:rsidR="00E57FF8" w:rsidRPr="00EF494A" w:rsidRDefault="00E57FF8" w:rsidP="001A591A">
            <w:pPr>
              <w:pStyle w:val="TableTextEntries"/>
              <w:jc w:val="center"/>
            </w:pPr>
            <w:r w:rsidRPr="00EF494A">
              <w:t>4</w:t>
            </w:r>
          </w:p>
        </w:tc>
        <w:tc>
          <w:tcPr>
            <w:tcW w:w="444" w:type="pct"/>
            <w:gridSpan w:val="2"/>
            <w:tcBorders>
              <w:top w:val="nil"/>
              <w:bottom w:val="nil"/>
            </w:tcBorders>
            <w:shd w:val="clear" w:color="auto" w:fill="00B050"/>
            <w:noWrap/>
          </w:tcPr>
          <w:p w:rsidR="00E57FF8" w:rsidRPr="00EF494A" w:rsidRDefault="00E57FF8" w:rsidP="001A591A">
            <w:pPr>
              <w:pStyle w:val="TableTextEntries"/>
              <w:jc w:val="center"/>
            </w:pPr>
            <w:r w:rsidRPr="00EF494A">
              <w:t>5</w:t>
            </w:r>
          </w:p>
        </w:tc>
        <w:tc>
          <w:tcPr>
            <w:tcW w:w="445" w:type="pct"/>
            <w:gridSpan w:val="2"/>
            <w:tcBorders>
              <w:top w:val="nil"/>
              <w:bottom w:val="nil"/>
            </w:tcBorders>
            <w:shd w:val="clear" w:color="auto" w:fill="FFFF00"/>
            <w:noWrap/>
          </w:tcPr>
          <w:p w:rsidR="00E57FF8" w:rsidRPr="00EF494A" w:rsidRDefault="00E57FF8" w:rsidP="001A591A">
            <w:pPr>
              <w:pStyle w:val="TableTextEntries"/>
              <w:jc w:val="center"/>
            </w:pPr>
            <w:r w:rsidRPr="00EF494A">
              <w:t>4</w:t>
            </w:r>
          </w:p>
        </w:tc>
        <w:tc>
          <w:tcPr>
            <w:tcW w:w="453" w:type="pct"/>
            <w:gridSpan w:val="2"/>
            <w:tcBorders>
              <w:top w:val="nil"/>
              <w:bottom w:val="nil"/>
            </w:tcBorders>
            <w:shd w:val="clear" w:color="auto" w:fill="00B050"/>
            <w:noWrap/>
          </w:tcPr>
          <w:p w:rsidR="00E57FF8" w:rsidRPr="00EF494A" w:rsidRDefault="00E57FF8" w:rsidP="001A591A">
            <w:pPr>
              <w:pStyle w:val="TableTextEntries"/>
              <w:jc w:val="center"/>
            </w:pPr>
            <w:r w:rsidRPr="00EF494A">
              <w:t>5</w:t>
            </w:r>
          </w:p>
        </w:tc>
      </w:tr>
      <w:tr w:rsidR="00C02E08" w:rsidRPr="00EF494A" w:rsidTr="00EB0C6D">
        <w:trPr>
          <w:gridAfter w:val="1"/>
          <w:cnfStyle w:val="000000010000" w:firstRow="0" w:lastRow="0" w:firstColumn="0" w:lastColumn="0" w:oddVBand="0" w:evenVBand="0" w:oddHBand="0" w:evenHBand="1" w:firstRowFirstColumn="0" w:firstRowLastColumn="0" w:lastRowFirstColumn="0" w:lastRowLastColumn="0"/>
          <w:wAfter w:w="23" w:type="pct"/>
          <w:trHeight w:val="345"/>
          <w:tblHeader w:val="0"/>
        </w:trPr>
        <w:tc>
          <w:tcPr>
            <w:tcW w:w="1028" w:type="pct"/>
            <w:vMerge/>
          </w:tcPr>
          <w:p w:rsidR="00E57FF8" w:rsidRPr="00EF494A" w:rsidRDefault="00E57FF8" w:rsidP="001A591A">
            <w:pPr>
              <w:pStyle w:val="TableTextEntries"/>
            </w:pPr>
          </w:p>
        </w:tc>
        <w:tc>
          <w:tcPr>
            <w:tcW w:w="700" w:type="pct"/>
            <w:vMerge/>
          </w:tcPr>
          <w:p w:rsidR="00E57FF8" w:rsidRPr="00EF494A" w:rsidRDefault="00E57FF8" w:rsidP="001A591A">
            <w:pPr>
              <w:pStyle w:val="TableTextEntries"/>
            </w:pPr>
          </w:p>
        </w:tc>
        <w:tc>
          <w:tcPr>
            <w:tcW w:w="562" w:type="pct"/>
          </w:tcPr>
          <w:p w:rsidR="00E57FF8" w:rsidRPr="00EF494A" w:rsidRDefault="00E57FF8" w:rsidP="001A591A">
            <w:pPr>
              <w:pStyle w:val="TableTextEntries"/>
            </w:pPr>
            <w:r w:rsidRPr="00EF494A">
              <w:t>2012</w:t>
            </w:r>
          </w:p>
        </w:tc>
        <w:tc>
          <w:tcPr>
            <w:tcW w:w="394" w:type="pct"/>
            <w:gridSpan w:val="2"/>
            <w:shd w:val="clear" w:color="auto" w:fill="00B050"/>
            <w:noWrap/>
          </w:tcPr>
          <w:p w:rsidR="00E57FF8" w:rsidRPr="00EF494A" w:rsidRDefault="00E57FF8" w:rsidP="001A591A">
            <w:pPr>
              <w:pStyle w:val="TableTextEntries"/>
              <w:jc w:val="center"/>
            </w:pPr>
            <w:r w:rsidRPr="00EF494A">
              <w:t>6</w:t>
            </w:r>
          </w:p>
        </w:tc>
        <w:tc>
          <w:tcPr>
            <w:tcW w:w="352" w:type="pct"/>
            <w:shd w:val="clear" w:color="auto" w:fill="F79646" w:themeFill="accent6"/>
            <w:noWrap/>
          </w:tcPr>
          <w:p w:rsidR="00E57FF8" w:rsidRPr="00EF494A" w:rsidRDefault="00E57FF8" w:rsidP="001A591A">
            <w:pPr>
              <w:pStyle w:val="TableTextEntries"/>
              <w:jc w:val="center"/>
            </w:pPr>
            <w:r w:rsidRPr="00EF494A">
              <w:t>3</w:t>
            </w:r>
          </w:p>
        </w:tc>
        <w:tc>
          <w:tcPr>
            <w:tcW w:w="423" w:type="pct"/>
            <w:gridSpan w:val="2"/>
            <w:shd w:val="clear" w:color="auto" w:fill="F79646" w:themeFill="accent6"/>
            <w:noWrap/>
          </w:tcPr>
          <w:p w:rsidR="00E57FF8" w:rsidRPr="00EF494A" w:rsidRDefault="00E57FF8" w:rsidP="001A591A">
            <w:pPr>
              <w:pStyle w:val="TableTextEntries"/>
              <w:jc w:val="center"/>
            </w:pPr>
            <w:r w:rsidRPr="00EF494A">
              <w:t>3</w:t>
            </w:r>
          </w:p>
        </w:tc>
        <w:tc>
          <w:tcPr>
            <w:tcW w:w="444" w:type="pct"/>
            <w:gridSpan w:val="2"/>
            <w:shd w:val="clear" w:color="auto" w:fill="00B050"/>
            <w:noWrap/>
          </w:tcPr>
          <w:p w:rsidR="00E57FF8" w:rsidRPr="00EF494A" w:rsidRDefault="00E57FF8" w:rsidP="001A591A">
            <w:pPr>
              <w:pStyle w:val="TableTextEntries"/>
              <w:jc w:val="center"/>
            </w:pPr>
            <w:r w:rsidRPr="00EF494A">
              <w:t>5</w:t>
            </w:r>
          </w:p>
        </w:tc>
        <w:tc>
          <w:tcPr>
            <w:tcW w:w="445" w:type="pct"/>
            <w:gridSpan w:val="2"/>
            <w:shd w:val="clear" w:color="auto" w:fill="FFFF00"/>
            <w:noWrap/>
          </w:tcPr>
          <w:p w:rsidR="00E57FF8" w:rsidRPr="00EF494A" w:rsidRDefault="00E57FF8" w:rsidP="001A591A">
            <w:pPr>
              <w:pStyle w:val="TableTextEntries"/>
              <w:jc w:val="center"/>
            </w:pPr>
            <w:r w:rsidRPr="00EF494A">
              <w:t>4</w:t>
            </w:r>
          </w:p>
        </w:tc>
        <w:tc>
          <w:tcPr>
            <w:tcW w:w="453" w:type="pct"/>
            <w:gridSpan w:val="2"/>
            <w:shd w:val="clear" w:color="auto" w:fill="00B050"/>
            <w:noWrap/>
          </w:tcPr>
          <w:p w:rsidR="00E57FF8" w:rsidRPr="00EF494A" w:rsidRDefault="00E57FF8" w:rsidP="001A591A">
            <w:pPr>
              <w:pStyle w:val="TableTextEntries"/>
              <w:jc w:val="center"/>
            </w:pPr>
            <w:r w:rsidRPr="00EF494A">
              <w:t>5</w:t>
            </w:r>
          </w:p>
        </w:tc>
      </w:tr>
      <w:tr w:rsidR="00C02E08" w:rsidRPr="00EF494A" w:rsidTr="00EB0C6D">
        <w:trPr>
          <w:gridAfter w:val="1"/>
          <w:wAfter w:w="23" w:type="pct"/>
          <w:trHeight w:val="251"/>
          <w:tblHeader w:val="0"/>
        </w:trPr>
        <w:tc>
          <w:tcPr>
            <w:tcW w:w="1028" w:type="pct"/>
            <w:vMerge w:val="restart"/>
            <w:tcBorders>
              <w:top w:val="nil"/>
              <w:bottom w:val="nil"/>
            </w:tcBorders>
          </w:tcPr>
          <w:p w:rsidR="00E57FF8" w:rsidRPr="00EF494A" w:rsidRDefault="00E57FF8" w:rsidP="001A591A">
            <w:pPr>
              <w:pStyle w:val="TableTextEntries"/>
            </w:pPr>
            <w:r w:rsidRPr="00EF494A">
              <w:t>Lao-Australian Scholarships Program</w:t>
            </w:r>
          </w:p>
        </w:tc>
        <w:tc>
          <w:tcPr>
            <w:tcW w:w="700" w:type="pct"/>
            <w:vMerge w:val="restart"/>
            <w:tcBorders>
              <w:top w:val="nil"/>
              <w:bottom w:val="nil"/>
            </w:tcBorders>
          </w:tcPr>
          <w:p w:rsidR="00E57FF8" w:rsidRPr="00EF494A" w:rsidRDefault="00E57FF8" w:rsidP="001A591A">
            <w:pPr>
              <w:pStyle w:val="TableTextEntries"/>
            </w:pPr>
            <w:r w:rsidRPr="00EF494A">
              <w:t>Approx. $7 million a year</w:t>
            </w:r>
          </w:p>
        </w:tc>
        <w:tc>
          <w:tcPr>
            <w:tcW w:w="562" w:type="pct"/>
            <w:tcBorders>
              <w:top w:val="nil"/>
              <w:bottom w:val="nil"/>
            </w:tcBorders>
          </w:tcPr>
          <w:p w:rsidR="00E57FF8" w:rsidRPr="00EF494A" w:rsidRDefault="00E57FF8" w:rsidP="001A591A">
            <w:pPr>
              <w:pStyle w:val="TableTextEntries"/>
            </w:pPr>
            <w:r w:rsidRPr="00EF494A">
              <w:t>2013</w:t>
            </w:r>
          </w:p>
        </w:tc>
        <w:tc>
          <w:tcPr>
            <w:tcW w:w="394" w:type="pct"/>
            <w:gridSpan w:val="2"/>
            <w:tcBorders>
              <w:top w:val="nil"/>
              <w:bottom w:val="nil"/>
            </w:tcBorders>
            <w:shd w:val="clear" w:color="auto" w:fill="00B050"/>
            <w:noWrap/>
          </w:tcPr>
          <w:p w:rsidR="00E57FF8" w:rsidRPr="00EF494A" w:rsidRDefault="00E57FF8" w:rsidP="001A591A">
            <w:pPr>
              <w:pStyle w:val="TableTextEntries"/>
              <w:jc w:val="center"/>
            </w:pPr>
            <w:r w:rsidRPr="00EF494A">
              <w:t>6</w:t>
            </w:r>
          </w:p>
        </w:tc>
        <w:tc>
          <w:tcPr>
            <w:tcW w:w="352" w:type="pct"/>
            <w:tcBorders>
              <w:top w:val="nil"/>
              <w:bottom w:val="nil"/>
            </w:tcBorders>
            <w:shd w:val="clear" w:color="auto" w:fill="00B050"/>
            <w:noWrap/>
          </w:tcPr>
          <w:p w:rsidR="00E57FF8" w:rsidRPr="00EF494A" w:rsidRDefault="00E57FF8" w:rsidP="001A591A">
            <w:pPr>
              <w:pStyle w:val="TableTextEntries"/>
              <w:jc w:val="center"/>
            </w:pPr>
            <w:r w:rsidRPr="00EF494A">
              <w:t>5</w:t>
            </w:r>
          </w:p>
        </w:tc>
        <w:tc>
          <w:tcPr>
            <w:tcW w:w="423" w:type="pct"/>
            <w:gridSpan w:val="2"/>
            <w:tcBorders>
              <w:top w:val="nil"/>
              <w:bottom w:val="nil"/>
            </w:tcBorders>
            <w:shd w:val="clear" w:color="auto" w:fill="FFFF00"/>
            <w:noWrap/>
          </w:tcPr>
          <w:p w:rsidR="00E57FF8" w:rsidRPr="00EF494A" w:rsidRDefault="00E57FF8" w:rsidP="001A591A">
            <w:pPr>
              <w:pStyle w:val="TableTextEntries"/>
              <w:jc w:val="center"/>
            </w:pPr>
            <w:r w:rsidRPr="00EF494A">
              <w:t>4</w:t>
            </w:r>
          </w:p>
        </w:tc>
        <w:tc>
          <w:tcPr>
            <w:tcW w:w="444" w:type="pct"/>
            <w:gridSpan w:val="2"/>
            <w:tcBorders>
              <w:top w:val="nil"/>
              <w:bottom w:val="nil"/>
            </w:tcBorders>
            <w:shd w:val="clear" w:color="auto" w:fill="00B050"/>
            <w:noWrap/>
          </w:tcPr>
          <w:p w:rsidR="00E57FF8" w:rsidRPr="00EF494A" w:rsidRDefault="00E57FF8" w:rsidP="001A591A">
            <w:pPr>
              <w:pStyle w:val="TableTextEntries"/>
              <w:jc w:val="center"/>
            </w:pPr>
            <w:r w:rsidRPr="00EF494A">
              <w:t>5</w:t>
            </w:r>
          </w:p>
        </w:tc>
        <w:tc>
          <w:tcPr>
            <w:tcW w:w="445" w:type="pct"/>
            <w:gridSpan w:val="2"/>
            <w:tcBorders>
              <w:top w:val="nil"/>
              <w:bottom w:val="nil"/>
            </w:tcBorders>
            <w:shd w:val="clear" w:color="auto" w:fill="00B050"/>
            <w:noWrap/>
          </w:tcPr>
          <w:p w:rsidR="00E57FF8" w:rsidRPr="00EF494A" w:rsidRDefault="00E57FF8" w:rsidP="001A591A">
            <w:pPr>
              <w:pStyle w:val="TableTextEntries"/>
              <w:jc w:val="center"/>
            </w:pPr>
            <w:r w:rsidRPr="00EF494A">
              <w:t>5</w:t>
            </w:r>
          </w:p>
        </w:tc>
        <w:tc>
          <w:tcPr>
            <w:tcW w:w="453" w:type="pct"/>
            <w:gridSpan w:val="2"/>
            <w:tcBorders>
              <w:top w:val="nil"/>
              <w:bottom w:val="nil"/>
            </w:tcBorders>
            <w:shd w:val="clear" w:color="auto" w:fill="00B050"/>
            <w:noWrap/>
          </w:tcPr>
          <w:p w:rsidR="00E57FF8" w:rsidRPr="00EF494A" w:rsidRDefault="00E57FF8" w:rsidP="001A591A">
            <w:pPr>
              <w:pStyle w:val="TableTextEntries"/>
              <w:jc w:val="center"/>
            </w:pPr>
            <w:r w:rsidRPr="00EF494A">
              <w:t>5</w:t>
            </w:r>
          </w:p>
        </w:tc>
      </w:tr>
      <w:tr w:rsidR="00C02E08" w:rsidRPr="00EF494A" w:rsidTr="00EB0C6D">
        <w:trPr>
          <w:gridAfter w:val="1"/>
          <w:cnfStyle w:val="000000010000" w:firstRow="0" w:lastRow="0" w:firstColumn="0" w:lastColumn="0" w:oddVBand="0" w:evenVBand="0" w:oddHBand="0" w:evenHBand="1" w:firstRowFirstColumn="0" w:firstRowLastColumn="0" w:lastRowFirstColumn="0" w:lastRowLastColumn="0"/>
          <w:wAfter w:w="23" w:type="pct"/>
          <w:trHeight w:val="284"/>
          <w:tblHeader w:val="0"/>
        </w:trPr>
        <w:tc>
          <w:tcPr>
            <w:tcW w:w="1028" w:type="pct"/>
            <w:vMerge/>
          </w:tcPr>
          <w:p w:rsidR="00E57FF8" w:rsidRPr="00EF494A" w:rsidRDefault="00E57FF8" w:rsidP="001A591A">
            <w:pPr>
              <w:pStyle w:val="TableTextEntries"/>
            </w:pPr>
          </w:p>
        </w:tc>
        <w:tc>
          <w:tcPr>
            <w:tcW w:w="700" w:type="pct"/>
            <w:vMerge/>
          </w:tcPr>
          <w:p w:rsidR="00E57FF8" w:rsidRPr="00EF494A" w:rsidRDefault="00E57FF8" w:rsidP="001A591A">
            <w:pPr>
              <w:pStyle w:val="TableTextEntries"/>
            </w:pPr>
          </w:p>
        </w:tc>
        <w:tc>
          <w:tcPr>
            <w:tcW w:w="562" w:type="pct"/>
          </w:tcPr>
          <w:p w:rsidR="00E57FF8" w:rsidRPr="00EF494A" w:rsidRDefault="00E57FF8" w:rsidP="001A591A">
            <w:pPr>
              <w:pStyle w:val="TableTextEntries"/>
            </w:pPr>
            <w:r w:rsidRPr="00EF494A">
              <w:t>2012</w:t>
            </w:r>
          </w:p>
        </w:tc>
        <w:tc>
          <w:tcPr>
            <w:tcW w:w="394" w:type="pct"/>
            <w:gridSpan w:val="2"/>
            <w:shd w:val="clear" w:color="auto" w:fill="00B050"/>
            <w:noWrap/>
          </w:tcPr>
          <w:p w:rsidR="00E57FF8" w:rsidRPr="00EF494A" w:rsidRDefault="00E57FF8" w:rsidP="001A591A">
            <w:pPr>
              <w:pStyle w:val="TableTextEntries"/>
              <w:jc w:val="center"/>
            </w:pPr>
            <w:r w:rsidRPr="00EF494A">
              <w:t>6</w:t>
            </w:r>
          </w:p>
        </w:tc>
        <w:tc>
          <w:tcPr>
            <w:tcW w:w="352" w:type="pct"/>
            <w:shd w:val="clear" w:color="auto" w:fill="00B050"/>
            <w:noWrap/>
          </w:tcPr>
          <w:p w:rsidR="00E57FF8" w:rsidRPr="00EF494A" w:rsidRDefault="00E57FF8" w:rsidP="001A591A">
            <w:pPr>
              <w:pStyle w:val="TableTextEntries"/>
              <w:jc w:val="center"/>
            </w:pPr>
            <w:r w:rsidRPr="00EF494A">
              <w:t>5</w:t>
            </w:r>
          </w:p>
        </w:tc>
        <w:tc>
          <w:tcPr>
            <w:tcW w:w="423" w:type="pct"/>
            <w:gridSpan w:val="2"/>
            <w:shd w:val="clear" w:color="auto" w:fill="00B050"/>
            <w:noWrap/>
          </w:tcPr>
          <w:p w:rsidR="00E57FF8" w:rsidRPr="00EF494A" w:rsidRDefault="00E57FF8" w:rsidP="001A591A">
            <w:pPr>
              <w:pStyle w:val="TableTextEntries"/>
              <w:jc w:val="center"/>
            </w:pPr>
            <w:r w:rsidRPr="00EF494A">
              <w:t>5</w:t>
            </w:r>
          </w:p>
        </w:tc>
        <w:tc>
          <w:tcPr>
            <w:tcW w:w="444" w:type="pct"/>
            <w:gridSpan w:val="2"/>
            <w:shd w:val="clear" w:color="auto" w:fill="00B050"/>
            <w:noWrap/>
          </w:tcPr>
          <w:p w:rsidR="00E57FF8" w:rsidRPr="00EF494A" w:rsidRDefault="00E57FF8" w:rsidP="001A591A">
            <w:pPr>
              <w:pStyle w:val="TableTextEntries"/>
              <w:jc w:val="center"/>
            </w:pPr>
            <w:r w:rsidRPr="00EF494A">
              <w:t>5</w:t>
            </w:r>
          </w:p>
        </w:tc>
        <w:tc>
          <w:tcPr>
            <w:tcW w:w="445" w:type="pct"/>
            <w:gridSpan w:val="2"/>
            <w:shd w:val="clear" w:color="auto" w:fill="00B050"/>
            <w:noWrap/>
          </w:tcPr>
          <w:p w:rsidR="00E57FF8" w:rsidRPr="00EF494A" w:rsidRDefault="00E57FF8" w:rsidP="001A591A">
            <w:pPr>
              <w:pStyle w:val="TableTextEntries"/>
              <w:jc w:val="center"/>
            </w:pPr>
            <w:r w:rsidRPr="00EF494A">
              <w:t>5</w:t>
            </w:r>
          </w:p>
        </w:tc>
        <w:tc>
          <w:tcPr>
            <w:tcW w:w="453" w:type="pct"/>
            <w:gridSpan w:val="2"/>
            <w:shd w:val="clear" w:color="auto" w:fill="00B050"/>
            <w:noWrap/>
          </w:tcPr>
          <w:p w:rsidR="00E57FF8" w:rsidRPr="00EF494A" w:rsidRDefault="00E57FF8" w:rsidP="001A591A">
            <w:pPr>
              <w:pStyle w:val="TableTextEntries"/>
              <w:jc w:val="center"/>
            </w:pPr>
            <w:r w:rsidRPr="00EF494A">
              <w:t>5</w:t>
            </w:r>
          </w:p>
        </w:tc>
      </w:tr>
      <w:tr w:rsidR="00C02E08" w:rsidRPr="00EF494A" w:rsidTr="00EB0C6D">
        <w:trPr>
          <w:gridAfter w:val="1"/>
          <w:wAfter w:w="23" w:type="pct"/>
          <w:trHeight w:val="282"/>
          <w:tblHeader w:val="0"/>
        </w:trPr>
        <w:tc>
          <w:tcPr>
            <w:tcW w:w="1028" w:type="pct"/>
            <w:vMerge w:val="restart"/>
            <w:tcBorders>
              <w:top w:val="nil"/>
              <w:bottom w:val="nil"/>
            </w:tcBorders>
          </w:tcPr>
          <w:p w:rsidR="00E57FF8" w:rsidRPr="00EF494A" w:rsidRDefault="00E57FF8" w:rsidP="001A591A">
            <w:pPr>
              <w:pStyle w:val="TableTextEntries"/>
            </w:pPr>
            <w:r w:rsidRPr="00EF494A">
              <w:t>Poverty Reduction Support Operation and Public Financial Management Strengthening Program support</w:t>
            </w:r>
          </w:p>
        </w:tc>
        <w:tc>
          <w:tcPr>
            <w:tcW w:w="700" w:type="pct"/>
            <w:tcBorders>
              <w:top w:val="nil"/>
              <w:bottom w:val="nil"/>
            </w:tcBorders>
          </w:tcPr>
          <w:p w:rsidR="00E57FF8" w:rsidRPr="00EF494A" w:rsidRDefault="00E57FF8" w:rsidP="001A591A">
            <w:pPr>
              <w:pStyle w:val="TableTextEntries"/>
            </w:pPr>
            <w:r w:rsidRPr="00EF494A">
              <w:t>$13.3 million (2008–2014)</w:t>
            </w:r>
          </w:p>
        </w:tc>
        <w:tc>
          <w:tcPr>
            <w:tcW w:w="562" w:type="pct"/>
            <w:tcBorders>
              <w:top w:val="nil"/>
              <w:bottom w:val="nil"/>
            </w:tcBorders>
          </w:tcPr>
          <w:p w:rsidR="00E57FF8" w:rsidRPr="00EF494A" w:rsidRDefault="00E57FF8" w:rsidP="001A591A">
            <w:pPr>
              <w:pStyle w:val="TableTextEntries"/>
            </w:pPr>
            <w:r w:rsidRPr="00EF494A">
              <w:t>2013</w:t>
            </w:r>
          </w:p>
        </w:tc>
        <w:tc>
          <w:tcPr>
            <w:tcW w:w="394" w:type="pct"/>
            <w:gridSpan w:val="2"/>
            <w:tcBorders>
              <w:top w:val="nil"/>
              <w:bottom w:val="nil"/>
            </w:tcBorders>
            <w:shd w:val="clear" w:color="auto" w:fill="F79646" w:themeFill="accent6"/>
            <w:noWrap/>
          </w:tcPr>
          <w:p w:rsidR="00E57FF8" w:rsidRPr="00EF494A" w:rsidRDefault="00E57FF8" w:rsidP="001A591A">
            <w:pPr>
              <w:pStyle w:val="TableTextEntries"/>
              <w:jc w:val="center"/>
            </w:pPr>
            <w:r w:rsidRPr="00EF494A">
              <w:t>3</w:t>
            </w:r>
          </w:p>
        </w:tc>
        <w:tc>
          <w:tcPr>
            <w:tcW w:w="352" w:type="pct"/>
            <w:tcBorders>
              <w:top w:val="nil"/>
              <w:bottom w:val="nil"/>
            </w:tcBorders>
            <w:shd w:val="clear" w:color="auto" w:fill="F79646" w:themeFill="accent6"/>
            <w:noWrap/>
          </w:tcPr>
          <w:p w:rsidR="00E57FF8" w:rsidRPr="00EF494A" w:rsidRDefault="00E57FF8" w:rsidP="001A591A">
            <w:pPr>
              <w:pStyle w:val="TableTextEntries"/>
              <w:jc w:val="center"/>
            </w:pPr>
            <w:r w:rsidRPr="00EF494A">
              <w:t>3</w:t>
            </w:r>
          </w:p>
        </w:tc>
        <w:tc>
          <w:tcPr>
            <w:tcW w:w="423" w:type="pct"/>
            <w:gridSpan w:val="2"/>
            <w:tcBorders>
              <w:top w:val="nil"/>
              <w:bottom w:val="nil"/>
            </w:tcBorders>
            <w:shd w:val="clear" w:color="auto" w:fill="F79646" w:themeFill="accent6"/>
            <w:noWrap/>
          </w:tcPr>
          <w:p w:rsidR="00E57FF8" w:rsidRPr="00EF494A" w:rsidRDefault="00E57FF8" w:rsidP="001A591A">
            <w:pPr>
              <w:pStyle w:val="TableTextEntries"/>
              <w:jc w:val="center"/>
            </w:pPr>
            <w:r w:rsidRPr="00EF494A">
              <w:t>3</w:t>
            </w:r>
          </w:p>
        </w:tc>
        <w:tc>
          <w:tcPr>
            <w:tcW w:w="444" w:type="pct"/>
            <w:gridSpan w:val="2"/>
            <w:tcBorders>
              <w:top w:val="nil"/>
              <w:bottom w:val="nil"/>
            </w:tcBorders>
            <w:shd w:val="clear" w:color="auto" w:fill="F79646" w:themeFill="accent6"/>
            <w:noWrap/>
          </w:tcPr>
          <w:p w:rsidR="00E57FF8" w:rsidRPr="00EF494A" w:rsidRDefault="00E57FF8" w:rsidP="001A591A">
            <w:pPr>
              <w:pStyle w:val="TableTextEntries"/>
              <w:jc w:val="center"/>
            </w:pPr>
            <w:r w:rsidRPr="00EF494A">
              <w:t>3</w:t>
            </w:r>
          </w:p>
        </w:tc>
        <w:tc>
          <w:tcPr>
            <w:tcW w:w="445" w:type="pct"/>
            <w:gridSpan w:val="2"/>
            <w:tcBorders>
              <w:top w:val="nil"/>
              <w:bottom w:val="nil"/>
            </w:tcBorders>
            <w:shd w:val="clear" w:color="auto" w:fill="F79646" w:themeFill="accent6"/>
            <w:noWrap/>
          </w:tcPr>
          <w:p w:rsidR="00E57FF8" w:rsidRPr="00EF494A" w:rsidRDefault="00E57FF8" w:rsidP="001A591A">
            <w:pPr>
              <w:pStyle w:val="TableTextEntries"/>
              <w:jc w:val="center"/>
            </w:pPr>
            <w:r w:rsidRPr="00EF494A">
              <w:t>3</w:t>
            </w:r>
          </w:p>
        </w:tc>
        <w:tc>
          <w:tcPr>
            <w:tcW w:w="453" w:type="pct"/>
            <w:gridSpan w:val="2"/>
            <w:tcBorders>
              <w:top w:val="nil"/>
              <w:bottom w:val="nil"/>
            </w:tcBorders>
            <w:shd w:val="clear" w:color="auto" w:fill="F79646" w:themeFill="accent6"/>
            <w:noWrap/>
          </w:tcPr>
          <w:p w:rsidR="00E57FF8" w:rsidRPr="00EF494A" w:rsidRDefault="00E57FF8" w:rsidP="001A591A">
            <w:pPr>
              <w:pStyle w:val="TableTextEntries"/>
              <w:jc w:val="center"/>
            </w:pPr>
            <w:r w:rsidRPr="00EF494A">
              <w:t>3</w:t>
            </w:r>
          </w:p>
        </w:tc>
      </w:tr>
      <w:tr w:rsidR="00C02E08" w:rsidRPr="00EF494A" w:rsidTr="00EB0C6D">
        <w:trPr>
          <w:gridAfter w:val="1"/>
          <w:cnfStyle w:val="000000010000" w:firstRow="0" w:lastRow="0" w:firstColumn="0" w:lastColumn="0" w:oddVBand="0" w:evenVBand="0" w:oddHBand="0" w:evenHBand="1" w:firstRowFirstColumn="0" w:firstRowLastColumn="0" w:lastRowFirstColumn="0" w:lastRowLastColumn="0"/>
          <w:wAfter w:w="23" w:type="pct"/>
          <w:trHeight w:val="284"/>
          <w:tblHeader w:val="0"/>
        </w:trPr>
        <w:tc>
          <w:tcPr>
            <w:tcW w:w="1028" w:type="pct"/>
            <w:vMerge/>
          </w:tcPr>
          <w:p w:rsidR="00E57FF8" w:rsidRPr="00EF494A" w:rsidRDefault="00E57FF8" w:rsidP="001A591A">
            <w:pPr>
              <w:pStyle w:val="TableTextEntries"/>
              <w:ind w:firstLine="720"/>
            </w:pPr>
          </w:p>
        </w:tc>
        <w:tc>
          <w:tcPr>
            <w:tcW w:w="700" w:type="pct"/>
          </w:tcPr>
          <w:p w:rsidR="00E57FF8" w:rsidRPr="00EF494A" w:rsidRDefault="00E57FF8" w:rsidP="001A591A">
            <w:pPr>
              <w:pStyle w:val="TableTextEntries"/>
            </w:pPr>
          </w:p>
        </w:tc>
        <w:tc>
          <w:tcPr>
            <w:tcW w:w="562" w:type="pct"/>
          </w:tcPr>
          <w:p w:rsidR="00E57FF8" w:rsidRPr="00EF494A" w:rsidRDefault="00E57FF8" w:rsidP="001A591A">
            <w:pPr>
              <w:pStyle w:val="TableTextEntries"/>
            </w:pPr>
            <w:r w:rsidRPr="00EF494A">
              <w:t>2012</w:t>
            </w:r>
          </w:p>
        </w:tc>
        <w:tc>
          <w:tcPr>
            <w:tcW w:w="394" w:type="pct"/>
            <w:gridSpan w:val="2"/>
            <w:shd w:val="clear" w:color="auto" w:fill="FFFF00"/>
            <w:noWrap/>
          </w:tcPr>
          <w:p w:rsidR="00E57FF8" w:rsidRPr="00EF494A" w:rsidRDefault="00E57FF8" w:rsidP="001A591A">
            <w:pPr>
              <w:pStyle w:val="TableTextEntries"/>
              <w:jc w:val="center"/>
            </w:pPr>
            <w:r w:rsidRPr="00EF494A">
              <w:t>4</w:t>
            </w:r>
          </w:p>
        </w:tc>
        <w:tc>
          <w:tcPr>
            <w:tcW w:w="352" w:type="pct"/>
            <w:shd w:val="clear" w:color="auto" w:fill="FFFF00"/>
            <w:noWrap/>
          </w:tcPr>
          <w:p w:rsidR="00E57FF8" w:rsidRPr="00EF494A" w:rsidRDefault="00E57FF8" w:rsidP="001A591A">
            <w:pPr>
              <w:pStyle w:val="TableTextEntries"/>
              <w:jc w:val="center"/>
            </w:pPr>
            <w:r w:rsidRPr="00EF494A">
              <w:t>4</w:t>
            </w:r>
          </w:p>
        </w:tc>
        <w:tc>
          <w:tcPr>
            <w:tcW w:w="423" w:type="pct"/>
            <w:gridSpan w:val="2"/>
            <w:shd w:val="clear" w:color="auto" w:fill="F79646" w:themeFill="accent6"/>
            <w:noWrap/>
          </w:tcPr>
          <w:p w:rsidR="00E57FF8" w:rsidRPr="00EF494A" w:rsidRDefault="00E57FF8" w:rsidP="001A591A">
            <w:pPr>
              <w:pStyle w:val="TableTextEntries"/>
              <w:jc w:val="center"/>
            </w:pPr>
            <w:r w:rsidRPr="00EF494A">
              <w:t>3</w:t>
            </w:r>
          </w:p>
        </w:tc>
        <w:tc>
          <w:tcPr>
            <w:tcW w:w="444" w:type="pct"/>
            <w:gridSpan w:val="2"/>
            <w:shd w:val="clear" w:color="auto" w:fill="F79646" w:themeFill="accent6"/>
            <w:noWrap/>
          </w:tcPr>
          <w:p w:rsidR="00E57FF8" w:rsidRPr="00EF494A" w:rsidRDefault="00E57FF8" w:rsidP="001A591A">
            <w:pPr>
              <w:pStyle w:val="TableTextEntries"/>
              <w:jc w:val="center"/>
            </w:pPr>
            <w:r w:rsidRPr="00EF494A">
              <w:t>3</w:t>
            </w:r>
          </w:p>
        </w:tc>
        <w:tc>
          <w:tcPr>
            <w:tcW w:w="445" w:type="pct"/>
            <w:gridSpan w:val="2"/>
            <w:shd w:val="clear" w:color="auto" w:fill="FFFF00"/>
            <w:noWrap/>
          </w:tcPr>
          <w:p w:rsidR="00E57FF8" w:rsidRPr="00EF494A" w:rsidRDefault="00E57FF8" w:rsidP="001A591A">
            <w:pPr>
              <w:pStyle w:val="TableTextEntries"/>
              <w:jc w:val="center"/>
            </w:pPr>
            <w:r w:rsidRPr="00EF494A">
              <w:t>4</w:t>
            </w:r>
          </w:p>
        </w:tc>
        <w:tc>
          <w:tcPr>
            <w:tcW w:w="453" w:type="pct"/>
            <w:gridSpan w:val="2"/>
            <w:shd w:val="clear" w:color="auto" w:fill="FF0000"/>
            <w:noWrap/>
          </w:tcPr>
          <w:p w:rsidR="00E57FF8" w:rsidRPr="00EF494A" w:rsidRDefault="00E57FF8" w:rsidP="001A591A">
            <w:pPr>
              <w:pStyle w:val="TableTextEntries"/>
              <w:jc w:val="center"/>
            </w:pPr>
            <w:r w:rsidRPr="00EF494A">
              <w:t>2</w:t>
            </w:r>
          </w:p>
        </w:tc>
      </w:tr>
      <w:bookmarkEnd w:id="3"/>
    </w:tbl>
    <w:p w:rsidR="00E75D66" w:rsidRPr="00EF494A" w:rsidRDefault="00E75D66" w:rsidP="00230523">
      <w:pPr>
        <w:pStyle w:val="BodyText"/>
      </w:pPr>
    </w:p>
    <w:p w:rsidR="00E75D66" w:rsidRPr="00EF494A" w:rsidRDefault="00E75D66" w:rsidP="00E75D66"/>
    <w:p w:rsidR="00E75D66" w:rsidRPr="00EF494A" w:rsidRDefault="00E75D66" w:rsidP="00E75D66"/>
    <w:p w:rsidR="00E75D66" w:rsidRPr="00EF494A" w:rsidRDefault="00E75D66" w:rsidP="00E75D66"/>
    <w:p w:rsidR="00E75D66" w:rsidRPr="00EF494A" w:rsidRDefault="00E75D66" w:rsidP="00E75D66"/>
    <w:p w:rsidR="00E75D66" w:rsidRPr="00EF494A" w:rsidRDefault="00E75D66" w:rsidP="00E75D66"/>
    <w:p w:rsidR="00E75D66" w:rsidRPr="00EF494A" w:rsidRDefault="00E75D66" w:rsidP="00E75D66"/>
    <w:p w:rsidR="00E75D66" w:rsidRPr="00EF494A" w:rsidRDefault="00E75D66" w:rsidP="00E75D66"/>
    <w:p w:rsidR="00E75D66" w:rsidRPr="00EF494A" w:rsidRDefault="00E75D66" w:rsidP="00E75D66"/>
    <w:p w:rsidR="00E75D66" w:rsidRPr="00EF494A" w:rsidRDefault="00E75D66" w:rsidP="00E75D66"/>
    <w:p w:rsidR="00E75D66" w:rsidRPr="00EF494A" w:rsidRDefault="00E75D66" w:rsidP="00E75D66"/>
    <w:p w:rsidR="00E75D66" w:rsidRPr="00EF494A" w:rsidRDefault="00E75D66" w:rsidP="00E75D66"/>
    <w:p w:rsidR="00E75D66" w:rsidRPr="00EF494A" w:rsidRDefault="00E75D66" w:rsidP="00E75D66"/>
    <w:p w:rsidR="00E75D66" w:rsidRPr="00EF494A" w:rsidRDefault="00E75D66" w:rsidP="00E75D66"/>
    <w:p w:rsidR="00E75D66" w:rsidRPr="00EF494A" w:rsidRDefault="00E75D66" w:rsidP="00E75D66"/>
    <w:p w:rsidR="00E75D66" w:rsidRPr="00EF494A" w:rsidRDefault="00E75D66" w:rsidP="00E75D66"/>
    <w:p w:rsidR="00E75D66" w:rsidRPr="00EF494A" w:rsidRDefault="00E75D66" w:rsidP="00E75D66"/>
    <w:p w:rsidR="00E75D66" w:rsidRPr="00EF494A" w:rsidRDefault="00E75D66" w:rsidP="00E75D66"/>
    <w:p w:rsidR="00E75D66" w:rsidRPr="00EF494A" w:rsidRDefault="00E75D66" w:rsidP="00E75D66"/>
    <w:p w:rsidR="00E75D66" w:rsidRPr="00EF494A" w:rsidRDefault="00E75D66" w:rsidP="00E75D66"/>
    <w:p w:rsidR="00E75D66" w:rsidRPr="00EF494A" w:rsidRDefault="00E75D66" w:rsidP="00E75D66"/>
    <w:p w:rsidR="00E75D66" w:rsidRPr="00EF494A" w:rsidRDefault="00E75D66" w:rsidP="00E75D66"/>
    <w:p w:rsidR="00E75D66" w:rsidRPr="00EF494A" w:rsidRDefault="00E75D66" w:rsidP="00E75D66"/>
    <w:p w:rsidR="00E75D66" w:rsidRPr="00EF494A" w:rsidRDefault="00E75D66" w:rsidP="00E75D66"/>
    <w:p w:rsidR="00E75D66" w:rsidRPr="00EF494A" w:rsidRDefault="00E75D66" w:rsidP="00E75D66"/>
    <w:p w:rsidR="00E75D66" w:rsidRPr="00EF494A" w:rsidRDefault="00E75D66" w:rsidP="00E75D66"/>
    <w:p w:rsidR="00E75D66" w:rsidRPr="00EF494A" w:rsidRDefault="00E75D66" w:rsidP="00E75D66"/>
    <w:p w:rsidR="00E75D66" w:rsidRPr="00EF494A" w:rsidRDefault="00E75D66" w:rsidP="00E75D66"/>
    <w:p w:rsidR="00E75D66" w:rsidRPr="00EF494A" w:rsidRDefault="00E75D66" w:rsidP="00E75D66"/>
    <w:p w:rsidR="00E75D66" w:rsidRPr="00EF494A" w:rsidRDefault="00E75D66" w:rsidP="00E75D66"/>
    <w:p w:rsidR="00E75D66" w:rsidRPr="00EF494A" w:rsidRDefault="00E75D66" w:rsidP="00E75D66"/>
    <w:p w:rsidR="00E75D66" w:rsidRPr="00EF494A" w:rsidRDefault="00E75D66" w:rsidP="00E75D66"/>
    <w:p w:rsidR="00E75D66" w:rsidRPr="00EF494A" w:rsidRDefault="00E75D66" w:rsidP="00E75D66"/>
    <w:p w:rsidR="00E75D66" w:rsidRPr="00EF494A" w:rsidRDefault="00E75D66" w:rsidP="00E75D66"/>
    <w:p w:rsidR="00E75D66" w:rsidRPr="00EF494A" w:rsidRDefault="00E75D66" w:rsidP="00E75D66"/>
    <w:p w:rsidR="00E75D66" w:rsidRPr="00EF494A" w:rsidRDefault="00E75D66" w:rsidP="00E75D66"/>
    <w:p w:rsidR="00B26391" w:rsidRPr="00EF494A" w:rsidRDefault="00B26391" w:rsidP="00E75D66"/>
    <w:p w:rsidR="00B26391" w:rsidRPr="00EF494A" w:rsidRDefault="00B26391" w:rsidP="00E75D66"/>
    <w:p w:rsidR="00E75D66" w:rsidRPr="00EF494A" w:rsidRDefault="00E75D66" w:rsidP="00E75D66"/>
    <w:p w:rsidR="00E75D66" w:rsidRPr="00EF494A" w:rsidRDefault="00E75D66" w:rsidP="00E75D66">
      <w:pPr>
        <w:pStyle w:val="Note"/>
      </w:pPr>
      <w:r w:rsidRPr="00EF494A">
        <w:lastRenderedPageBreak/>
        <w:t>Definitions of rating scale:</w:t>
      </w:r>
      <w:r w:rsidRPr="00EF494A">
        <w:tab/>
      </w:r>
    </w:p>
    <w:p w:rsidR="00E75D66" w:rsidRPr="00EF494A" w:rsidRDefault="00E75D66" w:rsidP="00E75D66">
      <w:pPr>
        <w:pStyle w:val="Note"/>
      </w:pPr>
      <w:r w:rsidRPr="00EF494A">
        <w:t>Satisfactory (4, 5 and 6)</w:t>
      </w:r>
    </w:p>
    <w:p w:rsidR="00E75D66" w:rsidRPr="00EF494A" w:rsidRDefault="00E75D66" w:rsidP="00E75D66">
      <w:pPr>
        <w:pStyle w:val="Note"/>
      </w:pPr>
      <w:r w:rsidRPr="00EF494A">
        <w:rPr>
          <w:color w:val="72AF2F"/>
        </w:rPr>
        <w:sym w:font="Webdings" w:char="F067"/>
      </w:r>
      <w:r w:rsidRPr="00EF494A">
        <w:t xml:space="preserve"> = 6 = Very high quality</w:t>
      </w:r>
    </w:p>
    <w:p w:rsidR="00E75D66" w:rsidRPr="00EF494A" w:rsidRDefault="00E75D66" w:rsidP="00E75D66">
      <w:pPr>
        <w:pStyle w:val="Note"/>
      </w:pPr>
      <w:r w:rsidRPr="00EF494A">
        <w:rPr>
          <w:color w:val="72AF2F"/>
        </w:rPr>
        <w:sym w:font="Webdings" w:char="F067"/>
      </w:r>
      <w:r w:rsidRPr="00EF494A">
        <w:t xml:space="preserve"> = 5 = Good quality</w:t>
      </w:r>
    </w:p>
    <w:p w:rsidR="00E75D66" w:rsidRPr="00EF494A" w:rsidRDefault="00E75D66" w:rsidP="00E75D66">
      <w:pPr>
        <w:pStyle w:val="Note"/>
      </w:pPr>
      <w:r w:rsidRPr="00EF494A">
        <w:rPr>
          <w:color w:val="FFFF00"/>
        </w:rPr>
        <w:sym w:font="Webdings" w:char="F067"/>
      </w:r>
      <w:r w:rsidRPr="00EF494A">
        <w:t xml:space="preserve"> = 4 = Adequate quality, needs some work</w:t>
      </w:r>
    </w:p>
    <w:p w:rsidR="00E75D66" w:rsidRPr="00EF494A" w:rsidRDefault="00E75D66" w:rsidP="00E75D66">
      <w:pPr>
        <w:pStyle w:val="Note"/>
      </w:pPr>
      <w:r w:rsidRPr="00EF494A">
        <w:t>Less than satisfactory (1, 2 and 3)</w:t>
      </w:r>
    </w:p>
    <w:p w:rsidR="00E75D66" w:rsidRPr="00EF494A" w:rsidRDefault="00E75D66" w:rsidP="00E75D66">
      <w:pPr>
        <w:pStyle w:val="Note"/>
      </w:pPr>
      <w:r w:rsidRPr="00EF494A">
        <w:rPr>
          <w:color w:val="E36C0A"/>
        </w:rPr>
        <w:sym w:font="Webdings" w:char="F067"/>
      </w:r>
      <w:r w:rsidRPr="00EF494A">
        <w:rPr>
          <w:color w:val="E36C0A"/>
        </w:rPr>
        <w:t xml:space="preserve"> </w:t>
      </w:r>
      <w:r w:rsidRPr="00EF494A">
        <w:t>= 3 = Less than adequate quality; needs significant work</w:t>
      </w:r>
    </w:p>
    <w:p w:rsidR="00E75D66" w:rsidRPr="00EF494A" w:rsidRDefault="00E75D66" w:rsidP="00E75D66">
      <w:pPr>
        <w:pStyle w:val="Note"/>
      </w:pPr>
      <w:r w:rsidRPr="00EF494A">
        <w:rPr>
          <w:color w:val="FF0000"/>
        </w:rPr>
        <w:sym w:font="Webdings" w:char="F067"/>
      </w:r>
      <w:r w:rsidRPr="00EF494A">
        <w:t xml:space="preserve"> = 2 = Poor quality; needs major work to improve</w:t>
      </w:r>
    </w:p>
    <w:p w:rsidR="00E75D66" w:rsidRPr="00EF494A" w:rsidRDefault="00E75D66" w:rsidP="00E75D66">
      <w:pPr>
        <w:pStyle w:val="Note"/>
      </w:pPr>
      <w:r w:rsidRPr="00EF494A">
        <w:rPr>
          <w:color w:val="FF0000"/>
        </w:rPr>
        <w:sym w:font="Webdings" w:char="F067"/>
      </w:r>
      <w:r w:rsidRPr="00EF494A">
        <w:t xml:space="preserve"> = 1 = Very poor quality; needs major overhaul</w:t>
      </w:r>
    </w:p>
    <w:p w:rsidR="00E75D66" w:rsidRPr="00EF494A" w:rsidRDefault="00E75D66" w:rsidP="00E75D66">
      <w:pPr>
        <w:rPr>
          <w:b/>
        </w:rPr>
      </w:pPr>
    </w:p>
    <w:p w:rsidR="00E75D66" w:rsidRPr="00EF494A" w:rsidRDefault="00E75D66" w:rsidP="00E75D66">
      <w:pPr>
        <w:rPr>
          <w:b/>
        </w:rPr>
      </w:pPr>
    </w:p>
    <w:p w:rsidR="00876461" w:rsidRPr="00EF494A" w:rsidRDefault="00876461" w:rsidP="000D733F">
      <w:pPr>
        <w:pStyle w:val="Heading2"/>
        <w:rPr>
          <w:sz w:val="28"/>
        </w:rPr>
        <w:sectPr w:rsidR="00876461" w:rsidRPr="00EF494A" w:rsidSect="00E02595">
          <w:pgSz w:w="11906" w:h="16838" w:code="9"/>
          <w:pgMar w:top="1814" w:right="851" w:bottom="851" w:left="1814" w:header="709" w:footer="425" w:gutter="0"/>
          <w:cols w:space="708"/>
          <w:docGrid w:linePitch="360"/>
        </w:sectPr>
      </w:pPr>
    </w:p>
    <w:p w:rsidR="00372213" w:rsidRPr="00EF494A" w:rsidRDefault="00372213" w:rsidP="00A1727E">
      <w:pPr>
        <w:pStyle w:val="Heading1"/>
      </w:pPr>
      <w:r w:rsidRPr="00EF494A">
        <w:lastRenderedPageBreak/>
        <w:t xml:space="preserve">Annex </w:t>
      </w:r>
      <w:r w:rsidR="001B554C" w:rsidRPr="00EF494A">
        <w:t>E</w:t>
      </w:r>
    </w:p>
    <w:p w:rsidR="00372213" w:rsidRPr="00EF494A" w:rsidRDefault="00372213" w:rsidP="00372213">
      <w:pPr>
        <w:pStyle w:val="Heading3"/>
      </w:pPr>
      <w:r w:rsidRPr="00EF494A">
        <w:t>Gender</w:t>
      </w:r>
    </w:p>
    <w:p w:rsidR="001122D5" w:rsidRPr="00EF494A" w:rsidRDefault="00372213" w:rsidP="00372213">
      <w:pPr>
        <w:pStyle w:val="ListBullet"/>
        <w:numPr>
          <w:ilvl w:val="0"/>
          <w:numId w:val="0"/>
        </w:numPr>
      </w:pPr>
      <w:r w:rsidRPr="00EF494A">
        <w:t xml:space="preserve">Gender development issues are at the core of Laos Country Program investments.  </w:t>
      </w:r>
      <w:r w:rsidR="001122D5" w:rsidRPr="00EF494A">
        <w:t>All ongoing aid investments implement purposeful strategies to respond to gender equity gaps in their particular sector and to achieve progress towards gender equality.</w:t>
      </w:r>
    </w:p>
    <w:p w:rsidR="00372213" w:rsidRPr="00EF494A" w:rsidRDefault="00372213" w:rsidP="00372213">
      <w:pPr>
        <w:pStyle w:val="ListBullet"/>
        <w:numPr>
          <w:ilvl w:val="0"/>
          <w:numId w:val="0"/>
        </w:numPr>
      </w:pPr>
      <w:r w:rsidRPr="00EF494A">
        <w:t xml:space="preserve">Women’s economic empowerment continued to be built in 2013-14 through the delivery of activities in rural livelihoods and UXO clearance.  Improving the status of women and empowering them to take on leadership roles is a key objective of the LAI.  In 2013-14 our engagement with the Lao Government’s principal women’s empowerment policy development body – the National Commission for the Advancement of Women (NCAW) -  was strengthened through human resource development support mobilised through the LAI. Our investment in basic education </w:t>
      </w:r>
      <w:r w:rsidR="001122D5" w:rsidRPr="00EF494A">
        <w:t xml:space="preserve">through the EFA:FTI program </w:t>
      </w:r>
      <w:r w:rsidRPr="00EF494A">
        <w:t>enabl</w:t>
      </w:r>
      <w:r w:rsidR="001122D5" w:rsidRPr="00EF494A">
        <w:t xml:space="preserve">ed </w:t>
      </w:r>
      <w:r w:rsidRPr="00EF494A">
        <w:t>more girls to enrol in school and stay in school.</w:t>
      </w:r>
      <w:r w:rsidR="001122D5" w:rsidRPr="00EF494A">
        <w:t xml:space="preserve">  The design of Australia’s new basic education program (BEQUAL) effectively builds on the lessons learned and analysis of remaining gender equality gaps to focus attention </w:t>
      </w:r>
      <w:r w:rsidR="00AF6315" w:rsidRPr="00EF494A">
        <w:t>on improving retention rates and education outcomes for vulnerable girls, in particular those from ethnic minorities.</w:t>
      </w:r>
      <w:r w:rsidR="000A0224" w:rsidRPr="00EF494A">
        <w:t xml:space="preserve">  A Gender </w:t>
      </w:r>
      <w:r w:rsidR="0099040F" w:rsidRPr="00EF494A">
        <w:t xml:space="preserve">and Social Inclusion Assessment </w:t>
      </w:r>
      <w:r w:rsidR="000A0224" w:rsidRPr="00EF494A">
        <w:t>was prepared under PRFII to provide an assessment of the status of</w:t>
      </w:r>
      <w:r w:rsidR="0099040F" w:rsidRPr="00EF494A">
        <w:t xml:space="preserve"> social inclusion with</w:t>
      </w:r>
      <w:r w:rsidR="000A0224" w:rsidRPr="00EF494A">
        <w:t>in the program</w:t>
      </w:r>
      <w:r w:rsidR="001C5E5E" w:rsidRPr="00EF494A">
        <w:t>.</w:t>
      </w:r>
      <w:r w:rsidR="0099040F" w:rsidRPr="00EF494A">
        <w:t xml:space="preserve"> Key recommendation of this assessment include building the awareness of PRF staff  in socially inclusive approaches, development of training curricula for district teams</w:t>
      </w:r>
      <w:r w:rsidR="00B52C6E" w:rsidRPr="00EF494A">
        <w:t xml:space="preserve"> and extending the timeframe for development projects to ensure maximum participation from all villagers.</w:t>
      </w:r>
    </w:p>
    <w:p w:rsidR="00372213" w:rsidRPr="00EF494A" w:rsidRDefault="006F3F96" w:rsidP="00372213">
      <w:pPr>
        <w:pStyle w:val="ListBullet"/>
        <w:numPr>
          <w:ilvl w:val="0"/>
          <w:numId w:val="0"/>
        </w:numPr>
      </w:pPr>
      <w:r w:rsidRPr="00EF494A">
        <w:t>It is estimated that one in five women in Laos experience physical violence within the home, with one in three experiencing emotional violence</w:t>
      </w:r>
      <w:r w:rsidR="001466EE">
        <w:t>.</w:t>
      </w:r>
      <w:r w:rsidRPr="00EF494A">
        <w:t xml:space="preserve"> </w:t>
      </w:r>
      <w:r w:rsidR="00372213" w:rsidRPr="00EF494A">
        <w:t>In 2013-14, the Laos Country Program initiat</w:t>
      </w:r>
      <w:r w:rsidR="00AF6315" w:rsidRPr="00EF494A">
        <w:t>ed</w:t>
      </w:r>
      <w:r w:rsidR="00372213" w:rsidRPr="00EF494A">
        <w:t xml:space="preserve"> an advocacy activity on the elimination of violence against wom</w:t>
      </w:r>
      <w:r w:rsidRPr="00EF494A">
        <w:t>en</w:t>
      </w:r>
      <w:r w:rsidR="00372213" w:rsidRPr="00EF494A">
        <w:t>.  A short documentary was produc</w:t>
      </w:r>
      <w:r w:rsidR="001466EE">
        <w:t>ed by an Australia Awards alumnus</w:t>
      </w:r>
      <w:r w:rsidR="00372213" w:rsidRPr="00EF494A">
        <w:t xml:space="preserve"> and launched on White Ribbon Day on 25 November 2013.</w:t>
      </w:r>
    </w:p>
    <w:p w:rsidR="00372213" w:rsidRPr="00EF494A" w:rsidRDefault="00372213" w:rsidP="00372213">
      <w:pPr>
        <w:pStyle w:val="Heading3"/>
      </w:pPr>
      <w:r w:rsidRPr="00EF494A">
        <w:t xml:space="preserve">Disability Inclusive Development </w:t>
      </w:r>
    </w:p>
    <w:p w:rsidR="00372213" w:rsidRPr="00EF494A" w:rsidRDefault="00372213" w:rsidP="00372213">
      <w:pPr>
        <w:pStyle w:val="ListBullet"/>
        <w:numPr>
          <w:ilvl w:val="0"/>
          <w:numId w:val="0"/>
        </w:numPr>
      </w:pPr>
      <w:r w:rsidRPr="00EF494A">
        <w:t>Disability inclusion is an important factor for Laos Country Program investments.  Through the EFA:FTI program, 2,500 children were able to access schools made more accessible for children with disability.  Through our partnership with Catholic Relief Services 179 disabled children in poor and remote areas were provided with assistive devices to improve their hearing, vision and mobility.  More than 250 education personnel were provided with comprehensive training on inclusive education.  The Cooperative for Orthotic and Prosthetic Enterprise (COPE), partly funded by Australia, treated more than 511 patients (108 women), of which 153 were UXO survivors in 2013-14.  COPE also continued to build the clinical capacity of the national rehabilitation team, providing over 300 hours of training for 68 staff from five rehabilitation centres across the country.  Under the Australia Awards scholarship program, and for the first time, a scholar with high needs was mobilised to start study in Australia in July 2013, and has achieved academic excellence in the first year of study.</w:t>
      </w:r>
    </w:p>
    <w:p w:rsidR="00372213" w:rsidRPr="00EF494A" w:rsidRDefault="00372213" w:rsidP="00372213">
      <w:pPr>
        <w:pStyle w:val="Heading3"/>
      </w:pPr>
      <w:r w:rsidRPr="00EF494A">
        <w:t>Nutrition</w:t>
      </w:r>
    </w:p>
    <w:p w:rsidR="00372213" w:rsidRPr="00EF494A" w:rsidRDefault="00372213" w:rsidP="00372213">
      <w:pPr>
        <w:pStyle w:val="ListBullet"/>
        <w:numPr>
          <w:ilvl w:val="0"/>
          <w:numId w:val="0"/>
        </w:numPr>
      </w:pPr>
      <w:r w:rsidRPr="00EF494A">
        <w:t>The program currently has ‘nutrition-sensitive’ investments in education and rural livelihoods.  In 2013-14, a review was undertaken o</w:t>
      </w:r>
      <w:r w:rsidR="0022085C" w:rsidRPr="00EF494A">
        <w:t>n</w:t>
      </w:r>
      <w:r w:rsidRPr="00EF494A">
        <w:t xml:space="preserve"> how current and future aid investments could become more nutrition-sensitive with minimal additional resources.  A subsequent Nutrition Action Plan identifies a range of opportunities and actions we will take to tackle under-nutrition within the current scope of aid activities.  This plan will be updated and reported against annually.  Australia led in the scoping of joint research with the Lao Government into the institutional constraints on effective implementation of Lao PDR’s National Nutrition Policy.  This research will take place in 2014-15.</w:t>
      </w:r>
    </w:p>
    <w:p w:rsidR="00372213" w:rsidRPr="00EF494A" w:rsidRDefault="00372213">
      <w:pPr>
        <w:spacing w:after="200" w:line="276" w:lineRule="auto"/>
        <w:rPr>
          <w:rFonts w:ascii="Helvetica" w:eastAsia="Times New Roman" w:hAnsi="Helvetica" w:cs="Arial"/>
          <w:color w:val="007FAD"/>
          <w:spacing w:val="-10"/>
          <w:kern w:val="28"/>
          <w:sz w:val="28"/>
          <w:szCs w:val="28"/>
        </w:rPr>
      </w:pPr>
      <w:r w:rsidRPr="00EF494A">
        <w:br w:type="page"/>
      </w:r>
    </w:p>
    <w:p w:rsidR="00372213" w:rsidRPr="00EF494A" w:rsidRDefault="00372213" w:rsidP="00A1727E">
      <w:pPr>
        <w:pStyle w:val="Heading1"/>
        <w:sectPr w:rsidR="00372213" w:rsidRPr="00EF494A" w:rsidSect="004D092B">
          <w:pgSz w:w="11906" w:h="16838" w:code="9"/>
          <w:pgMar w:top="1814" w:right="851" w:bottom="851" w:left="1814" w:header="851" w:footer="454" w:gutter="0"/>
          <w:cols w:space="720"/>
          <w:docGrid w:linePitch="272"/>
        </w:sectPr>
      </w:pPr>
    </w:p>
    <w:p w:rsidR="00A1727E" w:rsidRPr="00EF494A" w:rsidRDefault="00A1727E" w:rsidP="00A1727E">
      <w:pPr>
        <w:pStyle w:val="Heading1"/>
      </w:pPr>
      <w:r w:rsidRPr="00EF494A">
        <w:lastRenderedPageBreak/>
        <w:t xml:space="preserve">Annex </w:t>
      </w:r>
      <w:r w:rsidR="001B554C" w:rsidRPr="00EF494A">
        <w:t>F</w:t>
      </w:r>
    </w:p>
    <w:p w:rsidR="00A1727E" w:rsidRPr="00EF494A" w:rsidRDefault="00A1727E" w:rsidP="00A1727E">
      <w:pPr>
        <w:pStyle w:val="Caption"/>
      </w:pPr>
      <w:r w:rsidRPr="00EF494A">
        <w:t>Management of key risks to achieving objectives</w:t>
      </w:r>
    </w:p>
    <w:tbl>
      <w:tblPr>
        <w:tblStyle w:val="APPR"/>
        <w:tblW w:w="5395" w:type="pct"/>
        <w:tblLook w:val="0600" w:firstRow="0" w:lastRow="0" w:firstColumn="0" w:lastColumn="0" w:noHBand="1" w:noVBand="1"/>
      </w:tblPr>
      <w:tblGrid>
        <w:gridCol w:w="4813"/>
        <w:gridCol w:w="4961"/>
        <w:gridCol w:w="5812"/>
      </w:tblGrid>
      <w:tr w:rsidR="00A1727E" w:rsidRPr="00EF494A" w:rsidTr="001466EE">
        <w:tc>
          <w:tcPr>
            <w:tcW w:w="4771" w:type="dxa"/>
            <w:hideMark/>
          </w:tcPr>
          <w:p w:rsidR="00A1727E" w:rsidRPr="00EF494A" w:rsidRDefault="00A1727E" w:rsidP="00037E68">
            <w:pPr>
              <w:pStyle w:val="TableTextColumnHeading"/>
            </w:pPr>
            <w:r w:rsidRPr="00EF494A">
              <w:t xml:space="preserve">Key risks </w:t>
            </w:r>
          </w:p>
        </w:tc>
        <w:tc>
          <w:tcPr>
            <w:tcW w:w="4933" w:type="dxa"/>
          </w:tcPr>
          <w:p w:rsidR="00A1727E" w:rsidRPr="00EF494A" w:rsidRDefault="00A1727E" w:rsidP="00037E68">
            <w:pPr>
              <w:pStyle w:val="TableTextColumnHeading"/>
            </w:pPr>
            <w:r w:rsidRPr="00EF494A">
              <w:t>What actions were taken to manage the risks over the past year?</w:t>
            </w:r>
          </w:p>
        </w:tc>
        <w:tc>
          <w:tcPr>
            <w:tcW w:w="5770" w:type="dxa"/>
          </w:tcPr>
          <w:p w:rsidR="00A1727E" w:rsidRPr="00EF494A" w:rsidRDefault="00A1727E" w:rsidP="00037E68">
            <w:pPr>
              <w:pStyle w:val="TableTextColumnHeading"/>
            </w:pPr>
            <w:r w:rsidRPr="00EF494A">
              <w:t>What further actions will be taken to manage the risks in the coming year?</w:t>
            </w:r>
          </w:p>
        </w:tc>
      </w:tr>
      <w:tr w:rsidR="00A1727E" w:rsidRPr="00EF494A" w:rsidTr="001466EE">
        <w:tc>
          <w:tcPr>
            <w:tcW w:w="4771" w:type="dxa"/>
            <w:hideMark/>
          </w:tcPr>
          <w:p w:rsidR="00A1727E" w:rsidRPr="00EF494A" w:rsidRDefault="00A1727E" w:rsidP="00037E68">
            <w:pPr>
              <w:pStyle w:val="ListBullet"/>
              <w:numPr>
                <w:ilvl w:val="0"/>
                <w:numId w:val="0"/>
              </w:numPr>
              <w:tabs>
                <w:tab w:val="left" w:pos="0"/>
              </w:tabs>
              <w:spacing w:after="0" w:line="240" w:lineRule="auto"/>
              <w:rPr>
                <w:sz w:val="17"/>
                <w:szCs w:val="17"/>
              </w:rPr>
            </w:pPr>
            <w:r w:rsidRPr="00EF494A">
              <w:rPr>
                <w:sz w:val="17"/>
                <w:szCs w:val="17"/>
              </w:rPr>
              <w:t>Continued Lao Government low level budget allocation and expenditure (particularly non-wage recurrent budget) to education will undermine the sustainability prospects of Australia’s investments in the sector.</w:t>
            </w:r>
          </w:p>
        </w:tc>
        <w:tc>
          <w:tcPr>
            <w:tcW w:w="4933" w:type="dxa"/>
          </w:tcPr>
          <w:p w:rsidR="00A1727E" w:rsidRPr="00EF494A" w:rsidRDefault="00A1727E" w:rsidP="00037E68">
            <w:pPr>
              <w:pStyle w:val="TableTextEntries"/>
            </w:pPr>
            <w:r w:rsidRPr="00EF494A">
              <w:t>The BEQUAL design was informed by the ESDP Mid Term Review, and articulates plans for a gradual scale-up on sustainability measures as Laos’ fiscal situation improves.</w:t>
            </w:r>
          </w:p>
        </w:tc>
        <w:tc>
          <w:tcPr>
            <w:tcW w:w="5770" w:type="dxa"/>
          </w:tcPr>
          <w:p w:rsidR="00A1727E" w:rsidRPr="00EF494A" w:rsidRDefault="00A1727E" w:rsidP="00037E68">
            <w:pPr>
              <w:pStyle w:val="TableTextEntries"/>
            </w:pPr>
            <w:r w:rsidRPr="00EF494A">
              <w:t>Prior to the mobilisation of BEQUAL, Australia will reach agreement with Laos on some matters relating to sustainability, such as Lao support for ethnic teachers trained by the program.</w:t>
            </w:r>
          </w:p>
          <w:p w:rsidR="00A1727E" w:rsidRPr="00EF494A" w:rsidRDefault="00A1727E" w:rsidP="00037E68">
            <w:pPr>
              <w:pStyle w:val="TableTextEntries"/>
            </w:pPr>
          </w:p>
          <w:p w:rsidR="00A1727E" w:rsidRPr="00EF494A" w:rsidRDefault="00A1727E" w:rsidP="00037E68">
            <w:pPr>
              <w:pStyle w:val="TableTextEntries"/>
              <w:rPr>
                <w:highlight w:val="yellow"/>
              </w:rPr>
            </w:pPr>
            <w:r w:rsidRPr="00EF494A">
              <w:t>Australia will seek to improve the effectiveness and efficiency of their teacher recruitment and deployment.  This could have substantial (positive) impact on the availability of non-wage recurrent budget in the future.</w:t>
            </w:r>
          </w:p>
        </w:tc>
      </w:tr>
      <w:tr w:rsidR="00A1727E" w:rsidRPr="00EF494A" w:rsidTr="001466EE">
        <w:tc>
          <w:tcPr>
            <w:tcW w:w="4771" w:type="dxa"/>
            <w:hideMark/>
          </w:tcPr>
          <w:p w:rsidR="00A1727E" w:rsidRPr="00EF494A" w:rsidRDefault="00A1727E" w:rsidP="00037E68">
            <w:pPr>
              <w:pStyle w:val="TableTextEntries"/>
            </w:pPr>
            <w:r w:rsidRPr="00EF494A">
              <w:t>Resettlement processes undermine the development impacts and sustainability of Australia’s aid investments, particularly in education and rural development, and policy dialogue opportunities to address this negative impact are not effective.</w:t>
            </w:r>
          </w:p>
        </w:tc>
        <w:tc>
          <w:tcPr>
            <w:tcW w:w="4933" w:type="dxa"/>
          </w:tcPr>
          <w:p w:rsidR="00A1727E" w:rsidRPr="00EF494A" w:rsidRDefault="00A1727E" w:rsidP="00037E68">
            <w:pPr>
              <w:pStyle w:val="TableTextEntries"/>
            </w:pPr>
            <w:r w:rsidRPr="00EF494A">
              <w:t xml:space="preserve">A Mid Term Review of the PRFII enabled existing safeguards </w:t>
            </w:r>
            <w:r w:rsidR="00881E5B" w:rsidRPr="00EF494A">
              <w:t>o</w:t>
            </w:r>
            <w:r w:rsidRPr="00EF494A">
              <w:t>n re-settlement to be reviewed and strengthened.  Australia communicated directly to Laos concern for re-settlement practi</w:t>
            </w:r>
            <w:r w:rsidR="00881E5B" w:rsidRPr="00EF494A">
              <w:t>c</w:t>
            </w:r>
            <w:r w:rsidRPr="00EF494A">
              <w:t>es.  PRFII targeting is more strongly assessed and revised (if necessary) as a result.</w:t>
            </w:r>
          </w:p>
        </w:tc>
        <w:tc>
          <w:tcPr>
            <w:tcW w:w="5770" w:type="dxa"/>
          </w:tcPr>
          <w:p w:rsidR="00A1727E" w:rsidRPr="00EF494A" w:rsidRDefault="00A1727E" w:rsidP="00037E68">
            <w:pPr>
              <w:pStyle w:val="TableTextEntries"/>
            </w:pPr>
            <w:r w:rsidRPr="00EF494A">
              <w:t>Australia will continue to communicate directly to Laos the need for the PRFII to adhere to agreed safeguard measures.</w:t>
            </w:r>
          </w:p>
          <w:p w:rsidR="00A1727E" w:rsidRPr="00EF494A" w:rsidRDefault="00A1727E" w:rsidP="00037E68">
            <w:pPr>
              <w:pStyle w:val="TableTextEntries"/>
            </w:pPr>
            <w:r w:rsidRPr="00EF494A">
              <w:t xml:space="preserve">Australia will also communicate regularly with Laos </w:t>
            </w:r>
            <w:r w:rsidR="00881E5B" w:rsidRPr="00EF494A">
              <w:t>on</w:t>
            </w:r>
            <w:r w:rsidRPr="00EF494A">
              <w:t xml:space="preserve"> safeguard matters related to basic education (school construction).  We will work closely with MoES to ensure that school infrastructure investments are appropriately targeted.</w:t>
            </w:r>
          </w:p>
        </w:tc>
      </w:tr>
      <w:tr w:rsidR="00A1727E" w:rsidRPr="00EF494A" w:rsidTr="001466EE">
        <w:tc>
          <w:tcPr>
            <w:tcW w:w="4771" w:type="dxa"/>
          </w:tcPr>
          <w:p w:rsidR="00A1727E" w:rsidRPr="00EF494A" w:rsidRDefault="00A1727E" w:rsidP="00037E68">
            <w:pPr>
              <w:pStyle w:val="TableTextEntries"/>
            </w:pPr>
            <w:r w:rsidRPr="00EF494A">
              <w:t>The bulk of Laos Country Program expenditure continues to be focused on multilateral agencies and trust funds which leads to overexposure and risk of program delays.</w:t>
            </w:r>
          </w:p>
        </w:tc>
        <w:tc>
          <w:tcPr>
            <w:tcW w:w="4933" w:type="dxa"/>
          </w:tcPr>
          <w:p w:rsidR="00A1727E" w:rsidRPr="00EF494A" w:rsidRDefault="00A1727E" w:rsidP="00037E68">
            <w:pPr>
              <w:pStyle w:val="TableTextEntries"/>
            </w:pPr>
            <w:r w:rsidRPr="00EF494A">
              <w:t>Laos Country Program has enhanced the use of ‘bilateral’ delivery mechanisms during 2013-14 through the design and/or implementation of new programs in rural development and education.</w:t>
            </w:r>
          </w:p>
        </w:tc>
        <w:tc>
          <w:tcPr>
            <w:tcW w:w="5770" w:type="dxa"/>
          </w:tcPr>
          <w:p w:rsidR="00A1727E" w:rsidRPr="00EF494A" w:rsidRDefault="00A1727E" w:rsidP="00037E68">
            <w:pPr>
              <w:pStyle w:val="TableTextEntries"/>
            </w:pPr>
            <w:r w:rsidRPr="00EF494A">
              <w:t>Procurement processes will be completed for the selection of managing contractors to undertake implementation of the new basic education program.  Implementation of other investments with a ‘mixed delivery’ approach, including the use of NGOs and managing contractors, will continue.</w:t>
            </w:r>
          </w:p>
        </w:tc>
      </w:tr>
      <w:tr w:rsidR="00A1727E" w:rsidRPr="00EF494A" w:rsidTr="001466EE">
        <w:tc>
          <w:tcPr>
            <w:tcW w:w="4771" w:type="dxa"/>
          </w:tcPr>
          <w:p w:rsidR="00A1727E" w:rsidRPr="00EF494A" w:rsidRDefault="00A1727E" w:rsidP="00037E68">
            <w:pPr>
              <w:pStyle w:val="TableTextEntries"/>
            </w:pPr>
            <w:r w:rsidRPr="00EF494A">
              <w:t>Non-OECD member donor investments duplicate Australian aid program investments, leading to inefficiency and waste of investments.</w:t>
            </w:r>
          </w:p>
        </w:tc>
        <w:tc>
          <w:tcPr>
            <w:tcW w:w="4933" w:type="dxa"/>
          </w:tcPr>
          <w:p w:rsidR="00A1727E" w:rsidRPr="00EF494A" w:rsidRDefault="00A1727E" w:rsidP="00037E68">
            <w:pPr>
              <w:pStyle w:val="TableTextEntries"/>
            </w:pPr>
            <w:r w:rsidRPr="00EF494A">
              <w:t>Enhanced bilateral dialogue with non-OECD member donors (and Laos’ neighbours) by the Australian Embassy, Vientiane, led by HOM and Counsellor – throughout 2013-14</w:t>
            </w:r>
          </w:p>
        </w:tc>
        <w:tc>
          <w:tcPr>
            <w:tcW w:w="5770" w:type="dxa"/>
          </w:tcPr>
          <w:p w:rsidR="00A1727E" w:rsidRPr="00EF494A" w:rsidRDefault="00A1727E" w:rsidP="00037E68">
            <w:pPr>
              <w:pStyle w:val="TableTextEntries"/>
            </w:pPr>
            <w:r w:rsidRPr="00EF494A">
              <w:t>Continue to seek dialogue with non-OECD member donors in 2014-15.</w:t>
            </w:r>
          </w:p>
        </w:tc>
      </w:tr>
      <w:tr w:rsidR="00A1727E" w:rsidRPr="00EF494A" w:rsidTr="001466EE">
        <w:tc>
          <w:tcPr>
            <w:tcW w:w="4771" w:type="dxa"/>
          </w:tcPr>
          <w:p w:rsidR="00A1727E" w:rsidRPr="00EF494A" w:rsidRDefault="00A1727E" w:rsidP="00037E68">
            <w:pPr>
              <w:pStyle w:val="TableTextEntries"/>
            </w:pPr>
            <w:r w:rsidRPr="00EF494A">
              <w:t>The operating environment for NGOs becomes more restricted.</w:t>
            </w:r>
          </w:p>
        </w:tc>
        <w:tc>
          <w:tcPr>
            <w:tcW w:w="4933" w:type="dxa"/>
          </w:tcPr>
          <w:p w:rsidR="00A1727E" w:rsidRPr="00EF494A" w:rsidRDefault="00A1727E" w:rsidP="00037E68">
            <w:pPr>
              <w:pStyle w:val="TableTextEntries"/>
            </w:pPr>
            <w:r w:rsidRPr="00EF494A">
              <w:t>Australia engaged closely with Laos on the revision of decrees for INGOs and NPAs and negotiation of MOUs for NGOs linked to LARLP.  We have advocated for less bureaucratic and restrictive requirements under these decrees and for one project MOU.</w:t>
            </w:r>
          </w:p>
          <w:p w:rsidR="00A1727E" w:rsidRPr="00EF494A" w:rsidRDefault="00A1727E" w:rsidP="00037E68">
            <w:pPr>
              <w:pStyle w:val="TableTextEntries"/>
            </w:pPr>
            <w:r w:rsidRPr="00EF494A">
              <w:t>Australia has continued to engage with Laos in the positive nature of civil society work in Laos, sharing evidence of positive developmental impact on communities (such as through the LANGOCA lessons learned workshop.</w:t>
            </w:r>
          </w:p>
        </w:tc>
        <w:tc>
          <w:tcPr>
            <w:tcW w:w="5770" w:type="dxa"/>
          </w:tcPr>
          <w:p w:rsidR="00A1727E" w:rsidRPr="00EF494A" w:rsidRDefault="00A1727E" w:rsidP="00037E68">
            <w:pPr>
              <w:pStyle w:val="TableTextEntries"/>
            </w:pPr>
            <w:r w:rsidRPr="00EF494A">
              <w:t xml:space="preserve">Australia will continue to remain engaged with </w:t>
            </w:r>
            <w:r w:rsidR="00881E5B" w:rsidRPr="00EF494A">
              <w:t>government</w:t>
            </w:r>
            <w:r w:rsidRPr="00EF494A">
              <w:t xml:space="preserve"> </w:t>
            </w:r>
            <w:r w:rsidR="00881E5B" w:rsidRPr="00EF494A">
              <w:t>on</w:t>
            </w:r>
            <w:r w:rsidRPr="00EF494A">
              <w:t xml:space="preserve"> matters relating to the operation of civil society in Laos.</w:t>
            </w:r>
          </w:p>
          <w:p w:rsidR="00A1727E" w:rsidRPr="00EF494A" w:rsidRDefault="00A1727E" w:rsidP="00037E68">
            <w:pPr>
              <w:pStyle w:val="TableTextEntries"/>
            </w:pPr>
            <w:r w:rsidRPr="00EF494A">
              <w:t xml:space="preserve">Australia will undertake consultations with MoFA, MPI and MoES to facilitate the agreement of MOUs for NGOs/NPAs </w:t>
            </w:r>
            <w:r w:rsidR="00881E5B" w:rsidRPr="00EF494A">
              <w:t xml:space="preserve">supporting </w:t>
            </w:r>
            <w:r w:rsidRPr="00EF494A">
              <w:t>the BEQUAL and LARLP programs.</w:t>
            </w:r>
          </w:p>
        </w:tc>
      </w:tr>
    </w:tbl>
    <w:p w:rsidR="00A1727E" w:rsidRPr="00EF494A" w:rsidRDefault="00A1727E">
      <w:pPr>
        <w:spacing w:after="200" w:line="276" w:lineRule="auto"/>
        <w:rPr>
          <w:sz w:val="28"/>
        </w:rPr>
      </w:pPr>
      <w:r w:rsidRPr="00EF494A">
        <w:rPr>
          <w:sz w:val="28"/>
        </w:rPr>
        <w:br w:type="page"/>
      </w:r>
    </w:p>
    <w:p w:rsidR="00865603" w:rsidRPr="00EF494A" w:rsidRDefault="00A1727E" w:rsidP="00865603">
      <w:pPr>
        <w:pStyle w:val="Heading2"/>
        <w:rPr>
          <w:sz w:val="28"/>
        </w:rPr>
      </w:pPr>
      <w:r w:rsidRPr="00EF494A">
        <w:rPr>
          <w:sz w:val="28"/>
        </w:rPr>
        <w:lastRenderedPageBreak/>
        <w:t xml:space="preserve">Annex </w:t>
      </w:r>
      <w:r w:rsidR="001B554C" w:rsidRPr="00EF494A">
        <w:rPr>
          <w:sz w:val="28"/>
        </w:rPr>
        <w:t>G</w:t>
      </w:r>
    </w:p>
    <w:p w:rsidR="00865603" w:rsidRPr="00EF494A" w:rsidRDefault="00865603" w:rsidP="00865603">
      <w:pPr>
        <w:pStyle w:val="Heading2"/>
      </w:pPr>
      <w:r w:rsidRPr="00EF494A">
        <w:rPr>
          <w:sz w:val="28"/>
        </w:rPr>
        <w:t>Performance Benchmarks 2014 -15</w:t>
      </w:r>
    </w:p>
    <w:tbl>
      <w:tblPr>
        <w:tblStyle w:val="DFATTable"/>
        <w:tblW w:w="5000" w:type="pct"/>
        <w:tblLook w:val="04A0" w:firstRow="1" w:lastRow="0" w:firstColumn="1" w:lastColumn="0" w:noHBand="0" w:noVBand="1"/>
      </w:tblPr>
      <w:tblGrid>
        <w:gridCol w:w="3421"/>
        <w:gridCol w:w="3422"/>
        <w:gridCol w:w="7546"/>
      </w:tblGrid>
      <w:tr w:rsidR="00865603" w:rsidRPr="00EF494A" w:rsidTr="00D31805">
        <w:trPr>
          <w:tblHeader/>
        </w:trPr>
        <w:tc>
          <w:tcPr>
            <w:tcW w:w="1189" w:type="pct"/>
            <w:tcBorders>
              <w:bottom w:val="single" w:sz="4" w:space="0" w:color="auto"/>
            </w:tcBorders>
            <w:tcMar>
              <w:top w:w="57" w:type="dxa"/>
              <w:bottom w:w="57" w:type="dxa"/>
            </w:tcMar>
          </w:tcPr>
          <w:p w:rsidR="00865603" w:rsidRPr="00EF494A" w:rsidRDefault="00865603" w:rsidP="00D31805">
            <w:pPr>
              <w:pStyle w:val="TableHeading1"/>
            </w:pPr>
            <w:r w:rsidRPr="00EF494A">
              <w:t>Program strategic objective</w:t>
            </w:r>
            <w:r w:rsidR="00140C18" w:rsidRPr="00EF494A">
              <w:rPr>
                <w:rStyle w:val="FootnoteReference"/>
              </w:rPr>
              <w:footnoteReference w:id="16"/>
            </w:r>
          </w:p>
        </w:tc>
        <w:tc>
          <w:tcPr>
            <w:tcW w:w="1189" w:type="pct"/>
            <w:tcBorders>
              <w:bottom w:val="single" w:sz="4" w:space="0" w:color="auto"/>
            </w:tcBorders>
          </w:tcPr>
          <w:p w:rsidR="00865603" w:rsidRPr="00EF494A" w:rsidRDefault="00865603" w:rsidP="00D31805">
            <w:pPr>
              <w:pStyle w:val="TableHeading1"/>
            </w:pPr>
            <w:r w:rsidRPr="00EF494A">
              <w:t xml:space="preserve">2014-15 benchmark </w:t>
            </w:r>
          </w:p>
        </w:tc>
        <w:tc>
          <w:tcPr>
            <w:tcW w:w="2622" w:type="pct"/>
            <w:tcBorders>
              <w:bottom w:val="single" w:sz="4" w:space="0" w:color="auto"/>
            </w:tcBorders>
          </w:tcPr>
          <w:p w:rsidR="00865603" w:rsidRPr="00EF494A" w:rsidRDefault="00865603" w:rsidP="00D31805">
            <w:pPr>
              <w:pStyle w:val="TableHeading1"/>
            </w:pPr>
            <w:r w:rsidRPr="00EF494A">
              <w:t>Rationale for selecting this performance benchmark</w:t>
            </w:r>
          </w:p>
        </w:tc>
      </w:tr>
      <w:tr w:rsidR="00865603" w:rsidRPr="00EF494A" w:rsidTr="00D31805">
        <w:tc>
          <w:tcPr>
            <w:tcW w:w="1189" w:type="pct"/>
            <w:tcBorders>
              <w:top w:val="single" w:sz="4" w:space="0" w:color="auto"/>
              <w:left w:val="single" w:sz="4" w:space="0" w:color="auto"/>
              <w:bottom w:val="single" w:sz="4" w:space="0" w:color="auto"/>
              <w:right w:val="single" w:sz="4" w:space="0" w:color="auto"/>
            </w:tcBorders>
            <w:tcMar>
              <w:top w:w="57" w:type="dxa"/>
              <w:bottom w:w="57" w:type="dxa"/>
            </w:tcMar>
          </w:tcPr>
          <w:p w:rsidR="00865603" w:rsidRPr="00EF494A" w:rsidRDefault="00865603" w:rsidP="00D31805">
            <w:pPr>
              <w:pStyle w:val="TableTextEntries"/>
            </w:pPr>
            <w:r w:rsidRPr="00EF494A">
              <w:t>Strategy objective 1: Mitigation of key constraints to equitable access to a quality basic education in targeted poor geographic areas</w:t>
            </w:r>
          </w:p>
        </w:tc>
        <w:tc>
          <w:tcPr>
            <w:tcW w:w="1189" w:type="pct"/>
            <w:tcBorders>
              <w:top w:val="single" w:sz="4" w:space="0" w:color="auto"/>
              <w:left w:val="single" w:sz="4" w:space="0" w:color="auto"/>
              <w:bottom w:val="single" w:sz="4" w:space="0" w:color="auto"/>
              <w:right w:val="single" w:sz="4" w:space="0" w:color="auto"/>
            </w:tcBorders>
          </w:tcPr>
          <w:p w:rsidR="00865603" w:rsidRPr="00EF494A" w:rsidRDefault="00865603" w:rsidP="00223535">
            <w:pPr>
              <w:numPr>
                <w:ilvl w:val="0"/>
                <w:numId w:val="19"/>
              </w:numPr>
              <w:tabs>
                <w:tab w:val="clear" w:pos="360"/>
                <w:tab w:val="num" w:pos="133"/>
              </w:tabs>
              <w:spacing w:before="120"/>
              <w:ind w:left="133" w:hanging="133"/>
              <w:rPr>
                <w:rFonts w:ascii="Franklin Gothic Book" w:eastAsia="Times New Roman" w:hAnsi="Franklin Gothic Book"/>
                <w:iCs/>
                <w:sz w:val="17"/>
                <w:szCs w:val="17"/>
              </w:rPr>
            </w:pPr>
            <w:r w:rsidRPr="00EF494A">
              <w:rPr>
                <w:rFonts w:ascii="Franklin Gothic Book" w:eastAsia="Times New Roman" w:hAnsi="Franklin Gothic Book"/>
                <w:iCs/>
                <w:sz w:val="17"/>
                <w:szCs w:val="17"/>
              </w:rPr>
              <w:t>115 schools have  water and sanitation facilities meeting GOL quality standards with district funded O&amp;M plan in place</w:t>
            </w:r>
          </w:p>
          <w:p w:rsidR="00865603" w:rsidRPr="00EF494A" w:rsidRDefault="00865603" w:rsidP="00223535">
            <w:pPr>
              <w:numPr>
                <w:ilvl w:val="0"/>
                <w:numId w:val="19"/>
              </w:numPr>
              <w:tabs>
                <w:tab w:val="clear" w:pos="360"/>
                <w:tab w:val="num" w:pos="133"/>
              </w:tabs>
              <w:spacing w:before="120"/>
              <w:ind w:left="133" w:hanging="133"/>
              <w:rPr>
                <w:rFonts w:ascii="Franklin Gothic Book" w:eastAsia="Times New Roman" w:hAnsi="Franklin Gothic Book"/>
                <w:iCs/>
                <w:sz w:val="17"/>
                <w:szCs w:val="17"/>
              </w:rPr>
            </w:pPr>
            <w:r w:rsidRPr="00EF494A">
              <w:rPr>
                <w:rFonts w:ascii="Franklin Gothic Book" w:eastAsia="Times New Roman" w:hAnsi="Franklin Gothic Book"/>
                <w:iCs/>
                <w:sz w:val="17"/>
                <w:szCs w:val="17"/>
              </w:rPr>
              <w:t xml:space="preserve">11,500 girls and boys utilising safe water sanitation facilities and </w:t>
            </w:r>
          </w:p>
          <w:p w:rsidR="00865603" w:rsidRPr="00EF494A" w:rsidRDefault="00865603" w:rsidP="00223535">
            <w:pPr>
              <w:numPr>
                <w:ilvl w:val="0"/>
                <w:numId w:val="19"/>
              </w:numPr>
              <w:tabs>
                <w:tab w:val="clear" w:pos="360"/>
                <w:tab w:val="num" w:pos="133"/>
              </w:tabs>
              <w:spacing w:before="120"/>
              <w:ind w:left="133" w:hanging="133"/>
            </w:pPr>
            <w:r w:rsidRPr="00EF494A">
              <w:rPr>
                <w:rFonts w:ascii="Franklin Gothic Book" w:eastAsia="Times New Roman" w:hAnsi="Franklin Gothic Book"/>
                <w:iCs/>
                <w:sz w:val="17"/>
                <w:szCs w:val="17"/>
              </w:rPr>
              <w:t>55,000 students provided with financial or nutritional support (such as food)</w:t>
            </w:r>
          </w:p>
        </w:tc>
        <w:tc>
          <w:tcPr>
            <w:tcW w:w="2622" w:type="pct"/>
            <w:tcBorders>
              <w:top w:val="single" w:sz="4" w:space="0" w:color="auto"/>
              <w:left w:val="single" w:sz="4" w:space="0" w:color="auto"/>
              <w:bottom w:val="single" w:sz="4" w:space="0" w:color="auto"/>
              <w:right w:val="single" w:sz="4" w:space="0" w:color="auto"/>
            </w:tcBorders>
          </w:tcPr>
          <w:p w:rsidR="00865603" w:rsidRPr="00EF494A" w:rsidRDefault="00865603" w:rsidP="00D31805">
            <w:pPr>
              <w:pStyle w:val="TableTextEntries"/>
            </w:pPr>
            <w:r w:rsidRPr="00EF494A">
              <w:t>Education is a flagship aid investment in Laos and represents 24% of Australian aid investment in previous year. The selected benchmarks are well aligned with the government priority to tackle MDG2. A recent Lao MDG progress report shows the country is off-track to achieve MDG goals especially primary survival rates to grade 5. The report also concludes that one of the contributing factors is poor school environment. Given our aggregate development results achieved last year, we believe</w:t>
            </w:r>
            <w:r w:rsidR="00881E5B" w:rsidRPr="00EF494A">
              <w:t xml:space="preserve"> </w:t>
            </w:r>
            <w:r w:rsidRPr="00EF494A">
              <w:t>these benchmarks are sensible.</w:t>
            </w:r>
          </w:p>
        </w:tc>
      </w:tr>
      <w:tr w:rsidR="00865603" w:rsidRPr="00EF494A" w:rsidTr="00D31805">
        <w:tc>
          <w:tcPr>
            <w:tcW w:w="1189" w:type="pct"/>
            <w:tcBorders>
              <w:top w:val="single" w:sz="4" w:space="0" w:color="auto"/>
              <w:left w:val="single" w:sz="4" w:space="0" w:color="auto"/>
              <w:bottom w:val="single" w:sz="4" w:space="0" w:color="auto"/>
              <w:right w:val="single" w:sz="4" w:space="0" w:color="auto"/>
            </w:tcBorders>
            <w:tcMar>
              <w:top w:w="57" w:type="dxa"/>
              <w:bottom w:w="57" w:type="dxa"/>
            </w:tcMar>
          </w:tcPr>
          <w:p w:rsidR="00865603" w:rsidRPr="00EF494A" w:rsidRDefault="00865603" w:rsidP="00D31805">
            <w:pPr>
              <w:pStyle w:val="TableTextEntries"/>
            </w:pPr>
            <w:r w:rsidRPr="00EF494A">
              <w:t>Strategy Objective 3: Policy and institutional impediments to trade and investment addressed in sectors that have high potential to contribute to inclusive growth</w:t>
            </w:r>
          </w:p>
        </w:tc>
        <w:tc>
          <w:tcPr>
            <w:tcW w:w="1189" w:type="pct"/>
            <w:tcBorders>
              <w:top w:val="single" w:sz="4" w:space="0" w:color="auto"/>
              <w:left w:val="single" w:sz="4" w:space="0" w:color="auto"/>
              <w:bottom w:val="single" w:sz="4" w:space="0" w:color="auto"/>
              <w:right w:val="single" w:sz="4" w:space="0" w:color="auto"/>
            </w:tcBorders>
          </w:tcPr>
          <w:p w:rsidR="00865603" w:rsidRPr="00EF494A" w:rsidRDefault="00865603" w:rsidP="00223535">
            <w:pPr>
              <w:numPr>
                <w:ilvl w:val="0"/>
                <w:numId w:val="19"/>
              </w:numPr>
              <w:tabs>
                <w:tab w:val="clear" w:pos="360"/>
                <w:tab w:val="num" w:pos="133"/>
              </w:tabs>
              <w:spacing w:before="120"/>
              <w:ind w:left="133" w:hanging="133"/>
            </w:pPr>
            <w:r w:rsidRPr="00EF494A">
              <w:rPr>
                <w:rFonts w:ascii="Franklin Gothic Book" w:eastAsia="Times New Roman" w:hAnsi="Franklin Gothic Book"/>
                <w:iCs/>
                <w:sz w:val="17"/>
                <w:szCs w:val="17"/>
              </w:rPr>
              <w:t xml:space="preserve">50 </w:t>
            </w:r>
            <w:r w:rsidR="00881E5B" w:rsidRPr="00EF494A">
              <w:rPr>
                <w:rFonts w:ascii="Franklin Gothic Book" w:eastAsia="Times New Roman" w:hAnsi="Franklin Gothic Book"/>
                <w:iCs/>
                <w:sz w:val="17"/>
                <w:szCs w:val="17"/>
              </w:rPr>
              <w:t>(</w:t>
            </w:r>
            <w:r w:rsidRPr="00EF494A">
              <w:rPr>
                <w:rFonts w:ascii="Franklin Gothic Book" w:eastAsia="Times New Roman" w:hAnsi="Franklin Gothic Book"/>
                <w:iCs/>
                <w:sz w:val="17"/>
                <w:szCs w:val="17"/>
              </w:rPr>
              <w:t>cumulative number</w:t>
            </w:r>
            <w:r w:rsidR="00881E5B" w:rsidRPr="00EF494A">
              <w:rPr>
                <w:rFonts w:ascii="Franklin Gothic Book" w:eastAsia="Times New Roman" w:hAnsi="Franklin Gothic Book"/>
                <w:iCs/>
                <w:sz w:val="17"/>
                <w:szCs w:val="17"/>
              </w:rPr>
              <w:t>)</w:t>
            </w:r>
            <w:r w:rsidRPr="00EF494A">
              <w:rPr>
                <w:rFonts w:ascii="Franklin Gothic Book" w:eastAsia="Times New Roman" w:hAnsi="Franklin Gothic Book"/>
                <w:iCs/>
                <w:sz w:val="17"/>
                <w:szCs w:val="17"/>
              </w:rPr>
              <w:t xml:space="preserve"> businesses approvals under the Business Assistance Facility to improve their trade growth strategies</w:t>
            </w:r>
            <w:r w:rsidRPr="00EF494A">
              <w:t xml:space="preserve"> </w:t>
            </w:r>
          </w:p>
        </w:tc>
        <w:tc>
          <w:tcPr>
            <w:tcW w:w="2622" w:type="pct"/>
            <w:tcBorders>
              <w:top w:val="single" w:sz="4" w:space="0" w:color="auto"/>
              <w:left w:val="single" w:sz="4" w:space="0" w:color="auto"/>
              <w:bottom w:val="single" w:sz="4" w:space="0" w:color="auto"/>
              <w:right w:val="single" w:sz="4" w:space="0" w:color="auto"/>
            </w:tcBorders>
          </w:tcPr>
          <w:p w:rsidR="00865603" w:rsidRDefault="00865603" w:rsidP="00D31805">
            <w:pPr>
              <w:pStyle w:val="TableTextEntries"/>
            </w:pPr>
            <w:r w:rsidRPr="00EF494A">
              <w:t xml:space="preserve">Lao private sector is </w:t>
            </w:r>
            <w:r w:rsidR="00881E5B" w:rsidRPr="00EF494A">
              <w:t xml:space="preserve">at </w:t>
            </w:r>
            <w:r w:rsidRPr="00EF494A">
              <w:t>an early stage development. The Business Assistance Facility (BAF) aims to support individual firms in build their skills and experience to become more competitive internationally. There are only around 620 unique exporters in the whole country</w:t>
            </w:r>
            <w:r w:rsidR="00881E5B" w:rsidRPr="00EF494A">
              <w:t>.  The</w:t>
            </w:r>
            <w:r w:rsidRPr="00EF494A">
              <w:t xml:space="preserve"> rate of export survival in international markets </w:t>
            </w:r>
            <w:r w:rsidR="00881E5B" w:rsidRPr="00EF494A">
              <w:t>is</w:t>
            </w:r>
            <w:r w:rsidRPr="00EF494A">
              <w:t xml:space="preserve"> low. Recent work by SME Promotion and Development Office, </w:t>
            </w:r>
            <w:r w:rsidR="00881E5B" w:rsidRPr="00EF494A">
              <w:t>p</w:t>
            </w:r>
            <w:r w:rsidRPr="00EF494A">
              <w:t xml:space="preserve">reparing their business development service network, shows that there are only around 20 such providers in Laos. </w:t>
            </w:r>
            <w:r w:rsidR="00881E5B" w:rsidRPr="00EF494A">
              <w:t>There is</w:t>
            </w:r>
            <w:r w:rsidRPr="00EF494A">
              <w:t xml:space="preserve"> a serious shortage of skills and local management or supervisory capabilities. Given matching grants concept is quite new in Laos and   considering </w:t>
            </w:r>
            <w:r w:rsidR="00881E5B" w:rsidRPr="00EF494A">
              <w:t xml:space="preserve">the </w:t>
            </w:r>
            <w:r w:rsidRPr="00EF494A">
              <w:t xml:space="preserve">local context the project result framework has set cumulative benchmark for BAF performance, </w:t>
            </w:r>
            <w:r w:rsidR="00881E5B" w:rsidRPr="00EF494A">
              <w:t xml:space="preserve">which </w:t>
            </w:r>
            <w:r w:rsidRPr="00EF494A">
              <w:t>we believe are realistic.</w:t>
            </w:r>
          </w:p>
          <w:p w:rsidR="00587580" w:rsidRDefault="00587580" w:rsidP="00D31805">
            <w:pPr>
              <w:pStyle w:val="TableTextEntries"/>
            </w:pPr>
          </w:p>
          <w:p w:rsidR="00587580" w:rsidRDefault="00587580" w:rsidP="00D31805">
            <w:pPr>
              <w:pStyle w:val="TableTextEntries"/>
            </w:pPr>
          </w:p>
          <w:p w:rsidR="00587580" w:rsidRDefault="00587580" w:rsidP="00D31805">
            <w:pPr>
              <w:pStyle w:val="TableTextEntries"/>
            </w:pPr>
          </w:p>
          <w:p w:rsidR="00587580" w:rsidRDefault="00587580" w:rsidP="00D31805">
            <w:pPr>
              <w:pStyle w:val="TableTextEntries"/>
            </w:pPr>
          </w:p>
          <w:p w:rsidR="00587580" w:rsidRDefault="00587580" w:rsidP="00D31805">
            <w:pPr>
              <w:pStyle w:val="TableTextEntries"/>
            </w:pPr>
          </w:p>
          <w:p w:rsidR="00587580" w:rsidRPr="00EF494A" w:rsidRDefault="00587580" w:rsidP="00D31805">
            <w:pPr>
              <w:pStyle w:val="TableTextEntries"/>
            </w:pPr>
          </w:p>
        </w:tc>
      </w:tr>
      <w:tr w:rsidR="00865603" w:rsidRPr="00EF494A" w:rsidTr="00D31805">
        <w:tc>
          <w:tcPr>
            <w:tcW w:w="1189" w:type="pct"/>
            <w:tcBorders>
              <w:top w:val="single" w:sz="4" w:space="0" w:color="auto"/>
              <w:left w:val="single" w:sz="4" w:space="0" w:color="auto"/>
              <w:bottom w:val="single" w:sz="4" w:space="0" w:color="auto"/>
              <w:right w:val="single" w:sz="4" w:space="0" w:color="auto"/>
            </w:tcBorders>
            <w:tcMar>
              <w:top w:w="57" w:type="dxa"/>
              <w:bottom w:w="57" w:type="dxa"/>
            </w:tcMar>
          </w:tcPr>
          <w:p w:rsidR="00865603" w:rsidRPr="00EF494A" w:rsidRDefault="00865603" w:rsidP="00D31805">
            <w:pPr>
              <w:pStyle w:val="TableTextEntries"/>
            </w:pPr>
            <w:r w:rsidRPr="00EF494A">
              <w:lastRenderedPageBreak/>
              <w:t>Strategy objective 4: Improve inclusive access to finance, productive assets, and market opportunities</w:t>
            </w:r>
          </w:p>
        </w:tc>
        <w:tc>
          <w:tcPr>
            <w:tcW w:w="1189" w:type="pct"/>
            <w:tcBorders>
              <w:top w:val="single" w:sz="4" w:space="0" w:color="auto"/>
              <w:left w:val="single" w:sz="4" w:space="0" w:color="auto"/>
              <w:bottom w:val="single" w:sz="4" w:space="0" w:color="auto"/>
              <w:right w:val="single" w:sz="4" w:space="0" w:color="auto"/>
            </w:tcBorders>
          </w:tcPr>
          <w:p w:rsidR="00865603" w:rsidRPr="00EF494A" w:rsidRDefault="00865603" w:rsidP="00223535">
            <w:pPr>
              <w:numPr>
                <w:ilvl w:val="0"/>
                <w:numId w:val="19"/>
              </w:numPr>
              <w:tabs>
                <w:tab w:val="clear" w:pos="360"/>
                <w:tab w:val="num" w:pos="133"/>
              </w:tabs>
              <w:spacing w:before="120"/>
              <w:ind w:left="133" w:hanging="133"/>
              <w:rPr>
                <w:rFonts w:ascii="Franklin Gothic Book" w:eastAsia="Times New Roman" w:hAnsi="Franklin Gothic Book"/>
                <w:iCs/>
                <w:sz w:val="17"/>
                <w:szCs w:val="17"/>
              </w:rPr>
            </w:pPr>
            <w:r w:rsidRPr="00EF494A">
              <w:rPr>
                <w:rFonts w:ascii="Franklin Gothic Book" w:eastAsia="Times New Roman" w:hAnsi="Franklin Gothic Book"/>
                <w:iCs/>
                <w:sz w:val="17"/>
                <w:szCs w:val="17"/>
              </w:rPr>
              <w:t xml:space="preserve">600 poor women and  men able to </w:t>
            </w:r>
            <w:r w:rsidR="00881E5B" w:rsidRPr="00EF494A">
              <w:rPr>
                <w:rFonts w:ascii="Franklin Gothic Book" w:eastAsia="Times New Roman" w:hAnsi="Franklin Gothic Book"/>
                <w:iCs/>
                <w:sz w:val="17"/>
                <w:szCs w:val="17"/>
              </w:rPr>
              <w:t xml:space="preserve">access </w:t>
            </w:r>
            <w:r w:rsidRPr="00EF494A">
              <w:rPr>
                <w:rFonts w:ascii="Franklin Gothic Book" w:hAnsi="Franklin Gothic Book" w:cs="Arial"/>
                <w:bCs/>
                <w:sz w:val="17"/>
                <w:szCs w:val="17"/>
              </w:rPr>
              <w:t>social transfers (such as cash or in kind transfers)</w:t>
            </w:r>
          </w:p>
          <w:p w:rsidR="00865603" w:rsidRPr="00EF494A" w:rsidRDefault="00865603" w:rsidP="00223535">
            <w:pPr>
              <w:numPr>
                <w:ilvl w:val="0"/>
                <w:numId w:val="19"/>
              </w:numPr>
              <w:tabs>
                <w:tab w:val="clear" w:pos="360"/>
                <w:tab w:val="num" w:pos="133"/>
              </w:tabs>
              <w:spacing w:before="120"/>
              <w:ind w:left="133" w:hanging="133"/>
              <w:rPr>
                <w:rFonts w:ascii="Franklin Gothic Book" w:eastAsia="Times New Roman" w:hAnsi="Franklin Gothic Book"/>
                <w:iCs/>
                <w:sz w:val="17"/>
                <w:szCs w:val="17"/>
              </w:rPr>
            </w:pPr>
            <w:r w:rsidRPr="00EF494A">
              <w:rPr>
                <w:rFonts w:ascii="Franklin Gothic Book" w:eastAsia="Times New Roman" w:hAnsi="Franklin Gothic Book"/>
                <w:iCs/>
                <w:sz w:val="17"/>
                <w:szCs w:val="17"/>
              </w:rPr>
              <w:t>93,000 additional poor women and men who increase their access to financial services</w:t>
            </w:r>
          </w:p>
          <w:p w:rsidR="00865603" w:rsidRPr="00EF494A" w:rsidRDefault="00865603" w:rsidP="00223535">
            <w:pPr>
              <w:numPr>
                <w:ilvl w:val="0"/>
                <w:numId w:val="19"/>
              </w:numPr>
              <w:tabs>
                <w:tab w:val="clear" w:pos="360"/>
                <w:tab w:val="num" w:pos="133"/>
              </w:tabs>
              <w:spacing w:before="120"/>
              <w:ind w:left="133" w:hanging="133"/>
              <w:rPr>
                <w:rFonts w:ascii="Franklin Gothic Book" w:eastAsia="Times New Roman" w:hAnsi="Franklin Gothic Book"/>
                <w:iCs/>
                <w:sz w:val="17"/>
                <w:szCs w:val="17"/>
              </w:rPr>
            </w:pPr>
            <w:r w:rsidRPr="00EF494A">
              <w:rPr>
                <w:rFonts w:ascii="Franklin Gothic Book" w:eastAsia="Times New Roman" w:hAnsi="Franklin Gothic Book"/>
                <w:iCs/>
                <w:sz w:val="17"/>
                <w:szCs w:val="17"/>
              </w:rPr>
              <w:t>630 hectares of productive land released from UXO contamination</w:t>
            </w:r>
          </w:p>
        </w:tc>
        <w:tc>
          <w:tcPr>
            <w:tcW w:w="2622" w:type="pct"/>
            <w:tcBorders>
              <w:top w:val="single" w:sz="4" w:space="0" w:color="auto"/>
              <w:left w:val="single" w:sz="4" w:space="0" w:color="auto"/>
              <w:bottom w:val="single" w:sz="4" w:space="0" w:color="auto"/>
              <w:right w:val="single" w:sz="4" w:space="0" w:color="auto"/>
            </w:tcBorders>
          </w:tcPr>
          <w:p w:rsidR="00865603" w:rsidRPr="00EF494A" w:rsidRDefault="00865603" w:rsidP="00D31805">
            <w:pPr>
              <w:pStyle w:val="TableTextEntries"/>
            </w:pPr>
            <w:r w:rsidRPr="00EF494A">
              <w:t xml:space="preserve">Given the aid program’s emphasis on economic growth, Australia </w:t>
            </w:r>
            <w:r w:rsidR="00881E5B" w:rsidRPr="00EF494A">
              <w:t xml:space="preserve">last year </w:t>
            </w:r>
            <w:r w:rsidRPr="00EF494A">
              <w:t xml:space="preserve">spent 41% of its aid investment </w:t>
            </w:r>
            <w:r w:rsidR="00881E5B" w:rsidRPr="00EF494A">
              <w:t>to</w:t>
            </w:r>
            <w:r w:rsidRPr="00EF494A">
              <w:t xml:space="preserve"> support rural livelihoods and infrastructure</w:t>
            </w:r>
            <w:r w:rsidR="00960568" w:rsidRPr="00EF494A">
              <w:t>.</w:t>
            </w:r>
            <w:r w:rsidRPr="00EF494A">
              <w:t xml:space="preserve">  Australia supports poor rural households - many of which are headed by women - to meet their livelihood and food security needs by diversifying income generating strategies, improving access to financial services and addressing barriers to market access. Through innovative partnerships with NGOs, multilateral and bilateral agencies, and the private sector, </w:t>
            </w:r>
            <w:r w:rsidR="00960568" w:rsidRPr="00EF494A">
              <w:t>our r</w:t>
            </w:r>
            <w:r w:rsidRPr="00EF494A">
              <w:t xml:space="preserve">ural </w:t>
            </w:r>
            <w:r w:rsidR="00960568" w:rsidRPr="00EF494A">
              <w:t>d</w:t>
            </w:r>
            <w:r w:rsidRPr="00EF494A">
              <w:t>evelopment aid investment aim</w:t>
            </w:r>
            <w:r w:rsidR="00960568" w:rsidRPr="00EF494A">
              <w:t>s</w:t>
            </w:r>
            <w:r w:rsidRPr="00EF494A">
              <w:t xml:space="preserve"> to improve the incomes of more than 350,000 rural </w:t>
            </w:r>
            <w:r w:rsidR="00960568" w:rsidRPr="00EF494A">
              <w:t>Lao</w:t>
            </w:r>
            <w:r w:rsidRPr="00EF494A">
              <w:t>. The performance benchmarks are consistent with the program results identified in the sector investment plan (Rural Development Delivery Strategy 2012-16).</w:t>
            </w:r>
          </w:p>
        </w:tc>
      </w:tr>
      <w:tr w:rsidR="00865603" w:rsidRPr="00EF494A" w:rsidTr="00D31805">
        <w:tc>
          <w:tcPr>
            <w:tcW w:w="1189" w:type="pct"/>
            <w:tcBorders>
              <w:top w:val="single" w:sz="4" w:space="0" w:color="auto"/>
              <w:left w:val="single" w:sz="4" w:space="0" w:color="auto"/>
              <w:bottom w:val="single" w:sz="4" w:space="0" w:color="auto"/>
              <w:right w:val="single" w:sz="4" w:space="0" w:color="auto"/>
            </w:tcBorders>
            <w:tcMar>
              <w:top w:w="57" w:type="dxa"/>
              <w:bottom w:w="57" w:type="dxa"/>
            </w:tcMar>
          </w:tcPr>
          <w:p w:rsidR="00865603" w:rsidRPr="00EF494A" w:rsidRDefault="00865603" w:rsidP="00D31805">
            <w:pPr>
              <w:pStyle w:val="TableTextEntries"/>
            </w:pPr>
            <w:r w:rsidRPr="00EF494A">
              <w:t>Strategy objective 5: Improve physical access to markets and basic services</w:t>
            </w:r>
          </w:p>
        </w:tc>
        <w:tc>
          <w:tcPr>
            <w:tcW w:w="1189" w:type="pct"/>
            <w:tcBorders>
              <w:top w:val="single" w:sz="4" w:space="0" w:color="auto"/>
              <w:left w:val="single" w:sz="4" w:space="0" w:color="auto"/>
              <w:bottom w:val="single" w:sz="4" w:space="0" w:color="auto"/>
              <w:right w:val="single" w:sz="4" w:space="0" w:color="auto"/>
            </w:tcBorders>
          </w:tcPr>
          <w:p w:rsidR="00865603" w:rsidRPr="00EF494A" w:rsidRDefault="00865603" w:rsidP="00223535">
            <w:pPr>
              <w:numPr>
                <w:ilvl w:val="0"/>
                <w:numId w:val="19"/>
              </w:numPr>
              <w:tabs>
                <w:tab w:val="clear" w:pos="360"/>
                <w:tab w:val="num" w:pos="133"/>
              </w:tabs>
              <w:spacing w:before="120"/>
              <w:ind w:left="133" w:hanging="133"/>
              <w:rPr>
                <w:rFonts w:ascii="Franklin Gothic Book" w:eastAsia="Times New Roman" w:hAnsi="Franklin Gothic Book"/>
                <w:iCs/>
                <w:sz w:val="17"/>
                <w:szCs w:val="17"/>
              </w:rPr>
            </w:pPr>
            <w:r w:rsidRPr="00EF494A">
              <w:rPr>
                <w:rFonts w:ascii="Franklin Gothic Book" w:eastAsia="Times New Roman" w:hAnsi="Franklin Gothic Book"/>
                <w:iCs/>
                <w:sz w:val="17"/>
                <w:szCs w:val="17"/>
              </w:rPr>
              <w:t>At least 100 kms of rural  roads constructed and rehabilitated</w:t>
            </w:r>
          </w:p>
          <w:p w:rsidR="00865603" w:rsidRPr="00EF494A" w:rsidRDefault="00865603" w:rsidP="00223535">
            <w:pPr>
              <w:numPr>
                <w:ilvl w:val="0"/>
                <w:numId w:val="19"/>
              </w:numPr>
              <w:tabs>
                <w:tab w:val="clear" w:pos="360"/>
                <w:tab w:val="num" w:pos="133"/>
              </w:tabs>
              <w:spacing w:before="120"/>
              <w:ind w:left="133" w:hanging="133"/>
            </w:pPr>
            <w:r w:rsidRPr="00EF494A">
              <w:rPr>
                <w:rFonts w:ascii="Franklin Gothic Book" w:eastAsia="Times New Roman" w:hAnsi="Franklin Gothic Book"/>
                <w:iCs/>
                <w:sz w:val="17"/>
                <w:szCs w:val="17"/>
              </w:rPr>
              <w:t>20,000 men and women provided with increased access to safe water</w:t>
            </w:r>
          </w:p>
          <w:p w:rsidR="00865603" w:rsidRPr="00EF494A" w:rsidRDefault="00865603" w:rsidP="00D31805">
            <w:pPr>
              <w:spacing w:before="120"/>
              <w:ind w:left="133"/>
            </w:pPr>
          </w:p>
        </w:tc>
        <w:tc>
          <w:tcPr>
            <w:tcW w:w="2622" w:type="pct"/>
            <w:tcBorders>
              <w:top w:val="single" w:sz="4" w:space="0" w:color="auto"/>
              <w:left w:val="single" w:sz="4" w:space="0" w:color="auto"/>
              <w:bottom w:val="single" w:sz="4" w:space="0" w:color="auto"/>
              <w:right w:val="single" w:sz="4" w:space="0" w:color="auto"/>
            </w:tcBorders>
          </w:tcPr>
          <w:p w:rsidR="00865603" w:rsidRPr="00EF494A" w:rsidRDefault="00865603" w:rsidP="00D31805">
            <w:pPr>
              <w:pStyle w:val="TableTextEntries"/>
            </w:pPr>
            <w:r w:rsidRPr="00EF494A">
              <w:t xml:space="preserve">Australia invests in community-driven infrastructure, such as local transport infrastructure and water </w:t>
            </w:r>
            <w:r w:rsidR="001466EE" w:rsidRPr="00EF494A">
              <w:t>systems that</w:t>
            </w:r>
            <w:r w:rsidRPr="00EF494A">
              <w:t xml:space="preserve"> enable more than 300,000 rural people (including women from poor ethnic communities) access livelihood opportunities, markets and basic services. We work with the World Bank</w:t>
            </w:r>
            <w:r w:rsidR="00CD4DBE" w:rsidRPr="00EF494A">
              <w:t>,</w:t>
            </w:r>
            <w:r w:rsidRPr="00EF494A">
              <w:t xml:space="preserve"> which has expertise in innovative solutions such as community-driven development</w:t>
            </w:r>
            <w:r w:rsidR="00CD4DBE" w:rsidRPr="00EF494A">
              <w:t>,</w:t>
            </w:r>
            <w:r w:rsidRPr="00EF494A">
              <w:t xml:space="preserve"> to deliver enabling infrastructure in remote rural communitie</w:t>
            </w:r>
            <w:r w:rsidR="00CD4DBE" w:rsidRPr="00EF494A">
              <w:t>s.</w:t>
            </w:r>
          </w:p>
        </w:tc>
      </w:tr>
      <w:tr w:rsidR="00865603" w:rsidRPr="00EF494A" w:rsidTr="00D31805">
        <w:tc>
          <w:tcPr>
            <w:tcW w:w="1189" w:type="pct"/>
            <w:vMerge w:val="restart"/>
            <w:tcBorders>
              <w:top w:val="single" w:sz="4" w:space="0" w:color="auto"/>
              <w:left w:val="single" w:sz="4" w:space="0" w:color="auto"/>
              <w:right w:val="single" w:sz="4" w:space="0" w:color="auto"/>
            </w:tcBorders>
            <w:tcMar>
              <w:top w:w="57" w:type="dxa"/>
              <w:bottom w:w="57" w:type="dxa"/>
            </w:tcMar>
          </w:tcPr>
          <w:p w:rsidR="00865603" w:rsidRPr="00EF494A" w:rsidRDefault="00865603" w:rsidP="00D31805">
            <w:pPr>
              <w:pStyle w:val="TableTextEntries"/>
            </w:pPr>
            <w:r w:rsidRPr="00EF494A">
              <w:t>Crosscutting Objectives: Scholarships &amp; human resource development</w:t>
            </w:r>
          </w:p>
        </w:tc>
        <w:tc>
          <w:tcPr>
            <w:tcW w:w="1189" w:type="pct"/>
            <w:tcBorders>
              <w:top w:val="single" w:sz="4" w:space="0" w:color="auto"/>
              <w:left w:val="single" w:sz="4" w:space="0" w:color="auto"/>
              <w:bottom w:val="single" w:sz="4" w:space="0" w:color="auto"/>
              <w:right w:val="single" w:sz="4" w:space="0" w:color="auto"/>
            </w:tcBorders>
          </w:tcPr>
          <w:p w:rsidR="00865603" w:rsidRPr="00EF494A" w:rsidRDefault="00865603" w:rsidP="00D31805">
            <w:pPr>
              <w:pStyle w:val="TableTextEntries"/>
            </w:pPr>
            <w:r w:rsidRPr="00EF494A">
              <w:t>50 students (25 men and 25 women) awarded a tertiary scholarship to study in Australia</w:t>
            </w:r>
          </w:p>
        </w:tc>
        <w:tc>
          <w:tcPr>
            <w:tcW w:w="2622" w:type="pct"/>
            <w:vMerge w:val="restart"/>
            <w:tcBorders>
              <w:top w:val="single" w:sz="4" w:space="0" w:color="auto"/>
              <w:left w:val="single" w:sz="4" w:space="0" w:color="auto"/>
              <w:right w:val="single" w:sz="4" w:space="0" w:color="auto"/>
            </w:tcBorders>
          </w:tcPr>
          <w:p w:rsidR="00865603" w:rsidRPr="00EF494A" w:rsidRDefault="00865603" w:rsidP="00D31805">
            <w:pPr>
              <w:pStyle w:val="TableTextEntries"/>
            </w:pPr>
            <w:r w:rsidRPr="00EF494A">
              <w:t xml:space="preserve">Lao PDR had an estimated population of 6.5 million in 2012, with a high proportion of young people. </w:t>
            </w:r>
            <w:r w:rsidR="00CD4DBE" w:rsidRPr="00EF494A">
              <w:t xml:space="preserve">As </w:t>
            </w:r>
            <w:r w:rsidRPr="00EF494A">
              <w:t>59 per cent of the population were</w:t>
            </w:r>
            <w:r w:rsidR="00CD4DBE" w:rsidRPr="00EF494A">
              <w:t xml:space="preserve"> </w:t>
            </w:r>
            <w:r w:rsidRPr="00EF494A">
              <w:t xml:space="preserve">below the age of 25 years, investment in human capital is essential </w:t>
            </w:r>
            <w:r w:rsidR="00CD4DBE" w:rsidRPr="00EF494A">
              <w:t xml:space="preserve">for Laos’ </w:t>
            </w:r>
            <w:r w:rsidRPr="00EF494A">
              <w:t>long-term development. These benchmarks were based o</w:t>
            </w:r>
            <w:r w:rsidR="00CD4DBE" w:rsidRPr="00EF494A">
              <w:t>n</w:t>
            </w:r>
            <w:r w:rsidRPr="00EF494A">
              <w:t xml:space="preserve"> historical data in previous years and are consistent with </w:t>
            </w:r>
            <w:r w:rsidR="00CD4DBE" w:rsidRPr="00EF494A">
              <w:t>the Lao G</w:t>
            </w:r>
            <w:r w:rsidRPr="00EF494A">
              <w:t xml:space="preserve">overnment’s national development objectives. </w:t>
            </w:r>
          </w:p>
        </w:tc>
      </w:tr>
      <w:tr w:rsidR="00865603" w:rsidRPr="00EF494A" w:rsidTr="00D31805">
        <w:tc>
          <w:tcPr>
            <w:tcW w:w="1189" w:type="pct"/>
            <w:vMerge/>
            <w:tcBorders>
              <w:left w:val="single" w:sz="4" w:space="0" w:color="auto"/>
              <w:bottom w:val="single" w:sz="4" w:space="0" w:color="auto"/>
              <w:right w:val="single" w:sz="4" w:space="0" w:color="auto"/>
            </w:tcBorders>
            <w:tcMar>
              <w:top w:w="57" w:type="dxa"/>
              <w:bottom w:w="57" w:type="dxa"/>
            </w:tcMar>
          </w:tcPr>
          <w:p w:rsidR="00865603" w:rsidRPr="00EF494A" w:rsidRDefault="00865603" w:rsidP="00D31805">
            <w:pPr>
              <w:pStyle w:val="TableTextEntries"/>
            </w:pPr>
          </w:p>
        </w:tc>
        <w:tc>
          <w:tcPr>
            <w:tcW w:w="1189" w:type="pct"/>
            <w:tcBorders>
              <w:top w:val="single" w:sz="4" w:space="0" w:color="auto"/>
              <w:left w:val="single" w:sz="4" w:space="0" w:color="auto"/>
              <w:bottom w:val="single" w:sz="4" w:space="0" w:color="auto"/>
              <w:right w:val="single" w:sz="4" w:space="0" w:color="auto"/>
            </w:tcBorders>
          </w:tcPr>
          <w:p w:rsidR="00865603" w:rsidRPr="00EF494A" w:rsidRDefault="00865603" w:rsidP="00D31805">
            <w:pPr>
              <w:pStyle w:val="TableTextEntries"/>
            </w:pPr>
            <w:r w:rsidRPr="00EF494A">
              <w:t xml:space="preserve">70 disadvantage students (35 men and 35 women) awarded a scholarship to study a bachelor degree in Lao public universities </w:t>
            </w:r>
          </w:p>
          <w:p w:rsidR="00865603" w:rsidRPr="00EF494A" w:rsidRDefault="00865603" w:rsidP="00D31805">
            <w:pPr>
              <w:pStyle w:val="TableTextEntries"/>
            </w:pPr>
          </w:p>
        </w:tc>
        <w:tc>
          <w:tcPr>
            <w:tcW w:w="2622" w:type="pct"/>
            <w:vMerge/>
            <w:tcBorders>
              <w:left w:val="single" w:sz="4" w:space="0" w:color="auto"/>
              <w:bottom w:val="single" w:sz="4" w:space="0" w:color="auto"/>
              <w:right w:val="single" w:sz="4" w:space="0" w:color="auto"/>
            </w:tcBorders>
          </w:tcPr>
          <w:p w:rsidR="00865603" w:rsidRPr="00EF494A" w:rsidRDefault="00865603" w:rsidP="00D31805">
            <w:pPr>
              <w:pStyle w:val="TableTextEntries"/>
            </w:pPr>
          </w:p>
        </w:tc>
      </w:tr>
      <w:bookmarkEnd w:id="2"/>
    </w:tbl>
    <w:p w:rsidR="00867D28" w:rsidRPr="00EF494A" w:rsidRDefault="00867D28" w:rsidP="00BE70D9"/>
    <w:sectPr w:rsidR="00867D28" w:rsidRPr="00EF494A" w:rsidSect="00372213">
      <w:pgSz w:w="16838" w:h="11906" w:orient="landscape" w:code="9"/>
      <w:pgMar w:top="1814" w:right="1814" w:bottom="851" w:left="851"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6EE" w:rsidRDefault="001466EE" w:rsidP="0050529F">
      <w:r>
        <w:separator/>
      </w:r>
    </w:p>
    <w:p w:rsidR="001466EE" w:rsidRDefault="001466EE"/>
    <w:p w:rsidR="001466EE" w:rsidRDefault="001466EE"/>
    <w:p w:rsidR="001466EE" w:rsidRDefault="001466EE"/>
    <w:p w:rsidR="001466EE" w:rsidRDefault="001466EE"/>
    <w:p w:rsidR="001466EE" w:rsidRDefault="001466EE"/>
    <w:p w:rsidR="001466EE" w:rsidRDefault="001466EE"/>
  </w:endnote>
  <w:endnote w:type="continuationSeparator" w:id="0">
    <w:p w:rsidR="001466EE" w:rsidRDefault="001466EE" w:rsidP="0050529F">
      <w:r>
        <w:continuationSeparator/>
      </w:r>
    </w:p>
    <w:p w:rsidR="001466EE" w:rsidRDefault="001466EE"/>
    <w:p w:rsidR="001466EE" w:rsidRDefault="001466EE"/>
    <w:p w:rsidR="001466EE" w:rsidRDefault="001466EE"/>
    <w:p w:rsidR="001466EE" w:rsidRDefault="001466EE"/>
    <w:p w:rsidR="001466EE" w:rsidRDefault="001466EE"/>
    <w:p w:rsidR="001466EE" w:rsidRDefault="001466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6EE" w:rsidRPr="0091071F" w:rsidRDefault="001466EE" w:rsidP="000D733F">
    <w:pPr>
      <w:pStyle w:val="Footer"/>
    </w:pPr>
    <w:r w:rsidRPr="0091071F">
      <w:fldChar w:fldCharType="begin"/>
    </w:r>
    <w:r w:rsidRPr="0091071F">
      <w:instrText xml:space="preserve"> PAGE </w:instrText>
    </w:r>
    <w:r w:rsidRPr="0091071F">
      <w:fldChar w:fldCharType="separate"/>
    </w:r>
    <w:r>
      <w:rPr>
        <w:noProof/>
      </w:rPr>
      <w:t>28</w:t>
    </w:r>
    <w:r w:rsidRPr="0091071F">
      <w:fldChar w:fldCharType="end"/>
    </w:r>
    <w:r w:rsidRPr="0091071F">
      <w:tab/>
    </w:r>
    <w:r>
      <w:fldChar w:fldCharType="begin"/>
    </w:r>
    <w:r>
      <w:instrText xml:space="preserve"> STYLEREF  Title </w:instrText>
    </w:r>
    <w:r>
      <w:rPr>
        <w:noProof/>
      </w:rPr>
      <w:fldChar w:fldCharType="end"/>
    </w:r>
    <w:r>
      <w:t xml:space="preserve"> &lt;&lt;Name of Country Program&gt;&gt;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6EE" w:rsidRPr="0091071F" w:rsidRDefault="001466EE" w:rsidP="000D733F">
    <w:pPr>
      <w:pStyle w:val="Footer"/>
    </w:pPr>
    <w:r>
      <w:tab/>
    </w:r>
    <w:r>
      <w:tab/>
    </w:r>
    <w:r w:rsidR="009E668E">
      <w:fldChar w:fldCharType="begin"/>
    </w:r>
    <w:r w:rsidR="009E668E">
      <w:instrText xml:space="preserve"> STYLEREF Title \* MERGEFORMAT </w:instrText>
    </w:r>
    <w:r w:rsidR="009E668E">
      <w:rPr>
        <w:noProof/>
      </w:rPr>
      <w:fldChar w:fldCharType="end"/>
    </w:r>
    <w:r w:rsidRPr="0091071F">
      <w:tab/>
    </w:r>
    <w:r w:rsidRPr="0091071F">
      <w:rPr>
        <w:rStyle w:val="PageNumber"/>
        <w:color w:val="3E3935"/>
      </w:rPr>
      <w:tab/>
    </w:r>
    <w:r w:rsidRPr="0091071F">
      <w:rPr>
        <w:rStyle w:val="PageNumber"/>
        <w:color w:val="3E3935"/>
      </w:rPr>
      <w:fldChar w:fldCharType="begin"/>
    </w:r>
    <w:r w:rsidRPr="0091071F">
      <w:rPr>
        <w:rStyle w:val="PageNumber"/>
        <w:color w:val="3E3935"/>
      </w:rPr>
      <w:instrText xml:space="preserve"> PAGE </w:instrText>
    </w:r>
    <w:r w:rsidRPr="0091071F">
      <w:rPr>
        <w:rStyle w:val="PageNumber"/>
        <w:color w:val="3E3935"/>
      </w:rPr>
      <w:fldChar w:fldCharType="separate"/>
    </w:r>
    <w:r w:rsidR="009E668E">
      <w:rPr>
        <w:rStyle w:val="PageNumber"/>
        <w:noProof/>
        <w:color w:val="3E3935"/>
      </w:rPr>
      <w:t>1</w:t>
    </w:r>
    <w:r w:rsidRPr="0091071F">
      <w:rPr>
        <w:rStyle w:val="PageNumber"/>
        <w:color w:val="3E393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8E" w:rsidRDefault="009E668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6EE" w:rsidRPr="004C4A3E" w:rsidRDefault="001466EE"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658240" behindDoc="1" locked="1" layoutInCell="1" allowOverlap="1" wp14:anchorId="265EFEE3" wp14:editId="256515D8">
              <wp:simplePos x="0" y="0"/>
              <wp:positionH relativeFrom="page">
                <wp:posOffset>0</wp:posOffset>
              </wp:positionH>
              <wp:positionV relativeFrom="page">
                <wp:posOffset>8533130</wp:posOffset>
              </wp:positionV>
              <wp:extent cx="7380000" cy="2181600"/>
              <wp:effectExtent l="0" t="0" r="0" b="9525"/>
              <wp:wrapNone/>
              <wp:docPr id="20"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AusAID web address graphic" style="position:absolute;margin-left:0;margin-top:671.9pt;width:581.1pt;height:17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3jq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g67eO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Pr>
        <w:rFonts w:ascii="Franklin Gothic Medium" w:hAnsi="Franklin Gothic Medium"/>
        <w:noProof/>
        <w:color w:val="5A9A98"/>
        <w:sz w:val="14"/>
        <w:szCs w:val="14"/>
      </w:rPr>
      <w:t>Aid Program Performance Report 2013-14</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28</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657216" behindDoc="1" locked="0" layoutInCell="1" allowOverlap="1" wp14:anchorId="3203CEF8" wp14:editId="5727CF38">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AusAID web address graphic" style="position:absolute;margin-left:0;margin-top:669.2pt;width:581.1pt;height:17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56192" behindDoc="1" locked="0" layoutInCell="1" allowOverlap="1" wp14:anchorId="2D4569FE" wp14:editId="5AFFF629">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AusAID web address graphic" style="position:absolute;margin-left:0;margin-top:669.2pt;width:581.1pt;height:17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6EE" w:rsidRDefault="001466EE" w:rsidP="0050529F">
      <w:r>
        <w:separator/>
      </w:r>
    </w:p>
    <w:p w:rsidR="001466EE" w:rsidRDefault="001466EE"/>
    <w:p w:rsidR="001466EE" w:rsidRDefault="001466EE"/>
    <w:p w:rsidR="001466EE" w:rsidRDefault="001466EE"/>
    <w:p w:rsidR="001466EE" w:rsidRDefault="001466EE"/>
  </w:footnote>
  <w:footnote w:type="continuationSeparator" w:id="0">
    <w:p w:rsidR="001466EE" w:rsidRDefault="001466EE" w:rsidP="0050529F">
      <w:r>
        <w:continuationSeparator/>
      </w:r>
    </w:p>
    <w:p w:rsidR="001466EE" w:rsidRDefault="001466EE"/>
    <w:p w:rsidR="001466EE" w:rsidRDefault="001466EE"/>
    <w:p w:rsidR="001466EE" w:rsidRDefault="001466EE"/>
    <w:p w:rsidR="001466EE" w:rsidRDefault="001466EE"/>
  </w:footnote>
  <w:footnote w:type="continuationNotice" w:id="1">
    <w:p w:rsidR="001466EE" w:rsidRDefault="001466EE"/>
  </w:footnote>
  <w:footnote w:id="2">
    <w:p w:rsidR="001466EE" w:rsidRPr="0094339B" w:rsidRDefault="001466EE" w:rsidP="0094339B">
      <w:pPr>
        <w:pStyle w:val="FootnoteText"/>
        <w:spacing w:line="240" w:lineRule="auto"/>
        <w:contextualSpacing w:val="0"/>
        <w:rPr>
          <w:rStyle w:val="FootnoteReference"/>
          <w:rFonts w:ascii="Franklin Gothic Book" w:hAnsi="Franklin Gothic Book"/>
          <w:sz w:val="18"/>
          <w:szCs w:val="18"/>
        </w:rPr>
      </w:pPr>
      <w:r w:rsidRPr="0094339B">
        <w:rPr>
          <w:rStyle w:val="FootnoteReference"/>
          <w:rFonts w:ascii="Franklin Gothic Book" w:hAnsi="Franklin Gothic Book"/>
          <w:sz w:val="18"/>
          <w:szCs w:val="18"/>
        </w:rPr>
        <w:footnoteRef/>
      </w:r>
      <w:r w:rsidRPr="0094339B">
        <w:rPr>
          <w:rStyle w:val="FootnoteReference"/>
          <w:rFonts w:ascii="Franklin Gothic Book" w:hAnsi="Franklin Gothic Book"/>
          <w:sz w:val="18"/>
          <w:szCs w:val="18"/>
        </w:rPr>
        <w:t xml:space="preserve"> Poverty Profile in Lao PDR: Poverty Report for the Lao Consumption and Expenditure Survey, 2012-13, pp1-2.  Note that this information has been drawn from a draft report not yet publically released.</w:t>
      </w:r>
    </w:p>
  </w:footnote>
  <w:footnote w:id="3">
    <w:p w:rsidR="001466EE" w:rsidRPr="0094339B" w:rsidRDefault="001466EE" w:rsidP="0094339B">
      <w:pPr>
        <w:pStyle w:val="FootnoteText"/>
        <w:spacing w:line="240" w:lineRule="auto"/>
        <w:contextualSpacing w:val="0"/>
        <w:rPr>
          <w:rStyle w:val="FootnoteReference"/>
          <w:rFonts w:ascii="Franklin Gothic Book" w:hAnsi="Franklin Gothic Book"/>
          <w:sz w:val="18"/>
          <w:szCs w:val="18"/>
        </w:rPr>
      </w:pPr>
      <w:r w:rsidRPr="0094339B">
        <w:rPr>
          <w:rStyle w:val="FootnoteReference"/>
          <w:rFonts w:ascii="Franklin Gothic Book" w:hAnsi="Franklin Gothic Book"/>
          <w:sz w:val="18"/>
          <w:szCs w:val="18"/>
        </w:rPr>
        <w:footnoteRef/>
      </w:r>
      <w:r w:rsidRPr="0094339B">
        <w:rPr>
          <w:rStyle w:val="FootnoteReference"/>
          <w:rFonts w:ascii="Franklin Gothic Book" w:hAnsi="Franklin Gothic Book"/>
          <w:sz w:val="18"/>
          <w:szCs w:val="18"/>
        </w:rPr>
        <w:t xml:space="preserve"> Poverty Profile in Lao PDR: Poverty Report for the Lao Consumption and Expenditure Survey, 2012-13, p1.</w:t>
      </w:r>
    </w:p>
  </w:footnote>
  <w:footnote w:id="4">
    <w:p w:rsidR="001466EE" w:rsidRPr="0094339B" w:rsidRDefault="001466EE" w:rsidP="0094339B">
      <w:pPr>
        <w:pStyle w:val="FootnoteText"/>
        <w:spacing w:line="240" w:lineRule="auto"/>
        <w:contextualSpacing w:val="0"/>
        <w:rPr>
          <w:sz w:val="18"/>
          <w:szCs w:val="18"/>
        </w:rPr>
      </w:pPr>
      <w:r w:rsidRPr="0094339B">
        <w:rPr>
          <w:rStyle w:val="FootnoteReference"/>
          <w:rFonts w:ascii="Franklin Gothic Book" w:hAnsi="Franklin Gothic Book"/>
          <w:sz w:val="18"/>
          <w:szCs w:val="18"/>
        </w:rPr>
        <w:footnoteRef/>
      </w:r>
      <w:r w:rsidRPr="0094339B">
        <w:rPr>
          <w:rStyle w:val="FootnoteReference"/>
          <w:rFonts w:ascii="Franklin Gothic Book" w:hAnsi="Franklin Gothic Book"/>
          <w:sz w:val="18"/>
          <w:szCs w:val="18"/>
        </w:rPr>
        <w:t xml:space="preserve"> Primary share, excluding debt repayments.  If debt repayments are included, the education share in 2013-14 is 13.3 per cent.</w:t>
      </w:r>
    </w:p>
  </w:footnote>
  <w:footnote w:id="5">
    <w:p w:rsidR="001466EE" w:rsidRPr="0094339B" w:rsidRDefault="001466EE" w:rsidP="0094339B">
      <w:pPr>
        <w:pStyle w:val="FootnoteText"/>
        <w:spacing w:line="240" w:lineRule="auto"/>
        <w:contextualSpacing w:val="0"/>
        <w:rPr>
          <w:rStyle w:val="FootnoteReference"/>
          <w:rFonts w:ascii="Franklin Gothic Book" w:hAnsi="Franklin Gothic Book"/>
          <w:sz w:val="18"/>
          <w:szCs w:val="18"/>
        </w:rPr>
      </w:pPr>
      <w:r w:rsidRPr="0094339B">
        <w:rPr>
          <w:rStyle w:val="FootnoteReference"/>
          <w:rFonts w:ascii="Franklin Gothic Book" w:hAnsi="Franklin Gothic Book"/>
          <w:sz w:val="18"/>
          <w:szCs w:val="18"/>
        </w:rPr>
        <w:footnoteRef/>
      </w:r>
      <w:r w:rsidRPr="0094339B">
        <w:rPr>
          <w:rStyle w:val="FootnoteReference"/>
          <w:rFonts w:ascii="Franklin Gothic Book" w:hAnsi="Franklin Gothic Book"/>
          <w:sz w:val="18"/>
          <w:szCs w:val="18"/>
        </w:rPr>
        <w:t xml:space="preserve"> The Lao Ministry of Education and Sports planned to disburse school operating grants nationally at LAK20,000 per student in 2013-14.  In August 2014, the Ministry advised that they had disbursed LAK50,000 per student nationally.  In 2014-15, it is likely that school block operating grants will be prioritised through the budget, but the per student grant level may be lower, and there may be delays in disbursement.</w:t>
      </w:r>
    </w:p>
  </w:footnote>
  <w:footnote w:id="6">
    <w:p w:rsidR="001466EE" w:rsidRPr="0094339B" w:rsidRDefault="001466EE" w:rsidP="0094339B">
      <w:pPr>
        <w:pStyle w:val="FootnoteText"/>
        <w:spacing w:line="240" w:lineRule="auto"/>
        <w:contextualSpacing w:val="0"/>
        <w:rPr>
          <w:position w:val="6"/>
          <w:sz w:val="18"/>
          <w:szCs w:val="18"/>
        </w:rPr>
      </w:pPr>
      <w:r w:rsidRPr="0094339B">
        <w:rPr>
          <w:rStyle w:val="FootnoteReference"/>
          <w:rFonts w:ascii="Franklin Gothic Book" w:hAnsi="Franklin Gothic Book"/>
          <w:sz w:val="18"/>
          <w:szCs w:val="18"/>
        </w:rPr>
        <w:footnoteRef/>
      </w:r>
      <w:r w:rsidRPr="0094339B">
        <w:rPr>
          <w:rStyle w:val="FootnoteReference"/>
          <w:rFonts w:ascii="Franklin Gothic Book" w:hAnsi="Franklin Gothic Book"/>
          <w:sz w:val="18"/>
          <w:szCs w:val="18"/>
        </w:rPr>
        <w:t xml:space="preserve"> Fluctuations in exchange rates resulted in less funds being available to conduct all anticipated trainings.</w:t>
      </w:r>
    </w:p>
  </w:footnote>
  <w:footnote w:id="7">
    <w:p w:rsidR="001466EE" w:rsidRPr="0094339B" w:rsidRDefault="001466EE" w:rsidP="0094339B">
      <w:pPr>
        <w:pStyle w:val="FootnoteText"/>
        <w:spacing w:line="240" w:lineRule="auto"/>
        <w:contextualSpacing w:val="0"/>
        <w:rPr>
          <w:rStyle w:val="FootnoteReference"/>
          <w:rFonts w:ascii="Franklin Gothic Book" w:hAnsi="Franklin Gothic Book"/>
          <w:sz w:val="18"/>
          <w:szCs w:val="18"/>
        </w:rPr>
      </w:pPr>
      <w:r w:rsidRPr="0094339B">
        <w:rPr>
          <w:rStyle w:val="FootnoteReference"/>
          <w:rFonts w:ascii="Franklin Gothic Book" w:hAnsi="Franklin Gothic Book"/>
          <w:sz w:val="18"/>
          <w:szCs w:val="18"/>
        </w:rPr>
        <w:footnoteRef/>
      </w:r>
      <w:r w:rsidRPr="0094339B">
        <w:rPr>
          <w:sz w:val="18"/>
          <w:szCs w:val="18"/>
        </w:rPr>
        <w:t xml:space="preserve"> </w:t>
      </w:r>
      <w:r w:rsidRPr="0094339B">
        <w:rPr>
          <w:rStyle w:val="FootnoteReference"/>
          <w:rFonts w:ascii="Franklin Gothic Book" w:hAnsi="Franklin Gothic Book"/>
          <w:sz w:val="18"/>
          <w:szCs w:val="18"/>
        </w:rPr>
        <w:t>Note that the total number of schools to be constructed by the EFA:FTI program has been revised from 623 to 718 in the last years of the program.</w:t>
      </w:r>
    </w:p>
  </w:footnote>
  <w:footnote w:id="8">
    <w:p w:rsidR="001466EE" w:rsidRPr="0094339B" w:rsidRDefault="001466EE" w:rsidP="0094339B">
      <w:pPr>
        <w:pStyle w:val="FootnoteText"/>
        <w:spacing w:line="240" w:lineRule="auto"/>
        <w:contextualSpacing w:val="0"/>
        <w:rPr>
          <w:rStyle w:val="FootnoteReference"/>
          <w:rFonts w:ascii="Franklin Gothic Book" w:eastAsia="SimSun" w:hAnsi="Franklin Gothic Book"/>
          <w:sz w:val="18"/>
          <w:szCs w:val="18"/>
        </w:rPr>
      </w:pPr>
      <w:r w:rsidRPr="0094339B">
        <w:rPr>
          <w:rStyle w:val="FootnoteReference"/>
          <w:rFonts w:ascii="Franklin Gothic Book" w:hAnsi="Franklin Gothic Book"/>
          <w:sz w:val="18"/>
          <w:szCs w:val="18"/>
        </w:rPr>
        <w:footnoteRef/>
      </w:r>
      <w:r w:rsidRPr="0094339B">
        <w:rPr>
          <w:rStyle w:val="FootnoteReference"/>
          <w:rFonts w:ascii="Franklin Gothic Book" w:hAnsi="Franklin Gothic Book"/>
          <w:sz w:val="18"/>
          <w:szCs w:val="18"/>
        </w:rPr>
        <w:t xml:space="preserve"> Of this total, 31 schools received WASH facilities through a ‘Bridging Fund’ set to conclude in late 2014; and 43 schools received WASH facilities funded under a new initiative with UNICEF linked to the BEQUAL program.</w:t>
      </w:r>
    </w:p>
  </w:footnote>
  <w:footnote w:id="9">
    <w:p w:rsidR="001466EE" w:rsidRPr="0094339B" w:rsidRDefault="001466EE" w:rsidP="0094339B">
      <w:pPr>
        <w:pStyle w:val="FootnoteText"/>
        <w:spacing w:line="240" w:lineRule="auto"/>
        <w:contextualSpacing w:val="0"/>
        <w:rPr>
          <w:rStyle w:val="FootnoteReference"/>
          <w:rFonts w:ascii="Franklin Gothic Book" w:hAnsi="Franklin Gothic Book"/>
          <w:sz w:val="18"/>
          <w:szCs w:val="18"/>
        </w:rPr>
      </w:pPr>
      <w:r w:rsidRPr="0094339B">
        <w:rPr>
          <w:rStyle w:val="FootnoteReference"/>
          <w:rFonts w:ascii="Franklin Gothic Book" w:hAnsi="Franklin Gothic Book"/>
          <w:sz w:val="18"/>
          <w:szCs w:val="18"/>
        </w:rPr>
        <w:footnoteRef/>
      </w:r>
      <w:r w:rsidRPr="0094339B">
        <w:rPr>
          <w:rStyle w:val="FootnoteReference"/>
          <w:rFonts w:ascii="Franklin Gothic Book" w:hAnsi="Franklin Gothic Book"/>
          <w:sz w:val="18"/>
          <w:szCs w:val="18"/>
        </w:rPr>
        <w:t xml:space="preserve"> To date the Education Law (2007) stipulates 5 years (Grade 1 to 5) of compulsory education in Laos.</w:t>
      </w:r>
    </w:p>
  </w:footnote>
  <w:footnote w:id="10">
    <w:p w:rsidR="001466EE" w:rsidRPr="0094339B" w:rsidRDefault="001466EE" w:rsidP="0094339B">
      <w:pPr>
        <w:pStyle w:val="FootnoteText"/>
        <w:spacing w:line="240" w:lineRule="auto"/>
        <w:contextualSpacing w:val="0"/>
        <w:rPr>
          <w:rStyle w:val="FootnoteReference"/>
          <w:rFonts w:ascii="Franklin Gothic Book" w:hAnsi="Franklin Gothic Book"/>
          <w:sz w:val="18"/>
          <w:szCs w:val="18"/>
        </w:rPr>
      </w:pPr>
      <w:r w:rsidRPr="0094339B">
        <w:rPr>
          <w:rStyle w:val="FootnoteReference"/>
          <w:rFonts w:ascii="Franklin Gothic Book" w:hAnsi="Franklin Gothic Book"/>
          <w:sz w:val="18"/>
          <w:szCs w:val="18"/>
        </w:rPr>
        <w:footnoteRef/>
      </w:r>
      <w:r w:rsidRPr="0094339B">
        <w:rPr>
          <w:rStyle w:val="FootnoteReference"/>
          <w:rFonts w:ascii="Franklin Gothic Book" w:hAnsi="Franklin Gothic Book"/>
          <w:sz w:val="18"/>
          <w:szCs w:val="18"/>
        </w:rPr>
        <w:t xml:space="preserve"> Laos became a full member the WTO on 2 February 2013.</w:t>
      </w:r>
    </w:p>
  </w:footnote>
  <w:footnote w:id="11">
    <w:p w:rsidR="001466EE" w:rsidRPr="0094339B" w:rsidRDefault="001466EE" w:rsidP="0094339B">
      <w:pPr>
        <w:pStyle w:val="FootnoteText"/>
        <w:spacing w:line="240" w:lineRule="auto"/>
        <w:contextualSpacing w:val="0"/>
        <w:rPr>
          <w:position w:val="6"/>
          <w:sz w:val="18"/>
          <w:szCs w:val="18"/>
        </w:rPr>
      </w:pPr>
      <w:r w:rsidRPr="0094339B">
        <w:rPr>
          <w:rStyle w:val="FootnoteReference"/>
          <w:rFonts w:ascii="Franklin Gothic Book" w:hAnsi="Franklin Gothic Book"/>
          <w:sz w:val="18"/>
          <w:szCs w:val="18"/>
        </w:rPr>
        <w:footnoteRef/>
      </w:r>
      <w:r w:rsidRPr="0094339B">
        <w:rPr>
          <w:sz w:val="18"/>
          <w:szCs w:val="18"/>
        </w:rPr>
        <w:t xml:space="preserve"> ADB Social Protection Index (SPI), 2012 report.</w:t>
      </w:r>
    </w:p>
  </w:footnote>
  <w:footnote w:id="12">
    <w:p w:rsidR="001466EE" w:rsidRPr="0094339B" w:rsidRDefault="001466EE" w:rsidP="0094339B">
      <w:pPr>
        <w:pStyle w:val="FootnoteText"/>
        <w:spacing w:line="240" w:lineRule="auto"/>
        <w:contextualSpacing w:val="0"/>
        <w:rPr>
          <w:sz w:val="18"/>
          <w:szCs w:val="18"/>
        </w:rPr>
      </w:pPr>
      <w:r w:rsidRPr="0094339B">
        <w:rPr>
          <w:rStyle w:val="FootnoteReference"/>
          <w:rFonts w:ascii="Franklin Gothic Book" w:hAnsi="Franklin Gothic Book"/>
          <w:sz w:val="18"/>
          <w:szCs w:val="18"/>
        </w:rPr>
        <w:footnoteRef/>
      </w:r>
      <w:r w:rsidRPr="0094339B">
        <w:rPr>
          <w:sz w:val="18"/>
          <w:szCs w:val="18"/>
        </w:rPr>
        <w:t xml:space="preserve"> Deutsche Gesellschaft für Internationale Zusammenarbeit (GIZ) - The German Federal Enterprise for International Cooperation</w:t>
      </w:r>
    </w:p>
  </w:footnote>
  <w:footnote w:id="13">
    <w:p w:rsidR="001466EE" w:rsidRPr="0094339B" w:rsidRDefault="001466EE" w:rsidP="0094339B">
      <w:pPr>
        <w:pStyle w:val="CommentText"/>
        <w:spacing w:after="0" w:line="240" w:lineRule="auto"/>
      </w:pPr>
      <w:r w:rsidRPr="0094339B">
        <w:rPr>
          <w:rStyle w:val="FootnoteReference"/>
          <w:rFonts w:ascii="Franklin Gothic Book" w:hAnsi="Franklin Gothic Book"/>
          <w:sz w:val="18"/>
          <w:szCs w:val="18"/>
        </w:rPr>
        <w:footnoteRef/>
      </w:r>
      <w:r w:rsidRPr="0094339B">
        <w:t xml:space="preserve"> Including Ministry of Labour and Social Welfare along with the Ministry of Planning and Investment, Ministry of Finance attended the course.</w:t>
      </w:r>
    </w:p>
    <w:p w:rsidR="001466EE" w:rsidRPr="0094339B" w:rsidRDefault="001466EE" w:rsidP="0094339B">
      <w:pPr>
        <w:pStyle w:val="FootnoteText"/>
        <w:spacing w:line="240" w:lineRule="auto"/>
        <w:contextualSpacing w:val="0"/>
        <w:rPr>
          <w:sz w:val="18"/>
          <w:szCs w:val="18"/>
        </w:rPr>
      </w:pPr>
    </w:p>
  </w:footnote>
  <w:footnote w:id="14">
    <w:p w:rsidR="001466EE" w:rsidRPr="0094339B" w:rsidRDefault="001466EE" w:rsidP="0094339B">
      <w:pPr>
        <w:pStyle w:val="FootnoteText"/>
        <w:spacing w:line="240" w:lineRule="auto"/>
        <w:contextualSpacing w:val="0"/>
        <w:rPr>
          <w:rStyle w:val="FootnoteReference"/>
          <w:rFonts w:ascii="Franklin Gothic Book" w:hAnsi="Franklin Gothic Book"/>
          <w:sz w:val="18"/>
          <w:szCs w:val="18"/>
        </w:rPr>
      </w:pPr>
      <w:r w:rsidRPr="0094339B">
        <w:rPr>
          <w:rStyle w:val="FootnoteReference"/>
          <w:rFonts w:ascii="Franklin Gothic Book" w:hAnsi="Franklin Gothic Book"/>
          <w:sz w:val="18"/>
          <w:szCs w:val="18"/>
        </w:rPr>
        <w:footnoteRef/>
      </w:r>
      <w:r w:rsidRPr="0094339B">
        <w:rPr>
          <w:rStyle w:val="FootnoteReference"/>
          <w:rFonts w:ascii="Franklin Gothic Book" w:hAnsi="Franklin Gothic Book"/>
          <w:sz w:val="18"/>
          <w:szCs w:val="18"/>
        </w:rPr>
        <w:t xml:space="preserve"> Under PRF, 77,441 people benefitted from WASH facilities while 4,425 people benefitted from the LANGOCA-built WASH structures.</w:t>
      </w:r>
    </w:p>
  </w:footnote>
  <w:footnote w:id="15">
    <w:p w:rsidR="001466EE" w:rsidRPr="0094339B" w:rsidRDefault="001466EE" w:rsidP="0094339B">
      <w:pPr>
        <w:pStyle w:val="FootnoteText"/>
        <w:spacing w:line="240" w:lineRule="auto"/>
        <w:contextualSpacing w:val="0"/>
        <w:rPr>
          <w:sz w:val="18"/>
          <w:szCs w:val="18"/>
        </w:rPr>
      </w:pPr>
      <w:r w:rsidRPr="0094339B">
        <w:rPr>
          <w:rStyle w:val="FootnoteReference"/>
          <w:rFonts w:ascii="Franklin Gothic Book" w:hAnsi="Franklin Gothic Book"/>
          <w:sz w:val="18"/>
          <w:szCs w:val="18"/>
        </w:rPr>
        <w:footnoteRef/>
      </w:r>
      <w:r w:rsidRPr="0094339B">
        <w:rPr>
          <w:sz w:val="18"/>
          <w:szCs w:val="18"/>
        </w:rPr>
        <w:t xml:space="preserve"> There are a total of 140 LANS scholars studying at the NUOL to date.</w:t>
      </w:r>
    </w:p>
  </w:footnote>
  <w:footnote w:id="16">
    <w:p w:rsidR="001466EE" w:rsidRDefault="001466EE" w:rsidP="00DD7A18">
      <w:pPr>
        <w:pStyle w:val="FootnoteText"/>
        <w:spacing w:line="240" w:lineRule="auto"/>
      </w:pPr>
      <w:r>
        <w:rPr>
          <w:rStyle w:val="FootnoteReference"/>
        </w:rPr>
        <w:footnoteRef/>
      </w:r>
      <w:r>
        <w:t>2014-15 is the final year of the Australia-Laos Development Cooperation Strategy 2—9-15, and therefore the benchmarks provided in this table are articulated against current country strategy objectives.  As there are several major investments that will continue implementation during the first few years of the Aid Investment Plan, there will be continuity between the benchmarks in this report and the benchmarks set in the Aid Investment Plan.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8E" w:rsidRDefault="009E66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8E" w:rsidRDefault="009E66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8E" w:rsidRDefault="009E668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6EE" w:rsidRPr="00681FB5" w:rsidRDefault="001466EE" w:rsidP="00681FB5">
    <w:pPr>
      <w:shd w:val="clear" w:color="auto" w:fill="FFFFFF" w:themeFill="background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6EE" w:rsidRDefault="001466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07C562B"/>
    <w:multiLevelType w:val="hybridMultilevel"/>
    <w:tmpl w:val="0F5A3168"/>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720"/>
        </w:tabs>
        <w:ind w:left="720" w:hanging="360"/>
      </w:pPr>
      <w:rPr>
        <w:rFonts w:ascii="Symbol" w:hAnsi="Symbol" w:hint="default"/>
      </w:rPr>
    </w:lvl>
    <w:lvl w:ilvl="2" w:tplc="0C09001B" w:tentative="1">
      <w:start w:val="1"/>
      <w:numFmt w:val="bullet"/>
      <w:lvlText w:val=""/>
      <w:lvlJc w:val="left"/>
      <w:pPr>
        <w:tabs>
          <w:tab w:val="num" w:pos="1440"/>
        </w:tabs>
        <w:ind w:left="1440" w:hanging="360"/>
      </w:pPr>
      <w:rPr>
        <w:rFonts w:ascii="Wingdings" w:hAnsi="Wingdings" w:hint="default"/>
      </w:rPr>
    </w:lvl>
    <w:lvl w:ilvl="3" w:tplc="0C09000F" w:tentative="1">
      <w:start w:val="1"/>
      <w:numFmt w:val="bullet"/>
      <w:lvlText w:val=""/>
      <w:lvlJc w:val="left"/>
      <w:pPr>
        <w:tabs>
          <w:tab w:val="num" w:pos="2160"/>
        </w:tabs>
        <w:ind w:left="2160" w:hanging="360"/>
      </w:pPr>
      <w:rPr>
        <w:rFonts w:ascii="Symbol" w:hAnsi="Symbol" w:hint="default"/>
      </w:rPr>
    </w:lvl>
    <w:lvl w:ilvl="4" w:tplc="0C090019" w:tentative="1">
      <w:start w:val="1"/>
      <w:numFmt w:val="bullet"/>
      <w:lvlText w:val="o"/>
      <w:lvlJc w:val="left"/>
      <w:pPr>
        <w:tabs>
          <w:tab w:val="num" w:pos="2880"/>
        </w:tabs>
        <w:ind w:left="2880" w:hanging="360"/>
      </w:pPr>
      <w:rPr>
        <w:rFonts w:ascii="Courier New" w:hAnsi="Courier New" w:hint="default"/>
      </w:rPr>
    </w:lvl>
    <w:lvl w:ilvl="5" w:tplc="0C09001B" w:tentative="1">
      <w:start w:val="1"/>
      <w:numFmt w:val="bullet"/>
      <w:lvlText w:val=""/>
      <w:lvlJc w:val="left"/>
      <w:pPr>
        <w:tabs>
          <w:tab w:val="num" w:pos="3600"/>
        </w:tabs>
        <w:ind w:left="3600" w:hanging="360"/>
      </w:pPr>
      <w:rPr>
        <w:rFonts w:ascii="Wingdings" w:hAnsi="Wingdings" w:hint="default"/>
      </w:rPr>
    </w:lvl>
    <w:lvl w:ilvl="6" w:tplc="0C09000F" w:tentative="1">
      <w:start w:val="1"/>
      <w:numFmt w:val="bullet"/>
      <w:lvlText w:val=""/>
      <w:lvlJc w:val="left"/>
      <w:pPr>
        <w:tabs>
          <w:tab w:val="num" w:pos="4320"/>
        </w:tabs>
        <w:ind w:left="4320" w:hanging="360"/>
      </w:pPr>
      <w:rPr>
        <w:rFonts w:ascii="Symbol" w:hAnsi="Symbol" w:hint="default"/>
      </w:rPr>
    </w:lvl>
    <w:lvl w:ilvl="7" w:tplc="0C090019" w:tentative="1">
      <w:start w:val="1"/>
      <w:numFmt w:val="bullet"/>
      <w:lvlText w:val="o"/>
      <w:lvlJc w:val="left"/>
      <w:pPr>
        <w:tabs>
          <w:tab w:val="num" w:pos="5040"/>
        </w:tabs>
        <w:ind w:left="5040" w:hanging="360"/>
      </w:pPr>
      <w:rPr>
        <w:rFonts w:ascii="Courier New" w:hAnsi="Courier New" w:hint="default"/>
      </w:rPr>
    </w:lvl>
    <w:lvl w:ilvl="8" w:tplc="0C09001B" w:tentative="1">
      <w:start w:val="1"/>
      <w:numFmt w:val="bullet"/>
      <w:lvlText w:val=""/>
      <w:lvlJc w:val="left"/>
      <w:pPr>
        <w:tabs>
          <w:tab w:val="num" w:pos="5760"/>
        </w:tabs>
        <w:ind w:left="5760" w:hanging="360"/>
      </w:pPr>
      <w:rPr>
        <w:rFonts w:ascii="Wingdings" w:hAnsi="Wingdings" w:hint="default"/>
      </w:rPr>
    </w:lvl>
  </w:abstractNum>
  <w:abstractNum w:abstractNumId="3">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F107BE4"/>
    <w:multiLevelType w:val="hybridMultilevel"/>
    <w:tmpl w:val="634CEABC"/>
    <w:lvl w:ilvl="0" w:tplc="408811F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641288"/>
    <w:multiLevelType w:val="hybridMultilevel"/>
    <w:tmpl w:val="6080665C"/>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D5173DF"/>
    <w:multiLevelType w:val="multilevel"/>
    <w:tmpl w:val="0576CA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E670783"/>
    <w:multiLevelType w:val="hybridMultilevel"/>
    <w:tmpl w:val="A2A2C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11">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2">
    <w:nsid w:val="222239E6"/>
    <w:multiLevelType w:val="hybridMultilevel"/>
    <w:tmpl w:val="C47204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22B00D5"/>
    <w:multiLevelType w:val="hybridMultilevel"/>
    <w:tmpl w:val="517C77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nsid w:val="26DF62B4"/>
    <w:multiLevelType w:val="hybridMultilevel"/>
    <w:tmpl w:val="226E50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7">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8">
    <w:nsid w:val="29293CAF"/>
    <w:multiLevelType w:val="multilevel"/>
    <w:tmpl w:val="838611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9">
    <w:nsid w:val="2FBD11B4"/>
    <w:multiLevelType w:val="multilevel"/>
    <w:tmpl w:val="06646E74"/>
    <w:lvl w:ilvl="0">
      <w:start w:val="1"/>
      <w:numFmt w:val="decimal"/>
      <w:pStyle w:val="List-number-1"/>
      <w:lvlText w:val="%1."/>
      <w:lvlJc w:val="left"/>
      <w:pPr>
        <w:tabs>
          <w:tab w:val="num" w:pos="360"/>
        </w:tabs>
        <w:ind w:left="360" w:hanging="360"/>
      </w:pPr>
      <w:rPr>
        <w:rFonts w:hint="default"/>
        <w:i w:val="0"/>
        <w:sz w:val="22"/>
        <w:szCs w:val="22"/>
      </w:rPr>
    </w:lvl>
    <w:lvl w:ilvl="1">
      <w:start w:val="1"/>
      <w:numFmt w:val="lowerLetter"/>
      <w:pStyle w:val="List-number-2"/>
      <w:lvlText w:val="(%2)"/>
      <w:lvlJc w:val="left"/>
      <w:pPr>
        <w:tabs>
          <w:tab w:val="num" w:pos="436"/>
        </w:tabs>
        <w:ind w:left="436" w:hanging="360"/>
      </w:pPr>
      <w:rPr>
        <w:rFonts w:hint="default"/>
      </w:rPr>
    </w:lvl>
    <w:lvl w:ilvl="2">
      <w:start w:val="1"/>
      <w:numFmt w:val="lowerRoman"/>
      <w:lvlText w:val="%3)"/>
      <w:lvlJc w:val="left"/>
      <w:pPr>
        <w:tabs>
          <w:tab w:val="num" w:pos="796"/>
        </w:tabs>
        <w:ind w:left="796" w:hanging="360"/>
      </w:pPr>
      <w:rPr>
        <w:rFonts w:hint="default"/>
      </w:rPr>
    </w:lvl>
    <w:lvl w:ilvl="3">
      <w:start w:val="1"/>
      <w:numFmt w:val="decimal"/>
      <w:lvlText w:val="(%4)"/>
      <w:lvlJc w:val="left"/>
      <w:pPr>
        <w:tabs>
          <w:tab w:val="num" w:pos="1156"/>
        </w:tabs>
        <w:ind w:left="1156" w:hanging="360"/>
      </w:pPr>
      <w:rPr>
        <w:rFonts w:hint="default"/>
      </w:rPr>
    </w:lvl>
    <w:lvl w:ilvl="4">
      <w:start w:val="1"/>
      <w:numFmt w:val="lowerLetter"/>
      <w:lvlText w:val="(%5)"/>
      <w:lvlJc w:val="left"/>
      <w:pPr>
        <w:tabs>
          <w:tab w:val="num" w:pos="1516"/>
        </w:tabs>
        <w:ind w:left="1516" w:hanging="360"/>
      </w:pPr>
      <w:rPr>
        <w:rFonts w:hint="default"/>
      </w:rPr>
    </w:lvl>
    <w:lvl w:ilvl="5">
      <w:start w:val="1"/>
      <w:numFmt w:val="lowerRoman"/>
      <w:lvlText w:val="(%6)"/>
      <w:lvlJc w:val="left"/>
      <w:pPr>
        <w:tabs>
          <w:tab w:val="num" w:pos="1876"/>
        </w:tabs>
        <w:ind w:left="1876" w:hanging="360"/>
      </w:pPr>
      <w:rPr>
        <w:rFonts w:hint="default"/>
      </w:rPr>
    </w:lvl>
    <w:lvl w:ilvl="6">
      <w:start w:val="1"/>
      <w:numFmt w:val="decimal"/>
      <w:lvlText w:val="%7."/>
      <w:lvlJc w:val="left"/>
      <w:pPr>
        <w:tabs>
          <w:tab w:val="num" w:pos="2236"/>
        </w:tabs>
        <w:ind w:left="2236" w:hanging="360"/>
      </w:pPr>
      <w:rPr>
        <w:rFonts w:hint="default"/>
      </w:rPr>
    </w:lvl>
    <w:lvl w:ilvl="7">
      <w:start w:val="1"/>
      <w:numFmt w:val="lowerLetter"/>
      <w:lvlText w:val="%8."/>
      <w:lvlJc w:val="left"/>
      <w:pPr>
        <w:tabs>
          <w:tab w:val="num" w:pos="2596"/>
        </w:tabs>
        <w:ind w:left="2596" w:hanging="360"/>
      </w:pPr>
      <w:rPr>
        <w:rFonts w:hint="default"/>
      </w:rPr>
    </w:lvl>
    <w:lvl w:ilvl="8">
      <w:start w:val="1"/>
      <w:numFmt w:val="lowerRoman"/>
      <w:lvlText w:val="%9."/>
      <w:lvlJc w:val="left"/>
      <w:pPr>
        <w:tabs>
          <w:tab w:val="num" w:pos="2956"/>
        </w:tabs>
        <w:ind w:left="2956" w:hanging="360"/>
      </w:pPr>
      <w:rPr>
        <w:rFonts w:hint="default"/>
      </w:rPr>
    </w:lvl>
  </w:abstractNum>
  <w:abstractNum w:abstractNumId="20">
    <w:nsid w:val="35C74FD2"/>
    <w:multiLevelType w:val="multilevel"/>
    <w:tmpl w:val="E6781AD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1">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E906441"/>
    <w:multiLevelType w:val="hybridMultilevel"/>
    <w:tmpl w:val="C4EE93B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3">
    <w:nsid w:val="464E5485"/>
    <w:multiLevelType w:val="hybridMultilevel"/>
    <w:tmpl w:val="608A0000"/>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4">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4754C2B"/>
    <w:multiLevelType w:val="multilevel"/>
    <w:tmpl w:val="92F2DA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5CB5596F"/>
    <w:multiLevelType w:val="multilevel"/>
    <w:tmpl w:val="8E86528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9">
    <w:nsid w:val="5CDD4402"/>
    <w:multiLevelType w:val="hybridMultilevel"/>
    <w:tmpl w:val="B092441C"/>
    <w:lvl w:ilvl="0" w:tplc="1D7CA7AA">
      <w:numFmt w:val="bullet"/>
      <w:lvlText w:val="-"/>
      <w:lvlJc w:val="left"/>
      <w:pPr>
        <w:ind w:left="720" w:hanging="360"/>
      </w:pPr>
      <w:rPr>
        <w:rFonts w:ascii="Calibri" w:eastAsia="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nsid w:val="61A94F75"/>
    <w:multiLevelType w:val="hybridMultilevel"/>
    <w:tmpl w:val="F80458DA"/>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1">
    <w:nsid w:val="624C4658"/>
    <w:multiLevelType w:val="hybridMultilevel"/>
    <w:tmpl w:val="CEAE6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2D0833"/>
    <w:multiLevelType w:val="multilevel"/>
    <w:tmpl w:val="55A87D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4">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5B94189"/>
    <w:multiLevelType w:val="multilevel"/>
    <w:tmpl w:val="BD6E9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6">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6D35604F"/>
    <w:multiLevelType w:val="multilevel"/>
    <w:tmpl w:val="E9FE4A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3D92653"/>
    <w:multiLevelType w:val="multilevel"/>
    <w:tmpl w:val="F0520C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65A26B0"/>
    <w:multiLevelType w:val="multilevel"/>
    <w:tmpl w:val="EC88CC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0">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AED303C"/>
    <w:multiLevelType w:val="hybridMultilevel"/>
    <w:tmpl w:val="6B064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C4D6958"/>
    <w:multiLevelType w:val="hybridMultilevel"/>
    <w:tmpl w:val="6A060682"/>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3">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7"/>
  </w:num>
  <w:num w:numId="3">
    <w:abstractNumId w:val="7"/>
  </w:num>
  <w:num w:numId="4">
    <w:abstractNumId w:val="25"/>
  </w:num>
  <w:num w:numId="5">
    <w:abstractNumId w:val="24"/>
  </w:num>
  <w:num w:numId="6">
    <w:abstractNumId w:val="21"/>
  </w:num>
  <w:num w:numId="7">
    <w:abstractNumId w:val="36"/>
  </w:num>
  <w:num w:numId="8">
    <w:abstractNumId w:val="5"/>
  </w:num>
  <w:num w:numId="9">
    <w:abstractNumId w:val="11"/>
  </w:num>
  <w:num w:numId="10">
    <w:abstractNumId w:val="40"/>
  </w:num>
  <w:num w:numId="11">
    <w:abstractNumId w:val="43"/>
  </w:num>
  <w:num w:numId="12">
    <w:abstractNumId w:val="0"/>
  </w:num>
  <w:num w:numId="13">
    <w:abstractNumId w:val="3"/>
  </w:num>
  <w:num w:numId="14">
    <w:abstractNumId w:val="34"/>
  </w:num>
  <w:num w:numId="15">
    <w:abstractNumId w:val="1"/>
  </w:num>
  <w:num w:numId="16">
    <w:abstractNumId w:val="17"/>
  </w:num>
  <w:num w:numId="17">
    <w:abstractNumId w:val="14"/>
  </w:num>
  <w:num w:numId="18">
    <w:abstractNumId w:val="10"/>
  </w:num>
  <w:num w:numId="19">
    <w:abstractNumId w:val="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43"/>
  </w:num>
  <w:num w:numId="23">
    <w:abstractNumId w:val="4"/>
  </w:num>
  <w:num w:numId="24">
    <w:abstractNumId w:val="43"/>
  </w:num>
  <w:num w:numId="25">
    <w:abstractNumId w:val="19"/>
  </w:num>
  <w:num w:numId="26">
    <w:abstractNumId w:val="13"/>
  </w:num>
  <w:num w:numId="27">
    <w:abstractNumId w:val="12"/>
  </w:num>
  <w:num w:numId="28">
    <w:abstractNumId w:val="42"/>
  </w:num>
  <w:num w:numId="29">
    <w:abstractNumId w:val="23"/>
  </w:num>
  <w:num w:numId="30">
    <w:abstractNumId w:val="6"/>
  </w:num>
  <w:num w:numId="31">
    <w:abstractNumId w:val="30"/>
  </w:num>
  <w:num w:numId="32">
    <w:abstractNumId w:val="41"/>
  </w:num>
  <w:num w:numId="33">
    <w:abstractNumId w:val="31"/>
  </w:num>
  <w:num w:numId="34">
    <w:abstractNumId w:val="26"/>
  </w:num>
  <w:num w:numId="35">
    <w:abstractNumId w:val="8"/>
  </w:num>
  <w:num w:numId="36">
    <w:abstractNumId w:val="37"/>
  </w:num>
  <w:num w:numId="37">
    <w:abstractNumId w:val="38"/>
  </w:num>
  <w:num w:numId="38">
    <w:abstractNumId w:val="32"/>
  </w:num>
  <w:num w:numId="39">
    <w:abstractNumId w:val="15"/>
  </w:num>
  <w:num w:numId="40">
    <w:abstractNumId w:val="39"/>
  </w:num>
  <w:num w:numId="41">
    <w:abstractNumId w:val="35"/>
  </w:num>
  <w:num w:numId="42">
    <w:abstractNumId w:val="28"/>
  </w:num>
  <w:num w:numId="43">
    <w:abstractNumId w:val="9"/>
  </w:num>
  <w:num w:numId="44">
    <w:abstractNumId w:val="20"/>
  </w:num>
  <w:num w:numId="45">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2048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4FF"/>
    <w:rsid w:val="00002161"/>
    <w:rsid w:val="0000242A"/>
    <w:rsid w:val="00002A92"/>
    <w:rsid w:val="00002D5F"/>
    <w:rsid w:val="00002E28"/>
    <w:rsid w:val="00003959"/>
    <w:rsid w:val="000039CF"/>
    <w:rsid w:val="00004480"/>
    <w:rsid w:val="00004E18"/>
    <w:rsid w:val="00007E94"/>
    <w:rsid w:val="000112E6"/>
    <w:rsid w:val="00012F0F"/>
    <w:rsid w:val="00013E77"/>
    <w:rsid w:val="000142A2"/>
    <w:rsid w:val="000143D9"/>
    <w:rsid w:val="000147F7"/>
    <w:rsid w:val="00016BC1"/>
    <w:rsid w:val="00020121"/>
    <w:rsid w:val="00020600"/>
    <w:rsid w:val="00021A9E"/>
    <w:rsid w:val="00022FD1"/>
    <w:rsid w:val="00027629"/>
    <w:rsid w:val="00027F0F"/>
    <w:rsid w:val="00030111"/>
    <w:rsid w:val="00031100"/>
    <w:rsid w:val="00031EB5"/>
    <w:rsid w:val="0003231A"/>
    <w:rsid w:val="00037E68"/>
    <w:rsid w:val="00040AF6"/>
    <w:rsid w:val="00041CD7"/>
    <w:rsid w:val="000426DF"/>
    <w:rsid w:val="00047EC2"/>
    <w:rsid w:val="000529AD"/>
    <w:rsid w:val="00053B11"/>
    <w:rsid w:val="0005506B"/>
    <w:rsid w:val="000550B0"/>
    <w:rsid w:val="00055E78"/>
    <w:rsid w:val="00056FB0"/>
    <w:rsid w:val="00057589"/>
    <w:rsid w:val="00057D09"/>
    <w:rsid w:val="00061847"/>
    <w:rsid w:val="00063D31"/>
    <w:rsid w:val="000645E9"/>
    <w:rsid w:val="00064BDC"/>
    <w:rsid w:val="000656AF"/>
    <w:rsid w:val="00070282"/>
    <w:rsid w:val="000704B6"/>
    <w:rsid w:val="00070A62"/>
    <w:rsid w:val="00071265"/>
    <w:rsid w:val="00071B95"/>
    <w:rsid w:val="00072D81"/>
    <w:rsid w:val="0007395B"/>
    <w:rsid w:val="000745E2"/>
    <w:rsid w:val="00076A63"/>
    <w:rsid w:val="0007703B"/>
    <w:rsid w:val="000774FD"/>
    <w:rsid w:val="00081BBB"/>
    <w:rsid w:val="00081F4E"/>
    <w:rsid w:val="000905A8"/>
    <w:rsid w:val="00090F04"/>
    <w:rsid w:val="0009137E"/>
    <w:rsid w:val="00091878"/>
    <w:rsid w:val="000957FC"/>
    <w:rsid w:val="000979A0"/>
    <w:rsid w:val="00097B02"/>
    <w:rsid w:val="000A0224"/>
    <w:rsid w:val="000A1618"/>
    <w:rsid w:val="000A1F86"/>
    <w:rsid w:val="000B3121"/>
    <w:rsid w:val="000B68F6"/>
    <w:rsid w:val="000B6BE5"/>
    <w:rsid w:val="000B6FEA"/>
    <w:rsid w:val="000B75E8"/>
    <w:rsid w:val="000C12CB"/>
    <w:rsid w:val="000C258A"/>
    <w:rsid w:val="000C29BF"/>
    <w:rsid w:val="000C6080"/>
    <w:rsid w:val="000C60A8"/>
    <w:rsid w:val="000D0C05"/>
    <w:rsid w:val="000D151B"/>
    <w:rsid w:val="000D184A"/>
    <w:rsid w:val="000D1993"/>
    <w:rsid w:val="000D733F"/>
    <w:rsid w:val="000E1647"/>
    <w:rsid w:val="000E4573"/>
    <w:rsid w:val="000E4FFD"/>
    <w:rsid w:val="000E7297"/>
    <w:rsid w:val="000E7A8D"/>
    <w:rsid w:val="000F2D94"/>
    <w:rsid w:val="00100485"/>
    <w:rsid w:val="00100AA2"/>
    <w:rsid w:val="001021BF"/>
    <w:rsid w:val="0010254F"/>
    <w:rsid w:val="001057DA"/>
    <w:rsid w:val="00106185"/>
    <w:rsid w:val="00106BDC"/>
    <w:rsid w:val="0010729C"/>
    <w:rsid w:val="001113C8"/>
    <w:rsid w:val="001122D5"/>
    <w:rsid w:val="00112C2E"/>
    <w:rsid w:val="00112E97"/>
    <w:rsid w:val="0011312B"/>
    <w:rsid w:val="001139DE"/>
    <w:rsid w:val="00114751"/>
    <w:rsid w:val="00114E17"/>
    <w:rsid w:val="001154CA"/>
    <w:rsid w:val="001171DE"/>
    <w:rsid w:val="00117294"/>
    <w:rsid w:val="00120FC7"/>
    <w:rsid w:val="00122038"/>
    <w:rsid w:val="001227C3"/>
    <w:rsid w:val="0012429A"/>
    <w:rsid w:val="0012534E"/>
    <w:rsid w:val="001258C6"/>
    <w:rsid w:val="00125AC5"/>
    <w:rsid w:val="00127080"/>
    <w:rsid w:val="00127621"/>
    <w:rsid w:val="0012793C"/>
    <w:rsid w:val="00127E88"/>
    <w:rsid w:val="00131FF0"/>
    <w:rsid w:val="00132003"/>
    <w:rsid w:val="00133AAD"/>
    <w:rsid w:val="00135806"/>
    <w:rsid w:val="0013657C"/>
    <w:rsid w:val="001366B4"/>
    <w:rsid w:val="001375E3"/>
    <w:rsid w:val="00140C18"/>
    <w:rsid w:val="00141A30"/>
    <w:rsid w:val="00143053"/>
    <w:rsid w:val="0014411B"/>
    <w:rsid w:val="001448E7"/>
    <w:rsid w:val="00144F6F"/>
    <w:rsid w:val="001456C5"/>
    <w:rsid w:val="001466EE"/>
    <w:rsid w:val="00147846"/>
    <w:rsid w:val="0015043E"/>
    <w:rsid w:val="00152DFD"/>
    <w:rsid w:val="0015460F"/>
    <w:rsid w:val="0015487B"/>
    <w:rsid w:val="00154EF9"/>
    <w:rsid w:val="00156DB7"/>
    <w:rsid w:val="00157858"/>
    <w:rsid w:val="001612CE"/>
    <w:rsid w:val="001624FB"/>
    <w:rsid w:val="00162B3A"/>
    <w:rsid w:val="00163876"/>
    <w:rsid w:val="0016544D"/>
    <w:rsid w:val="001657F1"/>
    <w:rsid w:val="00167331"/>
    <w:rsid w:val="0016740F"/>
    <w:rsid w:val="00173C6E"/>
    <w:rsid w:val="00180B19"/>
    <w:rsid w:val="0018196F"/>
    <w:rsid w:val="001829BB"/>
    <w:rsid w:val="0018305E"/>
    <w:rsid w:val="0018353A"/>
    <w:rsid w:val="00192498"/>
    <w:rsid w:val="00193BFF"/>
    <w:rsid w:val="001943B6"/>
    <w:rsid w:val="00194806"/>
    <w:rsid w:val="001A3175"/>
    <w:rsid w:val="001A374B"/>
    <w:rsid w:val="001A591A"/>
    <w:rsid w:val="001A59FE"/>
    <w:rsid w:val="001A5ED5"/>
    <w:rsid w:val="001A6F20"/>
    <w:rsid w:val="001B16E6"/>
    <w:rsid w:val="001B1A0C"/>
    <w:rsid w:val="001B2948"/>
    <w:rsid w:val="001B30E5"/>
    <w:rsid w:val="001B41CD"/>
    <w:rsid w:val="001B554C"/>
    <w:rsid w:val="001B714C"/>
    <w:rsid w:val="001B7DF4"/>
    <w:rsid w:val="001B7FB0"/>
    <w:rsid w:val="001C1EA0"/>
    <w:rsid w:val="001C31B9"/>
    <w:rsid w:val="001C3BBB"/>
    <w:rsid w:val="001C4087"/>
    <w:rsid w:val="001C507E"/>
    <w:rsid w:val="001C5E5E"/>
    <w:rsid w:val="001C700E"/>
    <w:rsid w:val="001C7117"/>
    <w:rsid w:val="001C745A"/>
    <w:rsid w:val="001C7974"/>
    <w:rsid w:val="001C7DDD"/>
    <w:rsid w:val="001D13ED"/>
    <w:rsid w:val="001D20FC"/>
    <w:rsid w:val="001D210A"/>
    <w:rsid w:val="001D6059"/>
    <w:rsid w:val="001D73B4"/>
    <w:rsid w:val="001D76C4"/>
    <w:rsid w:val="001D7E98"/>
    <w:rsid w:val="001E30E3"/>
    <w:rsid w:val="001E34CA"/>
    <w:rsid w:val="001E4BDE"/>
    <w:rsid w:val="001E6635"/>
    <w:rsid w:val="001F12A2"/>
    <w:rsid w:val="001F1A88"/>
    <w:rsid w:val="001F2828"/>
    <w:rsid w:val="001F4E78"/>
    <w:rsid w:val="001F54A0"/>
    <w:rsid w:val="001F58FE"/>
    <w:rsid w:val="001F5CB1"/>
    <w:rsid w:val="001F61A8"/>
    <w:rsid w:val="001F7367"/>
    <w:rsid w:val="001F7480"/>
    <w:rsid w:val="00201174"/>
    <w:rsid w:val="00202880"/>
    <w:rsid w:val="00202E4E"/>
    <w:rsid w:val="00203BCC"/>
    <w:rsid w:val="002053F7"/>
    <w:rsid w:val="00205E0B"/>
    <w:rsid w:val="00205F2B"/>
    <w:rsid w:val="002115BD"/>
    <w:rsid w:val="002126BA"/>
    <w:rsid w:val="002128B8"/>
    <w:rsid w:val="00212B27"/>
    <w:rsid w:val="0021515C"/>
    <w:rsid w:val="00216179"/>
    <w:rsid w:val="00220101"/>
    <w:rsid w:val="0022085C"/>
    <w:rsid w:val="00220E0F"/>
    <w:rsid w:val="002227A9"/>
    <w:rsid w:val="00223535"/>
    <w:rsid w:val="00226DEE"/>
    <w:rsid w:val="00230523"/>
    <w:rsid w:val="00231D45"/>
    <w:rsid w:val="002335A9"/>
    <w:rsid w:val="002343CF"/>
    <w:rsid w:val="00235D29"/>
    <w:rsid w:val="002363D9"/>
    <w:rsid w:val="00236B8C"/>
    <w:rsid w:val="00237207"/>
    <w:rsid w:val="002376FE"/>
    <w:rsid w:val="00237C4B"/>
    <w:rsid w:val="00240D59"/>
    <w:rsid w:val="00241682"/>
    <w:rsid w:val="002441D5"/>
    <w:rsid w:val="00245C89"/>
    <w:rsid w:val="00246E5F"/>
    <w:rsid w:val="0025334D"/>
    <w:rsid w:val="00261E78"/>
    <w:rsid w:val="00263F5F"/>
    <w:rsid w:val="00267C4F"/>
    <w:rsid w:val="00270898"/>
    <w:rsid w:val="00272AF0"/>
    <w:rsid w:val="00273C6F"/>
    <w:rsid w:val="00275C42"/>
    <w:rsid w:val="002760E5"/>
    <w:rsid w:val="00277972"/>
    <w:rsid w:val="002849B4"/>
    <w:rsid w:val="002911A4"/>
    <w:rsid w:val="00291F1C"/>
    <w:rsid w:val="0029395F"/>
    <w:rsid w:val="00294995"/>
    <w:rsid w:val="00294C32"/>
    <w:rsid w:val="00297FA7"/>
    <w:rsid w:val="002A15F4"/>
    <w:rsid w:val="002A1935"/>
    <w:rsid w:val="002A1A79"/>
    <w:rsid w:val="002A21D1"/>
    <w:rsid w:val="002A22F7"/>
    <w:rsid w:val="002A40D5"/>
    <w:rsid w:val="002A4D70"/>
    <w:rsid w:val="002B1F66"/>
    <w:rsid w:val="002B31B3"/>
    <w:rsid w:val="002B433A"/>
    <w:rsid w:val="002B61A8"/>
    <w:rsid w:val="002B6EBE"/>
    <w:rsid w:val="002B79D4"/>
    <w:rsid w:val="002C1E00"/>
    <w:rsid w:val="002C4D97"/>
    <w:rsid w:val="002C639B"/>
    <w:rsid w:val="002D1328"/>
    <w:rsid w:val="002D5D7B"/>
    <w:rsid w:val="002D5E09"/>
    <w:rsid w:val="002D6914"/>
    <w:rsid w:val="002D6DF0"/>
    <w:rsid w:val="002D75F3"/>
    <w:rsid w:val="002D7FFA"/>
    <w:rsid w:val="002E55EA"/>
    <w:rsid w:val="002E5604"/>
    <w:rsid w:val="002F36E3"/>
    <w:rsid w:val="002F479A"/>
    <w:rsid w:val="002F54F3"/>
    <w:rsid w:val="002F5A14"/>
    <w:rsid w:val="002F6410"/>
    <w:rsid w:val="002F6D7A"/>
    <w:rsid w:val="00301906"/>
    <w:rsid w:val="0030282A"/>
    <w:rsid w:val="00303038"/>
    <w:rsid w:val="0030318A"/>
    <w:rsid w:val="00304762"/>
    <w:rsid w:val="00306734"/>
    <w:rsid w:val="00310426"/>
    <w:rsid w:val="00310974"/>
    <w:rsid w:val="00313DF8"/>
    <w:rsid w:val="00315135"/>
    <w:rsid w:val="00315D13"/>
    <w:rsid w:val="003167E5"/>
    <w:rsid w:val="00320CA6"/>
    <w:rsid w:val="00320FCE"/>
    <w:rsid w:val="003223F8"/>
    <w:rsid w:val="0032292A"/>
    <w:rsid w:val="00322D92"/>
    <w:rsid w:val="0032486D"/>
    <w:rsid w:val="003260C0"/>
    <w:rsid w:val="003266E1"/>
    <w:rsid w:val="00326B5A"/>
    <w:rsid w:val="003275D0"/>
    <w:rsid w:val="003279FD"/>
    <w:rsid w:val="003327F8"/>
    <w:rsid w:val="00335F19"/>
    <w:rsid w:val="003363C7"/>
    <w:rsid w:val="00341177"/>
    <w:rsid w:val="00341311"/>
    <w:rsid w:val="00341B6A"/>
    <w:rsid w:val="00342940"/>
    <w:rsid w:val="00342BF7"/>
    <w:rsid w:val="00343B25"/>
    <w:rsid w:val="00345B8E"/>
    <w:rsid w:val="003461F9"/>
    <w:rsid w:val="00351ACA"/>
    <w:rsid w:val="0035295C"/>
    <w:rsid w:val="00352AE5"/>
    <w:rsid w:val="00353584"/>
    <w:rsid w:val="00357648"/>
    <w:rsid w:val="00357AF7"/>
    <w:rsid w:val="00360662"/>
    <w:rsid w:val="00363E94"/>
    <w:rsid w:val="003644BF"/>
    <w:rsid w:val="0037100F"/>
    <w:rsid w:val="00371F53"/>
    <w:rsid w:val="00372213"/>
    <w:rsid w:val="00372E1B"/>
    <w:rsid w:val="003743C8"/>
    <w:rsid w:val="00376A0B"/>
    <w:rsid w:val="0038177F"/>
    <w:rsid w:val="003824EF"/>
    <w:rsid w:val="00383294"/>
    <w:rsid w:val="00383F3F"/>
    <w:rsid w:val="00384342"/>
    <w:rsid w:val="00385A4C"/>
    <w:rsid w:val="003928D2"/>
    <w:rsid w:val="00392981"/>
    <w:rsid w:val="00394A18"/>
    <w:rsid w:val="00395CFA"/>
    <w:rsid w:val="003978E4"/>
    <w:rsid w:val="003A27D2"/>
    <w:rsid w:val="003A2D7B"/>
    <w:rsid w:val="003A74BF"/>
    <w:rsid w:val="003B122C"/>
    <w:rsid w:val="003B2756"/>
    <w:rsid w:val="003C288C"/>
    <w:rsid w:val="003C31EE"/>
    <w:rsid w:val="003C35EC"/>
    <w:rsid w:val="003C7721"/>
    <w:rsid w:val="003D081D"/>
    <w:rsid w:val="003D2E2F"/>
    <w:rsid w:val="003D3216"/>
    <w:rsid w:val="003D44F4"/>
    <w:rsid w:val="003E0E66"/>
    <w:rsid w:val="003E1B54"/>
    <w:rsid w:val="003E2E60"/>
    <w:rsid w:val="003E4982"/>
    <w:rsid w:val="003E63B3"/>
    <w:rsid w:val="003E6AF5"/>
    <w:rsid w:val="003E6F35"/>
    <w:rsid w:val="003E7AA9"/>
    <w:rsid w:val="003F207E"/>
    <w:rsid w:val="003F3F53"/>
    <w:rsid w:val="003F618C"/>
    <w:rsid w:val="003F6E1A"/>
    <w:rsid w:val="003F7153"/>
    <w:rsid w:val="00402795"/>
    <w:rsid w:val="00403152"/>
    <w:rsid w:val="00403AAA"/>
    <w:rsid w:val="004046E6"/>
    <w:rsid w:val="00406000"/>
    <w:rsid w:val="00406756"/>
    <w:rsid w:val="00410AE5"/>
    <w:rsid w:val="00412707"/>
    <w:rsid w:val="00413001"/>
    <w:rsid w:val="00413539"/>
    <w:rsid w:val="0041396D"/>
    <w:rsid w:val="00415A92"/>
    <w:rsid w:val="0041635D"/>
    <w:rsid w:val="0041730D"/>
    <w:rsid w:val="00417F23"/>
    <w:rsid w:val="00420E02"/>
    <w:rsid w:val="004228CD"/>
    <w:rsid w:val="0042527A"/>
    <w:rsid w:val="00426354"/>
    <w:rsid w:val="00426C46"/>
    <w:rsid w:val="004309E9"/>
    <w:rsid w:val="00430E81"/>
    <w:rsid w:val="00437C95"/>
    <w:rsid w:val="00441E77"/>
    <w:rsid w:val="00442126"/>
    <w:rsid w:val="00443639"/>
    <w:rsid w:val="004450BD"/>
    <w:rsid w:val="004453CE"/>
    <w:rsid w:val="00445A3B"/>
    <w:rsid w:val="00445C4E"/>
    <w:rsid w:val="00446742"/>
    <w:rsid w:val="0044679E"/>
    <w:rsid w:val="004469EC"/>
    <w:rsid w:val="00452654"/>
    <w:rsid w:val="00452894"/>
    <w:rsid w:val="0045475F"/>
    <w:rsid w:val="00462000"/>
    <w:rsid w:val="00463F96"/>
    <w:rsid w:val="00466C98"/>
    <w:rsid w:val="00467AE6"/>
    <w:rsid w:val="00467C3F"/>
    <w:rsid w:val="00467CE4"/>
    <w:rsid w:val="0047710F"/>
    <w:rsid w:val="004807D1"/>
    <w:rsid w:val="00481777"/>
    <w:rsid w:val="00485136"/>
    <w:rsid w:val="00490BDE"/>
    <w:rsid w:val="00494504"/>
    <w:rsid w:val="004957EC"/>
    <w:rsid w:val="00496F8D"/>
    <w:rsid w:val="004970AA"/>
    <w:rsid w:val="004A02EF"/>
    <w:rsid w:val="004A4B03"/>
    <w:rsid w:val="004A568F"/>
    <w:rsid w:val="004A7163"/>
    <w:rsid w:val="004A7400"/>
    <w:rsid w:val="004B201A"/>
    <w:rsid w:val="004B41B9"/>
    <w:rsid w:val="004B64F3"/>
    <w:rsid w:val="004C3307"/>
    <w:rsid w:val="004C36CF"/>
    <w:rsid w:val="004C4A3E"/>
    <w:rsid w:val="004C4E94"/>
    <w:rsid w:val="004C59EA"/>
    <w:rsid w:val="004C6494"/>
    <w:rsid w:val="004C65C6"/>
    <w:rsid w:val="004C660D"/>
    <w:rsid w:val="004C7E92"/>
    <w:rsid w:val="004D0699"/>
    <w:rsid w:val="004D092B"/>
    <w:rsid w:val="004D1529"/>
    <w:rsid w:val="004D16DB"/>
    <w:rsid w:val="004D19CE"/>
    <w:rsid w:val="004D23F6"/>
    <w:rsid w:val="004D2ED0"/>
    <w:rsid w:val="004D4522"/>
    <w:rsid w:val="004E01E9"/>
    <w:rsid w:val="004E0969"/>
    <w:rsid w:val="004E1E04"/>
    <w:rsid w:val="004E26D7"/>
    <w:rsid w:val="004E3E40"/>
    <w:rsid w:val="004E50AE"/>
    <w:rsid w:val="004E570D"/>
    <w:rsid w:val="004E6400"/>
    <w:rsid w:val="004E642E"/>
    <w:rsid w:val="004E655F"/>
    <w:rsid w:val="004E6924"/>
    <w:rsid w:val="004E6A61"/>
    <w:rsid w:val="004E6E33"/>
    <w:rsid w:val="004E702A"/>
    <w:rsid w:val="004F0C2D"/>
    <w:rsid w:val="004F162E"/>
    <w:rsid w:val="004F3D7E"/>
    <w:rsid w:val="004F4630"/>
    <w:rsid w:val="004F521E"/>
    <w:rsid w:val="004F6FEE"/>
    <w:rsid w:val="00500EB4"/>
    <w:rsid w:val="00501CD2"/>
    <w:rsid w:val="00503974"/>
    <w:rsid w:val="0050439B"/>
    <w:rsid w:val="0050529F"/>
    <w:rsid w:val="00506A51"/>
    <w:rsid w:val="005110C3"/>
    <w:rsid w:val="00514B5E"/>
    <w:rsid w:val="005157C1"/>
    <w:rsid w:val="00515954"/>
    <w:rsid w:val="00515E3D"/>
    <w:rsid w:val="00517562"/>
    <w:rsid w:val="005208AC"/>
    <w:rsid w:val="00522591"/>
    <w:rsid w:val="0052286C"/>
    <w:rsid w:val="00522AB9"/>
    <w:rsid w:val="005265B9"/>
    <w:rsid w:val="005278BA"/>
    <w:rsid w:val="0053035A"/>
    <w:rsid w:val="005307E8"/>
    <w:rsid w:val="0053175E"/>
    <w:rsid w:val="00532646"/>
    <w:rsid w:val="00533533"/>
    <w:rsid w:val="00534CCB"/>
    <w:rsid w:val="00535C99"/>
    <w:rsid w:val="00535E24"/>
    <w:rsid w:val="00537E02"/>
    <w:rsid w:val="00542718"/>
    <w:rsid w:val="00542EFE"/>
    <w:rsid w:val="00543224"/>
    <w:rsid w:val="005440F6"/>
    <w:rsid w:val="00544CCD"/>
    <w:rsid w:val="0054557A"/>
    <w:rsid w:val="005463F4"/>
    <w:rsid w:val="00546DD6"/>
    <w:rsid w:val="0055172C"/>
    <w:rsid w:val="00551C5B"/>
    <w:rsid w:val="00554181"/>
    <w:rsid w:val="0055771D"/>
    <w:rsid w:val="00565055"/>
    <w:rsid w:val="00565635"/>
    <w:rsid w:val="0056594A"/>
    <w:rsid w:val="0056756A"/>
    <w:rsid w:val="00567FCF"/>
    <w:rsid w:val="00570765"/>
    <w:rsid w:val="00571A96"/>
    <w:rsid w:val="005732BD"/>
    <w:rsid w:val="00573B47"/>
    <w:rsid w:val="00573DBE"/>
    <w:rsid w:val="00573E59"/>
    <w:rsid w:val="00575295"/>
    <w:rsid w:val="00580F6D"/>
    <w:rsid w:val="00581C01"/>
    <w:rsid w:val="0058242D"/>
    <w:rsid w:val="005845CB"/>
    <w:rsid w:val="0058498A"/>
    <w:rsid w:val="00586350"/>
    <w:rsid w:val="00587580"/>
    <w:rsid w:val="005878A3"/>
    <w:rsid w:val="0059461A"/>
    <w:rsid w:val="00595CCB"/>
    <w:rsid w:val="00596431"/>
    <w:rsid w:val="00597520"/>
    <w:rsid w:val="005A0C30"/>
    <w:rsid w:val="005A18C5"/>
    <w:rsid w:val="005A2421"/>
    <w:rsid w:val="005A2DD2"/>
    <w:rsid w:val="005A3ED5"/>
    <w:rsid w:val="005A511C"/>
    <w:rsid w:val="005A7CF6"/>
    <w:rsid w:val="005B42EE"/>
    <w:rsid w:val="005B6A93"/>
    <w:rsid w:val="005B7C71"/>
    <w:rsid w:val="005C33B2"/>
    <w:rsid w:val="005C4A6B"/>
    <w:rsid w:val="005C4E46"/>
    <w:rsid w:val="005C661F"/>
    <w:rsid w:val="005C7437"/>
    <w:rsid w:val="005D2A59"/>
    <w:rsid w:val="005D3B25"/>
    <w:rsid w:val="005D41FD"/>
    <w:rsid w:val="005D6C79"/>
    <w:rsid w:val="005E14A7"/>
    <w:rsid w:val="005E66A4"/>
    <w:rsid w:val="005F0C00"/>
    <w:rsid w:val="005F15ED"/>
    <w:rsid w:val="005F33F2"/>
    <w:rsid w:val="005F460C"/>
    <w:rsid w:val="005F51F6"/>
    <w:rsid w:val="005F6A6B"/>
    <w:rsid w:val="005F6AE1"/>
    <w:rsid w:val="005F74D0"/>
    <w:rsid w:val="006009E3"/>
    <w:rsid w:val="0060117A"/>
    <w:rsid w:val="00607022"/>
    <w:rsid w:val="00612E14"/>
    <w:rsid w:val="00613623"/>
    <w:rsid w:val="00617F30"/>
    <w:rsid w:val="00620CF7"/>
    <w:rsid w:val="00621C44"/>
    <w:rsid w:val="00622573"/>
    <w:rsid w:val="0062598A"/>
    <w:rsid w:val="00625A52"/>
    <w:rsid w:val="0062686B"/>
    <w:rsid w:val="00633A74"/>
    <w:rsid w:val="00637549"/>
    <w:rsid w:val="006375AB"/>
    <w:rsid w:val="00642027"/>
    <w:rsid w:val="00642A6F"/>
    <w:rsid w:val="00642E50"/>
    <w:rsid w:val="00644340"/>
    <w:rsid w:val="00646049"/>
    <w:rsid w:val="00647FBA"/>
    <w:rsid w:val="0065268F"/>
    <w:rsid w:val="00652AED"/>
    <w:rsid w:val="0065391A"/>
    <w:rsid w:val="0065679C"/>
    <w:rsid w:val="00657108"/>
    <w:rsid w:val="00663306"/>
    <w:rsid w:val="00663909"/>
    <w:rsid w:val="00663E95"/>
    <w:rsid w:val="006659FF"/>
    <w:rsid w:val="006671BC"/>
    <w:rsid w:val="0067188E"/>
    <w:rsid w:val="0067299B"/>
    <w:rsid w:val="00673287"/>
    <w:rsid w:val="00673CD5"/>
    <w:rsid w:val="00676840"/>
    <w:rsid w:val="00680679"/>
    <w:rsid w:val="0068146D"/>
    <w:rsid w:val="00681FB5"/>
    <w:rsid w:val="0068285A"/>
    <w:rsid w:val="00682DB1"/>
    <w:rsid w:val="00683FFB"/>
    <w:rsid w:val="00686DDD"/>
    <w:rsid w:val="00687461"/>
    <w:rsid w:val="0068768A"/>
    <w:rsid w:val="0069039A"/>
    <w:rsid w:val="00690BEA"/>
    <w:rsid w:val="00692A80"/>
    <w:rsid w:val="00695279"/>
    <w:rsid w:val="00697C69"/>
    <w:rsid w:val="006A13A5"/>
    <w:rsid w:val="006A25F6"/>
    <w:rsid w:val="006A2733"/>
    <w:rsid w:val="006B0F12"/>
    <w:rsid w:val="006B28C4"/>
    <w:rsid w:val="006B33A7"/>
    <w:rsid w:val="006B355D"/>
    <w:rsid w:val="006B6D9F"/>
    <w:rsid w:val="006C0638"/>
    <w:rsid w:val="006C1260"/>
    <w:rsid w:val="006C1ECA"/>
    <w:rsid w:val="006C2232"/>
    <w:rsid w:val="006C3B46"/>
    <w:rsid w:val="006C6800"/>
    <w:rsid w:val="006D0BC5"/>
    <w:rsid w:val="006D2CF2"/>
    <w:rsid w:val="006D2E37"/>
    <w:rsid w:val="006D34C3"/>
    <w:rsid w:val="006E327C"/>
    <w:rsid w:val="006E3797"/>
    <w:rsid w:val="006E7444"/>
    <w:rsid w:val="006E7795"/>
    <w:rsid w:val="006E7E9F"/>
    <w:rsid w:val="006E7FA8"/>
    <w:rsid w:val="006F00DB"/>
    <w:rsid w:val="006F3F96"/>
    <w:rsid w:val="006F4346"/>
    <w:rsid w:val="006F4623"/>
    <w:rsid w:val="006F4B40"/>
    <w:rsid w:val="006F7B37"/>
    <w:rsid w:val="0070053B"/>
    <w:rsid w:val="00700B0D"/>
    <w:rsid w:val="00701FEA"/>
    <w:rsid w:val="007040D1"/>
    <w:rsid w:val="007069F7"/>
    <w:rsid w:val="00706DE1"/>
    <w:rsid w:val="00706EEC"/>
    <w:rsid w:val="00710059"/>
    <w:rsid w:val="00710337"/>
    <w:rsid w:val="00710357"/>
    <w:rsid w:val="007110C9"/>
    <w:rsid w:val="00711DD6"/>
    <w:rsid w:val="00712349"/>
    <w:rsid w:val="00712C19"/>
    <w:rsid w:val="00712FCE"/>
    <w:rsid w:val="00714BA3"/>
    <w:rsid w:val="0071537B"/>
    <w:rsid w:val="0071617A"/>
    <w:rsid w:val="007167AE"/>
    <w:rsid w:val="00721098"/>
    <w:rsid w:val="0072495B"/>
    <w:rsid w:val="00725397"/>
    <w:rsid w:val="00727E38"/>
    <w:rsid w:val="007311E0"/>
    <w:rsid w:val="007333AE"/>
    <w:rsid w:val="00734E7F"/>
    <w:rsid w:val="007360D3"/>
    <w:rsid w:val="0073644C"/>
    <w:rsid w:val="00737641"/>
    <w:rsid w:val="00737C72"/>
    <w:rsid w:val="00740F3D"/>
    <w:rsid w:val="007414C0"/>
    <w:rsid w:val="007452F9"/>
    <w:rsid w:val="0074660C"/>
    <w:rsid w:val="00747B69"/>
    <w:rsid w:val="00750E77"/>
    <w:rsid w:val="00751449"/>
    <w:rsid w:val="0075245E"/>
    <w:rsid w:val="00755D95"/>
    <w:rsid w:val="00756B0E"/>
    <w:rsid w:val="00757BAA"/>
    <w:rsid w:val="00762B9C"/>
    <w:rsid w:val="007648BA"/>
    <w:rsid w:val="0076502D"/>
    <w:rsid w:val="0076575A"/>
    <w:rsid w:val="00766BCF"/>
    <w:rsid w:val="0076734F"/>
    <w:rsid w:val="00767F39"/>
    <w:rsid w:val="007705BC"/>
    <w:rsid w:val="007726E1"/>
    <w:rsid w:val="007729D9"/>
    <w:rsid w:val="007739F9"/>
    <w:rsid w:val="00774F4B"/>
    <w:rsid w:val="0077517F"/>
    <w:rsid w:val="00775225"/>
    <w:rsid w:val="00776617"/>
    <w:rsid w:val="007823C0"/>
    <w:rsid w:val="00782655"/>
    <w:rsid w:val="00782B85"/>
    <w:rsid w:val="00782BF2"/>
    <w:rsid w:val="00784431"/>
    <w:rsid w:val="0078572D"/>
    <w:rsid w:val="00785A0D"/>
    <w:rsid w:val="00787EC7"/>
    <w:rsid w:val="00791565"/>
    <w:rsid w:val="0079256F"/>
    <w:rsid w:val="0079307B"/>
    <w:rsid w:val="007941CF"/>
    <w:rsid w:val="00795722"/>
    <w:rsid w:val="00796F48"/>
    <w:rsid w:val="007A1D86"/>
    <w:rsid w:val="007A2A5E"/>
    <w:rsid w:val="007A31FA"/>
    <w:rsid w:val="007A3C6A"/>
    <w:rsid w:val="007A5821"/>
    <w:rsid w:val="007A6B87"/>
    <w:rsid w:val="007A6D61"/>
    <w:rsid w:val="007B0EBF"/>
    <w:rsid w:val="007B12EF"/>
    <w:rsid w:val="007B1EEA"/>
    <w:rsid w:val="007B51E2"/>
    <w:rsid w:val="007B6F81"/>
    <w:rsid w:val="007C08B4"/>
    <w:rsid w:val="007C24E2"/>
    <w:rsid w:val="007C2AA1"/>
    <w:rsid w:val="007D5D8D"/>
    <w:rsid w:val="007E04EB"/>
    <w:rsid w:val="007E10A5"/>
    <w:rsid w:val="007E191C"/>
    <w:rsid w:val="007E2A95"/>
    <w:rsid w:val="007E3D71"/>
    <w:rsid w:val="007F0036"/>
    <w:rsid w:val="007F2841"/>
    <w:rsid w:val="007F3E30"/>
    <w:rsid w:val="007F4E22"/>
    <w:rsid w:val="007F4F39"/>
    <w:rsid w:val="007F56B2"/>
    <w:rsid w:val="007F62CB"/>
    <w:rsid w:val="007F633D"/>
    <w:rsid w:val="0080096B"/>
    <w:rsid w:val="00800B90"/>
    <w:rsid w:val="00802A66"/>
    <w:rsid w:val="00805ADD"/>
    <w:rsid w:val="008103A0"/>
    <w:rsid w:val="00810DE3"/>
    <w:rsid w:val="0081744F"/>
    <w:rsid w:val="00821541"/>
    <w:rsid w:val="00821A06"/>
    <w:rsid w:val="008220F3"/>
    <w:rsid w:val="00822273"/>
    <w:rsid w:val="0082287D"/>
    <w:rsid w:val="008235DB"/>
    <w:rsid w:val="00823AD4"/>
    <w:rsid w:val="00824801"/>
    <w:rsid w:val="00826FE4"/>
    <w:rsid w:val="00830647"/>
    <w:rsid w:val="00830E80"/>
    <w:rsid w:val="00832911"/>
    <w:rsid w:val="00833EB7"/>
    <w:rsid w:val="00836637"/>
    <w:rsid w:val="0084092F"/>
    <w:rsid w:val="0084112E"/>
    <w:rsid w:val="00842813"/>
    <w:rsid w:val="00844C87"/>
    <w:rsid w:val="00847603"/>
    <w:rsid w:val="008506D2"/>
    <w:rsid w:val="00850A87"/>
    <w:rsid w:val="008532FB"/>
    <w:rsid w:val="008540F0"/>
    <w:rsid w:val="0085431D"/>
    <w:rsid w:val="00856698"/>
    <w:rsid w:val="008568C0"/>
    <w:rsid w:val="00857ABC"/>
    <w:rsid w:val="00857DF2"/>
    <w:rsid w:val="00864874"/>
    <w:rsid w:val="00865603"/>
    <w:rsid w:val="00867D28"/>
    <w:rsid w:val="00871CA1"/>
    <w:rsid w:val="0087449A"/>
    <w:rsid w:val="00874F47"/>
    <w:rsid w:val="0087515D"/>
    <w:rsid w:val="00876461"/>
    <w:rsid w:val="00877D87"/>
    <w:rsid w:val="00880255"/>
    <w:rsid w:val="00880AF9"/>
    <w:rsid w:val="008810FA"/>
    <w:rsid w:val="00881E5B"/>
    <w:rsid w:val="00882838"/>
    <w:rsid w:val="00882910"/>
    <w:rsid w:val="00883E33"/>
    <w:rsid w:val="00884878"/>
    <w:rsid w:val="008854AB"/>
    <w:rsid w:val="00885B9C"/>
    <w:rsid w:val="00886D18"/>
    <w:rsid w:val="00892303"/>
    <w:rsid w:val="00892806"/>
    <w:rsid w:val="00895799"/>
    <w:rsid w:val="008968DE"/>
    <w:rsid w:val="00896927"/>
    <w:rsid w:val="00897392"/>
    <w:rsid w:val="008973A1"/>
    <w:rsid w:val="00897E16"/>
    <w:rsid w:val="008A07D5"/>
    <w:rsid w:val="008A144E"/>
    <w:rsid w:val="008A310A"/>
    <w:rsid w:val="008A6603"/>
    <w:rsid w:val="008B28A6"/>
    <w:rsid w:val="008B2D7B"/>
    <w:rsid w:val="008B2EBF"/>
    <w:rsid w:val="008B3FA5"/>
    <w:rsid w:val="008B5F65"/>
    <w:rsid w:val="008C0FBD"/>
    <w:rsid w:val="008C4903"/>
    <w:rsid w:val="008C5617"/>
    <w:rsid w:val="008C6687"/>
    <w:rsid w:val="008C68E2"/>
    <w:rsid w:val="008C70BD"/>
    <w:rsid w:val="008C79C7"/>
    <w:rsid w:val="008C7AC8"/>
    <w:rsid w:val="008D0242"/>
    <w:rsid w:val="008D27EF"/>
    <w:rsid w:val="008D28DF"/>
    <w:rsid w:val="008D2DC8"/>
    <w:rsid w:val="008D34F9"/>
    <w:rsid w:val="008D4680"/>
    <w:rsid w:val="008D5A87"/>
    <w:rsid w:val="008D745E"/>
    <w:rsid w:val="008E29AB"/>
    <w:rsid w:val="008E44A5"/>
    <w:rsid w:val="008E4EF2"/>
    <w:rsid w:val="008E5701"/>
    <w:rsid w:val="008E6A46"/>
    <w:rsid w:val="008F06F2"/>
    <w:rsid w:val="008F1E28"/>
    <w:rsid w:val="008F2927"/>
    <w:rsid w:val="008F4C4B"/>
    <w:rsid w:val="008F4EA1"/>
    <w:rsid w:val="008F5D80"/>
    <w:rsid w:val="008F7B8C"/>
    <w:rsid w:val="009006D2"/>
    <w:rsid w:val="009028BB"/>
    <w:rsid w:val="00903E19"/>
    <w:rsid w:val="009103F3"/>
    <w:rsid w:val="00910C14"/>
    <w:rsid w:val="00910CA2"/>
    <w:rsid w:val="009126A4"/>
    <w:rsid w:val="009163AF"/>
    <w:rsid w:val="0091642F"/>
    <w:rsid w:val="00916D52"/>
    <w:rsid w:val="0091700B"/>
    <w:rsid w:val="00920170"/>
    <w:rsid w:val="00923D3D"/>
    <w:rsid w:val="00924CCB"/>
    <w:rsid w:val="0092520A"/>
    <w:rsid w:val="00927978"/>
    <w:rsid w:val="00930917"/>
    <w:rsid w:val="00931EC0"/>
    <w:rsid w:val="00932FAD"/>
    <w:rsid w:val="009336D3"/>
    <w:rsid w:val="0093454D"/>
    <w:rsid w:val="00936ECF"/>
    <w:rsid w:val="00937307"/>
    <w:rsid w:val="0094339B"/>
    <w:rsid w:val="009445BA"/>
    <w:rsid w:val="009447F9"/>
    <w:rsid w:val="00945130"/>
    <w:rsid w:val="00945B0A"/>
    <w:rsid w:val="00946700"/>
    <w:rsid w:val="00946F68"/>
    <w:rsid w:val="009475F3"/>
    <w:rsid w:val="00951562"/>
    <w:rsid w:val="00951651"/>
    <w:rsid w:val="00953CAB"/>
    <w:rsid w:val="009542F8"/>
    <w:rsid w:val="00954EF3"/>
    <w:rsid w:val="00955C40"/>
    <w:rsid w:val="0095603B"/>
    <w:rsid w:val="00957948"/>
    <w:rsid w:val="00960568"/>
    <w:rsid w:val="0096343D"/>
    <w:rsid w:val="00965BBC"/>
    <w:rsid w:val="009668EF"/>
    <w:rsid w:val="00966D28"/>
    <w:rsid w:val="009713CF"/>
    <w:rsid w:val="009729A9"/>
    <w:rsid w:val="009761F8"/>
    <w:rsid w:val="00976AF1"/>
    <w:rsid w:val="00976FB3"/>
    <w:rsid w:val="0098030D"/>
    <w:rsid w:val="00981E62"/>
    <w:rsid w:val="00985B92"/>
    <w:rsid w:val="00986A81"/>
    <w:rsid w:val="00987545"/>
    <w:rsid w:val="0099040F"/>
    <w:rsid w:val="009911B6"/>
    <w:rsid w:val="00991F20"/>
    <w:rsid w:val="009928E1"/>
    <w:rsid w:val="009935E5"/>
    <w:rsid w:val="00994D27"/>
    <w:rsid w:val="00994D57"/>
    <w:rsid w:val="00996460"/>
    <w:rsid w:val="0099677B"/>
    <w:rsid w:val="009A1E07"/>
    <w:rsid w:val="009A25EB"/>
    <w:rsid w:val="009A290D"/>
    <w:rsid w:val="009A49BB"/>
    <w:rsid w:val="009B3A14"/>
    <w:rsid w:val="009B5190"/>
    <w:rsid w:val="009B5381"/>
    <w:rsid w:val="009B654F"/>
    <w:rsid w:val="009C16DF"/>
    <w:rsid w:val="009C1FDC"/>
    <w:rsid w:val="009C385C"/>
    <w:rsid w:val="009C4804"/>
    <w:rsid w:val="009C4CCF"/>
    <w:rsid w:val="009D104E"/>
    <w:rsid w:val="009D1FDF"/>
    <w:rsid w:val="009D3524"/>
    <w:rsid w:val="009D35A9"/>
    <w:rsid w:val="009D5236"/>
    <w:rsid w:val="009E1667"/>
    <w:rsid w:val="009E1CA8"/>
    <w:rsid w:val="009E28E1"/>
    <w:rsid w:val="009E38C1"/>
    <w:rsid w:val="009E668E"/>
    <w:rsid w:val="009E6780"/>
    <w:rsid w:val="009E79EC"/>
    <w:rsid w:val="009E7BF7"/>
    <w:rsid w:val="009F38F7"/>
    <w:rsid w:val="009F4D99"/>
    <w:rsid w:val="009F50F0"/>
    <w:rsid w:val="009F5DDA"/>
    <w:rsid w:val="00A01327"/>
    <w:rsid w:val="00A018E7"/>
    <w:rsid w:val="00A0230A"/>
    <w:rsid w:val="00A0372B"/>
    <w:rsid w:val="00A03911"/>
    <w:rsid w:val="00A05140"/>
    <w:rsid w:val="00A06BB3"/>
    <w:rsid w:val="00A06FC9"/>
    <w:rsid w:val="00A10592"/>
    <w:rsid w:val="00A10DE1"/>
    <w:rsid w:val="00A11B50"/>
    <w:rsid w:val="00A11D59"/>
    <w:rsid w:val="00A123C7"/>
    <w:rsid w:val="00A13029"/>
    <w:rsid w:val="00A14E44"/>
    <w:rsid w:val="00A14E66"/>
    <w:rsid w:val="00A15F00"/>
    <w:rsid w:val="00A1601E"/>
    <w:rsid w:val="00A1727E"/>
    <w:rsid w:val="00A20730"/>
    <w:rsid w:val="00A22538"/>
    <w:rsid w:val="00A25BF3"/>
    <w:rsid w:val="00A27B11"/>
    <w:rsid w:val="00A27E2B"/>
    <w:rsid w:val="00A33495"/>
    <w:rsid w:val="00A33B7B"/>
    <w:rsid w:val="00A34039"/>
    <w:rsid w:val="00A3552E"/>
    <w:rsid w:val="00A37859"/>
    <w:rsid w:val="00A417FA"/>
    <w:rsid w:val="00A42760"/>
    <w:rsid w:val="00A43C31"/>
    <w:rsid w:val="00A4427D"/>
    <w:rsid w:val="00A443C7"/>
    <w:rsid w:val="00A4540A"/>
    <w:rsid w:val="00A458B3"/>
    <w:rsid w:val="00A45B60"/>
    <w:rsid w:val="00A45E73"/>
    <w:rsid w:val="00A4658F"/>
    <w:rsid w:val="00A47CC9"/>
    <w:rsid w:val="00A50893"/>
    <w:rsid w:val="00A541AE"/>
    <w:rsid w:val="00A5551F"/>
    <w:rsid w:val="00A62E17"/>
    <w:rsid w:val="00A65CAA"/>
    <w:rsid w:val="00A662CF"/>
    <w:rsid w:val="00A70731"/>
    <w:rsid w:val="00A7663E"/>
    <w:rsid w:val="00A766FD"/>
    <w:rsid w:val="00A80353"/>
    <w:rsid w:val="00A81D63"/>
    <w:rsid w:val="00A820E7"/>
    <w:rsid w:val="00A82DF8"/>
    <w:rsid w:val="00A85823"/>
    <w:rsid w:val="00A85871"/>
    <w:rsid w:val="00A913DF"/>
    <w:rsid w:val="00A9304F"/>
    <w:rsid w:val="00A9333E"/>
    <w:rsid w:val="00A93A0F"/>
    <w:rsid w:val="00A94EC5"/>
    <w:rsid w:val="00A9554E"/>
    <w:rsid w:val="00AA1CD1"/>
    <w:rsid w:val="00AA31F2"/>
    <w:rsid w:val="00AA406C"/>
    <w:rsid w:val="00AA4F9F"/>
    <w:rsid w:val="00AA5E1B"/>
    <w:rsid w:val="00AA7256"/>
    <w:rsid w:val="00AB0987"/>
    <w:rsid w:val="00AB3900"/>
    <w:rsid w:val="00AB7215"/>
    <w:rsid w:val="00AC005D"/>
    <w:rsid w:val="00AC14DE"/>
    <w:rsid w:val="00AC534B"/>
    <w:rsid w:val="00AC56C2"/>
    <w:rsid w:val="00AC5B60"/>
    <w:rsid w:val="00AC5E19"/>
    <w:rsid w:val="00AC6F49"/>
    <w:rsid w:val="00AD2723"/>
    <w:rsid w:val="00AD445D"/>
    <w:rsid w:val="00AD4EA0"/>
    <w:rsid w:val="00AD4FA6"/>
    <w:rsid w:val="00AD6AC8"/>
    <w:rsid w:val="00AD6F47"/>
    <w:rsid w:val="00AE1542"/>
    <w:rsid w:val="00AE2781"/>
    <w:rsid w:val="00AE5C52"/>
    <w:rsid w:val="00AE6D76"/>
    <w:rsid w:val="00AE6E0A"/>
    <w:rsid w:val="00AE7DE7"/>
    <w:rsid w:val="00AF045F"/>
    <w:rsid w:val="00AF0FA2"/>
    <w:rsid w:val="00AF0FDD"/>
    <w:rsid w:val="00AF55CB"/>
    <w:rsid w:val="00AF5A70"/>
    <w:rsid w:val="00AF5C5C"/>
    <w:rsid w:val="00AF6315"/>
    <w:rsid w:val="00B03FB1"/>
    <w:rsid w:val="00B060C2"/>
    <w:rsid w:val="00B10C2C"/>
    <w:rsid w:val="00B12A3B"/>
    <w:rsid w:val="00B15829"/>
    <w:rsid w:val="00B17A9D"/>
    <w:rsid w:val="00B206FA"/>
    <w:rsid w:val="00B21C2F"/>
    <w:rsid w:val="00B236A8"/>
    <w:rsid w:val="00B249B7"/>
    <w:rsid w:val="00B25C75"/>
    <w:rsid w:val="00B26391"/>
    <w:rsid w:val="00B2764E"/>
    <w:rsid w:val="00B30E77"/>
    <w:rsid w:val="00B33F22"/>
    <w:rsid w:val="00B33F27"/>
    <w:rsid w:val="00B34B88"/>
    <w:rsid w:val="00B358FC"/>
    <w:rsid w:val="00B3620B"/>
    <w:rsid w:val="00B37A25"/>
    <w:rsid w:val="00B44032"/>
    <w:rsid w:val="00B456CC"/>
    <w:rsid w:val="00B478EF"/>
    <w:rsid w:val="00B50F44"/>
    <w:rsid w:val="00B51BAD"/>
    <w:rsid w:val="00B52C6E"/>
    <w:rsid w:val="00B55BE4"/>
    <w:rsid w:val="00B55E77"/>
    <w:rsid w:val="00B564A3"/>
    <w:rsid w:val="00B56514"/>
    <w:rsid w:val="00B56551"/>
    <w:rsid w:val="00B56E24"/>
    <w:rsid w:val="00B57AE9"/>
    <w:rsid w:val="00B57CA2"/>
    <w:rsid w:val="00B6142F"/>
    <w:rsid w:val="00B614AD"/>
    <w:rsid w:val="00B61DC5"/>
    <w:rsid w:val="00B638BD"/>
    <w:rsid w:val="00B65EB5"/>
    <w:rsid w:val="00B66555"/>
    <w:rsid w:val="00B71DA1"/>
    <w:rsid w:val="00B72CEC"/>
    <w:rsid w:val="00B73156"/>
    <w:rsid w:val="00B74929"/>
    <w:rsid w:val="00B7716B"/>
    <w:rsid w:val="00B771F9"/>
    <w:rsid w:val="00B777E6"/>
    <w:rsid w:val="00B80134"/>
    <w:rsid w:val="00B80707"/>
    <w:rsid w:val="00B8287B"/>
    <w:rsid w:val="00B85910"/>
    <w:rsid w:val="00B861D4"/>
    <w:rsid w:val="00B862FD"/>
    <w:rsid w:val="00B86B4B"/>
    <w:rsid w:val="00B870FD"/>
    <w:rsid w:val="00B8737A"/>
    <w:rsid w:val="00B87675"/>
    <w:rsid w:val="00B907E3"/>
    <w:rsid w:val="00B910DF"/>
    <w:rsid w:val="00B922B9"/>
    <w:rsid w:val="00B95043"/>
    <w:rsid w:val="00B96C61"/>
    <w:rsid w:val="00B9749F"/>
    <w:rsid w:val="00BA204C"/>
    <w:rsid w:val="00BA3026"/>
    <w:rsid w:val="00BA3EFF"/>
    <w:rsid w:val="00BA4972"/>
    <w:rsid w:val="00BA5FE7"/>
    <w:rsid w:val="00BB1C24"/>
    <w:rsid w:val="00BB2580"/>
    <w:rsid w:val="00BB27EC"/>
    <w:rsid w:val="00BB37EE"/>
    <w:rsid w:val="00BB530B"/>
    <w:rsid w:val="00BB58D3"/>
    <w:rsid w:val="00BB5F00"/>
    <w:rsid w:val="00BC179B"/>
    <w:rsid w:val="00BC26A3"/>
    <w:rsid w:val="00BC432E"/>
    <w:rsid w:val="00BC5A98"/>
    <w:rsid w:val="00BC6774"/>
    <w:rsid w:val="00BC6C8B"/>
    <w:rsid w:val="00BC6EEF"/>
    <w:rsid w:val="00BC7046"/>
    <w:rsid w:val="00BC7980"/>
    <w:rsid w:val="00BD28C5"/>
    <w:rsid w:val="00BD2FEE"/>
    <w:rsid w:val="00BD4D43"/>
    <w:rsid w:val="00BD7695"/>
    <w:rsid w:val="00BE0D5C"/>
    <w:rsid w:val="00BE0EE1"/>
    <w:rsid w:val="00BE19D4"/>
    <w:rsid w:val="00BE30EC"/>
    <w:rsid w:val="00BE4BDF"/>
    <w:rsid w:val="00BE5815"/>
    <w:rsid w:val="00BE5FED"/>
    <w:rsid w:val="00BE65E4"/>
    <w:rsid w:val="00BE70D9"/>
    <w:rsid w:val="00BE7D81"/>
    <w:rsid w:val="00BF0AA7"/>
    <w:rsid w:val="00BF0F05"/>
    <w:rsid w:val="00BF1832"/>
    <w:rsid w:val="00BF2F97"/>
    <w:rsid w:val="00BF3ACD"/>
    <w:rsid w:val="00C00765"/>
    <w:rsid w:val="00C00E26"/>
    <w:rsid w:val="00C02E08"/>
    <w:rsid w:val="00C03A2E"/>
    <w:rsid w:val="00C06287"/>
    <w:rsid w:val="00C114D2"/>
    <w:rsid w:val="00C12309"/>
    <w:rsid w:val="00C16235"/>
    <w:rsid w:val="00C20596"/>
    <w:rsid w:val="00C20D5E"/>
    <w:rsid w:val="00C232A5"/>
    <w:rsid w:val="00C23583"/>
    <w:rsid w:val="00C312CC"/>
    <w:rsid w:val="00C33E8D"/>
    <w:rsid w:val="00C36C67"/>
    <w:rsid w:val="00C4066A"/>
    <w:rsid w:val="00C40D0E"/>
    <w:rsid w:val="00C42B9B"/>
    <w:rsid w:val="00C43E8B"/>
    <w:rsid w:val="00C469FC"/>
    <w:rsid w:val="00C50C3B"/>
    <w:rsid w:val="00C51DF7"/>
    <w:rsid w:val="00C5255D"/>
    <w:rsid w:val="00C559C1"/>
    <w:rsid w:val="00C56BAB"/>
    <w:rsid w:val="00C57E14"/>
    <w:rsid w:val="00C57EEC"/>
    <w:rsid w:val="00C602B7"/>
    <w:rsid w:val="00C60D92"/>
    <w:rsid w:val="00C63171"/>
    <w:rsid w:val="00C65930"/>
    <w:rsid w:val="00C66662"/>
    <w:rsid w:val="00C67272"/>
    <w:rsid w:val="00C705A8"/>
    <w:rsid w:val="00C75AB0"/>
    <w:rsid w:val="00C75DEF"/>
    <w:rsid w:val="00C819F5"/>
    <w:rsid w:val="00C82AA4"/>
    <w:rsid w:val="00C8305C"/>
    <w:rsid w:val="00C837EA"/>
    <w:rsid w:val="00C844D6"/>
    <w:rsid w:val="00C85FF6"/>
    <w:rsid w:val="00C86619"/>
    <w:rsid w:val="00C87927"/>
    <w:rsid w:val="00C87B48"/>
    <w:rsid w:val="00C90057"/>
    <w:rsid w:val="00C92CD2"/>
    <w:rsid w:val="00C92E32"/>
    <w:rsid w:val="00C9326B"/>
    <w:rsid w:val="00C951F0"/>
    <w:rsid w:val="00C95691"/>
    <w:rsid w:val="00C96A47"/>
    <w:rsid w:val="00C970CE"/>
    <w:rsid w:val="00C97C4A"/>
    <w:rsid w:val="00C97F89"/>
    <w:rsid w:val="00CA0ADD"/>
    <w:rsid w:val="00CA0CFC"/>
    <w:rsid w:val="00CA1ECD"/>
    <w:rsid w:val="00CA4C7F"/>
    <w:rsid w:val="00CA565E"/>
    <w:rsid w:val="00CB13B7"/>
    <w:rsid w:val="00CB20B9"/>
    <w:rsid w:val="00CB399C"/>
    <w:rsid w:val="00CB4120"/>
    <w:rsid w:val="00CB6D7D"/>
    <w:rsid w:val="00CB7087"/>
    <w:rsid w:val="00CB723D"/>
    <w:rsid w:val="00CC21ED"/>
    <w:rsid w:val="00CC2633"/>
    <w:rsid w:val="00CC41EE"/>
    <w:rsid w:val="00CC470A"/>
    <w:rsid w:val="00CD061B"/>
    <w:rsid w:val="00CD0BF5"/>
    <w:rsid w:val="00CD0FA4"/>
    <w:rsid w:val="00CD1089"/>
    <w:rsid w:val="00CD1BCD"/>
    <w:rsid w:val="00CD41F8"/>
    <w:rsid w:val="00CD4DBE"/>
    <w:rsid w:val="00CD505A"/>
    <w:rsid w:val="00CD6D61"/>
    <w:rsid w:val="00CD7D66"/>
    <w:rsid w:val="00CD7FFC"/>
    <w:rsid w:val="00CE1387"/>
    <w:rsid w:val="00CE2C6E"/>
    <w:rsid w:val="00CE2D75"/>
    <w:rsid w:val="00CE5AB8"/>
    <w:rsid w:val="00CE6C66"/>
    <w:rsid w:val="00CE799B"/>
    <w:rsid w:val="00CF0287"/>
    <w:rsid w:val="00CF2BBB"/>
    <w:rsid w:val="00CF321C"/>
    <w:rsid w:val="00CF4E72"/>
    <w:rsid w:val="00CF4FE6"/>
    <w:rsid w:val="00CF556F"/>
    <w:rsid w:val="00CF5974"/>
    <w:rsid w:val="00D0030F"/>
    <w:rsid w:val="00D01B15"/>
    <w:rsid w:val="00D02B9B"/>
    <w:rsid w:val="00D0445F"/>
    <w:rsid w:val="00D0608D"/>
    <w:rsid w:val="00D061D5"/>
    <w:rsid w:val="00D06E87"/>
    <w:rsid w:val="00D06EFC"/>
    <w:rsid w:val="00D07101"/>
    <w:rsid w:val="00D074BF"/>
    <w:rsid w:val="00D1197E"/>
    <w:rsid w:val="00D122E5"/>
    <w:rsid w:val="00D12702"/>
    <w:rsid w:val="00D1619E"/>
    <w:rsid w:val="00D219C1"/>
    <w:rsid w:val="00D22C33"/>
    <w:rsid w:val="00D235A7"/>
    <w:rsid w:val="00D27373"/>
    <w:rsid w:val="00D31805"/>
    <w:rsid w:val="00D32833"/>
    <w:rsid w:val="00D33DA7"/>
    <w:rsid w:val="00D3507E"/>
    <w:rsid w:val="00D354D0"/>
    <w:rsid w:val="00D41D9A"/>
    <w:rsid w:val="00D44350"/>
    <w:rsid w:val="00D4509B"/>
    <w:rsid w:val="00D472D8"/>
    <w:rsid w:val="00D5255B"/>
    <w:rsid w:val="00D538F6"/>
    <w:rsid w:val="00D5457D"/>
    <w:rsid w:val="00D54EF5"/>
    <w:rsid w:val="00D56D6B"/>
    <w:rsid w:val="00D56FF4"/>
    <w:rsid w:val="00D607EA"/>
    <w:rsid w:val="00D6213A"/>
    <w:rsid w:val="00D64AE8"/>
    <w:rsid w:val="00D70223"/>
    <w:rsid w:val="00D73033"/>
    <w:rsid w:val="00D73760"/>
    <w:rsid w:val="00D74036"/>
    <w:rsid w:val="00D802BD"/>
    <w:rsid w:val="00D8048C"/>
    <w:rsid w:val="00D808EE"/>
    <w:rsid w:val="00D852FF"/>
    <w:rsid w:val="00D85344"/>
    <w:rsid w:val="00D85A1A"/>
    <w:rsid w:val="00D87FE7"/>
    <w:rsid w:val="00D91885"/>
    <w:rsid w:val="00D93663"/>
    <w:rsid w:val="00D94097"/>
    <w:rsid w:val="00D95290"/>
    <w:rsid w:val="00D95DDC"/>
    <w:rsid w:val="00D96315"/>
    <w:rsid w:val="00D96B60"/>
    <w:rsid w:val="00DA0634"/>
    <w:rsid w:val="00DA10F8"/>
    <w:rsid w:val="00DA3D47"/>
    <w:rsid w:val="00DA3E6F"/>
    <w:rsid w:val="00DA62C5"/>
    <w:rsid w:val="00DA7CB8"/>
    <w:rsid w:val="00DA7DA7"/>
    <w:rsid w:val="00DB0CB2"/>
    <w:rsid w:val="00DB1D3D"/>
    <w:rsid w:val="00DB52D6"/>
    <w:rsid w:val="00DB53B9"/>
    <w:rsid w:val="00DB59C4"/>
    <w:rsid w:val="00DC08BC"/>
    <w:rsid w:val="00DC1C50"/>
    <w:rsid w:val="00DC1F63"/>
    <w:rsid w:val="00DC5DAD"/>
    <w:rsid w:val="00DD1011"/>
    <w:rsid w:val="00DD2B63"/>
    <w:rsid w:val="00DD3BC3"/>
    <w:rsid w:val="00DD3C54"/>
    <w:rsid w:val="00DD4B1D"/>
    <w:rsid w:val="00DD4F53"/>
    <w:rsid w:val="00DD7A18"/>
    <w:rsid w:val="00DE221F"/>
    <w:rsid w:val="00DE3A2A"/>
    <w:rsid w:val="00DE55E6"/>
    <w:rsid w:val="00DE5DBB"/>
    <w:rsid w:val="00DF0094"/>
    <w:rsid w:val="00DF169D"/>
    <w:rsid w:val="00DF5FCC"/>
    <w:rsid w:val="00DF60A8"/>
    <w:rsid w:val="00DF7AE1"/>
    <w:rsid w:val="00DF7DDA"/>
    <w:rsid w:val="00E00865"/>
    <w:rsid w:val="00E01294"/>
    <w:rsid w:val="00E0241F"/>
    <w:rsid w:val="00E02595"/>
    <w:rsid w:val="00E038BB"/>
    <w:rsid w:val="00E04482"/>
    <w:rsid w:val="00E04D37"/>
    <w:rsid w:val="00E05840"/>
    <w:rsid w:val="00E07968"/>
    <w:rsid w:val="00E10BA8"/>
    <w:rsid w:val="00E12448"/>
    <w:rsid w:val="00E138E8"/>
    <w:rsid w:val="00E14683"/>
    <w:rsid w:val="00E16366"/>
    <w:rsid w:val="00E16FD9"/>
    <w:rsid w:val="00E207DB"/>
    <w:rsid w:val="00E20D8F"/>
    <w:rsid w:val="00E21550"/>
    <w:rsid w:val="00E21EFB"/>
    <w:rsid w:val="00E2267F"/>
    <w:rsid w:val="00E235D4"/>
    <w:rsid w:val="00E24903"/>
    <w:rsid w:val="00E25FBA"/>
    <w:rsid w:val="00E270B7"/>
    <w:rsid w:val="00E27C9F"/>
    <w:rsid w:val="00E316D0"/>
    <w:rsid w:val="00E3374E"/>
    <w:rsid w:val="00E367C4"/>
    <w:rsid w:val="00E36A50"/>
    <w:rsid w:val="00E408A1"/>
    <w:rsid w:val="00E41B22"/>
    <w:rsid w:val="00E43C87"/>
    <w:rsid w:val="00E43EDB"/>
    <w:rsid w:val="00E446FF"/>
    <w:rsid w:val="00E44BDB"/>
    <w:rsid w:val="00E47D7E"/>
    <w:rsid w:val="00E501F4"/>
    <w:rsid w:val="00E519BD"/>
    <w:rsid w:val="00E528EB"/>
    <w:rsid w:val="00E5370B"/>
    <w:rsid w:val="00E551E8"/>
    <w:rsid w:val="00E56811"/>
    <w:rsid w:val="00E56A3E"/>
    <w:rsid w:val="00E57FF8"/>
    <w:rsid w:val="00E6139F"/>
    <w:rsid w:val="00E61608"/>
    <w:rsid w:val="00E61DAC"/>
    <w:rsid w:val="00E61E1E"/>
    <w:rsid w:val="00E62387"/>
    <w:rsid w:val="00E643CB"/>
    <w:rsid w:val="00E64B3B"/>
    <w:rsid w:val="00E6556F"/>
    <w:rsid w:val="00E67B07"/>
    <w:rsid w:val="00E67D97"/>
    <w:rsid w:val="00E71A05"/>
    <w:rsid w:val="00E73D5C"/>
    <w:rsid w:val="00E742BC"/>
    <w:rsid w:val="00E75D66"/>
    <w:rsid w:val="00E80AB0"/>
    <w:rsid w:val="00E82CEC"/>
    <w:rsid w:val="00E8435E"/>
    <w:rsid w:val="00E90B9D"/>
    <w:rsid w:val="00E923F1"/>
    <w:rsid w:val="00E93DC8"/>
    <w:rsid w:val="00E96A6F"/>
    <w:rsid w:val="00EA05EC"/>
    <w:rsid w:val="00EA1B79"/>
    <w:rsid w:val="00EA1D82"/>
    <w:rsid w:val="00EA1F13"/>
    <w:rsid w:val="00EA2F49"/>
    <w:rsid w:val="00EA42B1"/>
    <w:rsid w:val="00EA4CA5"/>
    <w:rsid w:val="00EA6D03"/>
    <w:rsid w:val="00EA7097"/>
    <w:rsid w:val="00EA71DF"/>
    <w:rsid w:val="00EB0C6D"/>
    <w:rsid w:val="00EB162A"/>
    <w:rsid w:val="00EB1D3D"/>
    <w:rsid w:val="00EB3D8A"/>
    <w:rsid w:val="00EB4AF9"/>
    <w:rsid w:val="00EB60D6"/>
    <w:rsid w:val="00EB6139"/>
    <w:rsid w:val="00EB6AE1"/>
    <w:rsid w:val="00EB711D"/>
    <w:rsid w:val="00EB7615"/>
    <w:rsid w:val="00EB77C9"/>
    <w:rsid w:val="00EC0476"/>
    <w:rsid w:val="00EC1EA4"/>
    <w:rsid w:val="00EC6243"/>
    <w:rsid w:val="00EC71ED"/>
    <w:rsid w:val="00EC7486"/>
    <w:rsid w:val="00ED04F4"/>
    <w:rsid w:val="00ED2536"/>
    <w:rsid w:val="00ED27A5"/>
    <w:rsid w:val="00ED3BD4"/>
    <w:rsid w:val="00ED4AB9"/>
    <w:rsid w:val="00ED7B38"/>
    <w:rsid w:val="00ED7FC5"/>
    <w:rsid w:val="00EE0057"/>
    <w:rsid w:val="00EE0E84"/>
    <w:rsid w:val="00EE120A"/>
    <w:rsid w:val="00EE208F"/>
    <w:rsid w:val="00EE21E3"/>
    <w:rsid w:val="00EE308D"/>
    <w:rsid w:val="00EE44C9"/>
    <w:rsid w:val="00EF087C"/>
    <w:rsid w:val="00EF2769"/>
    <w:rsid w:val="00EF366A"/>
    <w:rsid w:val="00EF494A"/>
    <w:rsid w:val="00EF4DF3"/>
    <w:rsid w:val="00F00324"/>
    <w:rsid w:val="00F00489"/>
    <w:rsid w:val="00F02F28"/>
    <w:rsid w:val="00F0799D"/>
    <w:rsid w:val="00F116F7"/>
    <w:rsid w:val="00F12744"/>
    <w:rsid w:val="00F13F24"/>
    <w:rsid w:val="00F1419E"/>
    <w:rsid w:val="00F168A4"/>
    <w:rsid w:val="00F16F90"/>
    <w:rsid w:val="00F209D8"/>
    <w:rsid w:val="00F20E9F"/>
    <w:rsid w:val="00F2369E"/>
    <w:rsid w:val="00F27ED1"/>
    <w:rsid w:val="00F30CF8"/>
    <w:rsid w:val="00F31315"/>
    <w:rsid w:val="00F3794B"/>
    <w:rsid w:val="00F40214"/>
    <w:rsid w:val="00F40408"/>
    <w:rsid w:val="00F40CFA"/>
    <w:rsid w:val="00F42301"/>
    <w:rsid w:val="00F42F5E"/>
    <w:rsid w:val="00F43B84"/>
    <w:rsid w:val="00F44274"/>
    <w:rsid w:val="00F44FFF"/>
    <w:rsid w:val="00F46132"/>
    <w:rsid w:val="00F46297"/>
    <w:rsid w:val="00F46ABC"/>
    <w:rsid w:val="00F50010"/>
    <w:rsid w:val="00F5172B"/>
    <w:rsid w:val="00F53655"/>
    <w:rsid w:val="00F53C1E"/>
    <w:rsid w:val="00F55290"/>
    <w:rsid w:val="00F55956"/>
    <w:rsid w:val="00F56CA9"/>
    <w:rsid w:val="00F604C6"/>
    <w:rsid w:val="00F6071E"/>
    <w:rsid w:val="00F614AD"/>
    <w:rsid w:val="00F616C5"/>
    <w:rsid w:val="00F62CFC"/>
    <w:rsid w:val="00F639E2"/>
    <w:rsid w:val="00F63FE5"/>
    <w:rsid w:val="00F64A50"/>
    <w:rsid w:val="00F65284"/>
    <w:rsid w:val="00F70870"/>
    <w:rsid w:val="00F711FF"/>
    <w:rsid w:val="00F71512"/>
    <w:rsid w:val="00F7419B"/>
    <w:rsid w:val="00F74363"/>
    <w:rsid w:val="00F74FA5"/>
    <w:rsid w:val="00F7658C"/>
    <w:rsid w:val="00F769FF"/>
    <w:rsid w:val="00F77D87"/>
    <w:rsid w:val="00F77E6A"/>
    <w:rsid w:val="00F81D93"/>
    <w:rsid w:val="00F831FB"/>
    <w:rsid w:val="00F86C62"/>
    <w:rsid w:val="00F87C09"/>
    <w:rsid w:val="00F907B5"/>
    <w:rsid w:val="00F91DD3"/>
    <w:rsid w:val="00F93164"/>
    <w:rsid w:val="00F93332"/>
    <w:rsid w:val="00F940A3"/>
    <w:rsid w:val="00F9413F"/>
    <w:rsid w:val="00F94A2D"/>
    <w:rsid w:val="00F94D21"/>
    <w:rsid w:val="00FA11D0"/>
    <w:rsid w:val="00FA14EB"/>
    <w:rsid w:val="00FA1AD3"/>
    <w:rsid w:val="00FA32E8"/>
    <w:rsid w:val="00FA344A"/>
    <w:rsid w:val="00FA39DE"/>
    <w:rsid w:val="00FA3A9B"/>
    <w:rsid w:val="00FA406D"/>
    <w:rsid w:val="00FA44DE"/>
    <w:rsid w:val="00FA4570"/>
    <w:rsid w:val="00FB1233"/>
    <w:rsid w:val="00FB2209"/>
    <w:rsid w:val="00FB3748"/>
    <w:rsid w:val="00FB5056"/>
    <w:rsid w:val="00FC015B"/>
    <w:rsid w:val="00FC019D"/>
    <w:rsid w:val="00FC19A6"/>
    <w:rsid w:val="00FC1AEB"/>
    <w:rsid w:val="00FC3C87"/>
    <w:rsid w:val="00FD0CB0"/>
    <w:rsid w:val="00FD1315"/>
    <w:rsid w:val="00FD19F3"/>
    <w:rsid w:val="00FD4349"/>
    <w:rsid w:val="00FD5FA5"/>
    <w:rsid w:val="00FD6342"/>
    <w:rsid w:val="00FD7BD8"/>
    <w:rsid w:val="00FE1536"/>
    <w:rsid w:val="00FE25EE"/>
    <w:rsid w:val="00FE4491"/>
    <w:rsid w:val="00FE5718"/>
    <w:rsid w:val="00FE68CD"/>
    <w:rsid w:val="00FF061A"/>
    <w:rsid w:val="00FF2137"/>
    <w:rsid w:val="00FF2D07"/>
    <w:rsid w:val="00FF3DA4"/>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caption" w:qFormat="1"/>
    <w:lsdException w:name="table of figures" w:uiPriority="0"/>
    <w:lsdException w:name="footnote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6D0BC5"/>
    <w:pPr>
      <w:keepNext w:val="0"/>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6D0BC5"/>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uiPriority w:val="99"/>
    <w:semiHidden/>
    <w:rsid w:val="009E79EC"/>
    <w:pPr>
      <w:spacing w:line="240" w:lineRule="atLeast"/>
    </w:pPr>
    <w:rPr>
      <w:sz w:val="18"/>
      <w:szCs w:val="18"/>
    </w:rPr>
  </w:style>
  <w:style w:type="character" w:customStyle="1" w:styleId="CommentTextChar">
    <w:name w:val="Comment Text Char"/>
    <w:basedOn w:val="DefaultParagraphFont"/>
    <w:link w:val="CommentText"/>
    <w:uiPriority w:val="99"/>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1171DE"/>
    <w:rPr>
      <w:rFonts w:ascii="Franklin Gothic Book" w:eastAsia="Times New Roman" w:hAnsi="Franklin Gothic Book" w:cs="Arial"/>
      <w:sz w:val="20"/>
      <w:szCs w:val="19"/>
    </w:rPr>
  </w:style>
  <w:style w:type="paragraph" w:styleId="FootnoteText">
    <w:name w:val="footnote text"/>
    <w:aliases w:val="Char Char,Char,ft,single space,footnote text,fn,Footnote Text Char Char Char Char,FOOTNOTES,Footnote Text Char1 Char,Footnote Text Char Char Char,Footnote Text Char1 Char1 Char Char,Footnote Text Char1 Char Char Char Char,C,ADB"/>
    <w:basedOn w:val="BodyText"/>
    <w:link w:val="FootnoteTextChar"/>
    <w:unhideWhenUsed/>
    <w:qFormat/>
    <w:rsid w:val="00DA7CB8"/>
    <w:pPr>
      <w:spacing w:after="0"/>
      <w:contextualSpacing/>
    </w:pPr>
    <w:rPr>
      <w:sz w:val="16"/>
      <w:szCs w:val="20"/>
    </w:rPr>
  </w:style>
  <w:style w:type="character" w:customStyle="1" w:styleId="FootnoteTextChar">
    <w:name w:val="Footnote Text Char"/>
    <w:aliases w:val="Char Char Char,Char Char1,ft Char,single space Char,footnote text Char,fn Char,Footnote Text Char Char Char Char Char,FOOTNOTES Char,Footnote Text Char1 Char Char,Footnote Text Char Char Char Char1,C Char,ADB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aliases w:val="ftref,(NECG) Footnote Reference,Ref,de nota al pie,footnote ref,FnR-ANZDEC,Fußnotenzeichen DISS,fr,16 Point,Superscript 6 Point,Footnote Ref in FtNote,SUPERS,Footnote text,BVI fnr"/>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1">
    <w:name w:val="APPR1"/>
    <w:basedOn w:val="TableNormal"/>
    <w:uiPriority w:val="99"/>
    <w:rsid w:val="007A31FA"/>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APPRHeading2">
    <w:name w:val="APPR Heading 2"/>
    <w:basedOn w:val="Normal"/>
    <w:next w:val="BodyText"/>
    <w:qFormat/>
    <w:rsid w:val="00C42B9B"/>
    <w:pPr>
      <w:keepNext/>
      <w:spacing w:before="360" w:after="120"/>
      <w:outlineLvl w:val="1"/>
    </w:pPr>
    <w:rPr>
      <w:rFonts w:ascii="Arial" w:eastAsia="Times New Roman" w:hAnsi="Arial" w:cs="Arial"/>
      <w:b/>
      <w:color w:val="AD495D"/>
      <w:kern w:val="28"/>
      <w:sz w:val="24"/>
      <w:szCs w:val="28"/>
    </w:rPr>
  </w:style>
  <w:style w:type="paragraph" w:customStyle="1" w:styleId="List-number-2">
    <w:name w:val="List-number-2"/>
    <w:basedOn w:val="Normal"/>
    <w:rsid w:val="000704B6"/>
    <w:pPr>
      <w:numPr>
        <w:ilvl w:val="1"/>
        <w:numId w:val="25"/>
      </w:numPr>
      <w:spacing w:before="60"/>
    </w:pPr>
    <w:rPr>
      <w:rFonts w:ascii="Arial" w:eastAsia="Times New Roman" w:hAnsi="Arial"/>
      <w:sz w:val="18"/>
      <w:lang w:eastAsia="en-US"/>
    </w:rPr>
  </w:style>
  <w:style w:type="paragraph" w:customStyle="1" w:styleId="List-number-1">
    <w:name w:val="List-number-1"/>
    <w:basedOn w:val="Normal"/>
    <w:link w:val="List-number-1CharChar"/>
    <w:rsid w:val="000704B6"/>
    <w:pPr>
      <w:numPr>
        <w:numId w:val="25"/>
      </w:numPr>
      <w:spacing w:before="160"/>
    </w:pPr>
    <w:rPr>
      <w:rFonts w:ascii="Arial" w:eastAsia="Times New Roman" w:hAnsi="Arial"/>
      <w:sz w:val="18"/>
      <w:lang w:eastAsia="en-US"/>
    </w:rPr>
  </w:style>
  <w:style w:type="character" w:customStyle="1" w:styleId="List-number-1CharChar">
    <w:name w:val="List-number-1 Char Char"/>
    <w:link w:val="List-number-1"/>
    <w:rsid w:val="000704B6"/>
    <w:rPr>
      <w:rFonts w:ascii="Arial" w:eastAsia="Times New Roman" w:hAnsi="Arial" w:cs="Times New Roman"/>
      <w:sz w:val="18"/>
      <w:szCs w:val="24"/>
      <w:lang w:eastAsia="en-US"/>
    </w:rPr>
  </w:style>
  <w:style w:type="paragraph" w:customStyle="1" w:styleId="Default">
    <w:name w:val="Default"/>
    <w:rsid w:val="00867D28"/>
    <w:pPr>
      <w:autoSpaceDE w:val="0"/>
      <w:autoSpaceDN w:val="0"/>
      <w:adjustRightInd w:val="0"/>
      <w:spacing w:after="0" w:line="240" w:lineRule="auto"/>
    </w:pPr>
    <w:rPr>
      <w:rFonts w:ascii="Calibri" w:eastAsia="Times New Roman" w:hAnsi="Calibri" w:cs="Calibri"/>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caption" w:qFormat="1"/>
    <w:lsdException w:name="table of figures" w:uiPriority="0"/>
    <w:lsdException w:name="footnote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6D0BC5"/>
    <w:pPr>
      <w:keepNext w:val="0"/>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6D0BC5"/>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uiPriority w:val="99"/>
    <w:semiHidden/>
    <w:rsid w:val="009E79EC"/>
    <w:pPr>
      <w:spacing w:line="240" w:lineRule="atLeast"/>
    </w:pPr>
    <w:rPr>
      <w:sz w:val="18"/>
      <w:szCs w:val="18"/>
    </w:rPr>
  </w:style>
  <w:style w:type="character" w:customStyle="1" w:styleId="CommentTextChar">
    <w:name w:val="Comment Text Char"/>
    <w:basedOn w:val="DefaultParagraphFont"/>
    <w:link w:val="CommentText"/>
    <w:uiPriority w:val="99"/>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1171DE"/>
    <w:rPr>
      <w:rFonts w:ascii="Franklin Gothic Book" w:eastAsia="Times New Roman" w:hAnsi="Franklin Gothic Book" w:cs="Arial"/>
      <w:sz w:val="20"/>
      <w:szCs w:val="19"/>
    </w:rPr>
  </w:style>
  <w:style w:type="paragraph" w:styleId="FootnoteText">
    <w:name w:val="footnote text"/>
    <w:aliases w:val="Char Char,Char,ft,single space,footnote text,fn,Footnote Text Char Char Char Char,FOOTNOTES,Footnote Text Char1 Char,Footnote Text Char Char Char,Footnote Text Char1 Char1 Char Char,Footnote Text Char1 Char Char Char Char,C,ADB"/>
    <w:basedOn w:val="BodyText"/>
    <w:link w:val="FootnoteTextChar"/>
    <w:unhideWhenUsed/>
    <w:qFormat/>
    <w:rsid w:val="00DA7CB8"/>
    <w:pPr>
      <w:spacing w:after="0"/>
      <w:contextualSpacing/>
    </w:pPr>
    <w:rPr>
      <w:sz w:val="16"/>
      <w:szCs w:val="20"/>
    </w:rPr>
  </w:style>
  <w:style w:type="character" w:customStyle="1" w:styleId="FootnoteTextChar">
    <w:name w:val="Footnote Text Char"/>
    <w:aliases w:val="Char Char Char,Char Char1,ft Char,single space Char,footnote text Char,fn Char,Footnote Text Char Char Char Char Char,FOOTNOTES Char,Footnote Text Char1 Char Char,Footnote Text Char Char Char Char1,C Char,ADB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aliases w:val="ftref,(NECG) Footnote Reference,Ref,de nota al pie,footnote ref,FnR-ANZDEC,Fußnotenzeichen DISS,fr,16 Point,Superscript 6 Point,Footnote Ref in FtNote,SUPERS,Footnote text,BVI fnr"/>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1">
    <w:name w:val="APPR1"/>
    <w:basedOn w:val="TableNormal"/>
    <w:uiPriority w:val="99"/>
    <w:rsid w:val="007A31FA"/>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APPRHeading2">
    <w:name w:val="APPR Heading 2"/>
    <w:basedOn w:val="Normal"/>
    <w:next w:val="BodyText"/>
    <w:qFormat/>
    <w:rsid w:val="00C42B9B"/>
    <w:pPr>
      <w:keepNext/>
      <w:spacing w:before="360" w:after="120"/>
      <w:outlineLvl w:val="1"/>
    </w:pPr>
    <w:rPr>
      <w:rFonts w:ascii="Arial" w:eastAsia="Times New Roman" w:hAnsi="Arial" w:cs="Arial"/>
      <w:b/>
      <w:color w:val="AD495D"/>
      <w:kern w:val="28"/>
      <w:sz w:val="24"/>
      <w:szCs w:val="28"/>
    </w:rPr>
  </w:style>
  <w:style w:type="paragraph" w:customStyle="1" w:styleId="List-number-2">
    <w:name w:val="List-number-2"/>
    <w:basedOn w:val="Normal"/>
    <w:rsid w:val="000704B6"/>
    <w:pPr>
      <w:numPr>
        <w:ilvl w:val="1"/>
        <w:numId w:val="25"/>
      </w:numPr>
      <w:spacing w:before="60"/>
    </w:pPr>
    <w:rPr>
      <w:rFonts w:ascii="Arial" w:eastAsia="Times New Roman" w:hAnsi="Arial"/>
      <w:sz w:val="18"/>
      <w:lang w:eastAsia="en-US"/>
    </w:rPr>
  </w:style>
  <w:style w:type="paragraph" w:customStyle="1" w:styleId="List-number-1">
    <w:name w:val="List-number-1"/>
    <w:basedOn w:val="Normal"/>
    <w:link w:val="List-number-1CharChar"/>
    <w:rsid w:val="000704B6"/>
    <w:pPr>
      <w:numPr>
        <w:numId w:val="25"/>
      </w:numPr>
      <w:spacing w:before="160"/>
    </w:pPr>
    <w:rPr>
      <w:rFonts w:ascii="Arial" w:eastAsia="Times New Roman" w:hAnsi="Arial"/>
      <w:sz w:val="18"/>
      <w:lang w:eastAsia="en-US"/>
    </w:rPr>
  </w:style>
  <w:style w:type="character" w:customStyle="1" w:styleId="List-number-1CharChar">
    <w:name w:val="List-number-1 Char Char"/>
    <w:link w:val="List-number-1"/>
    <w:rsid w:val="000704B6"/>
    <w:rPr>
      <w:rFonts w:ascii="Arial" w:eastAsia="Times New Roman" w:hAnsi="Arial" w:cs="Times New Roman"/>
      <w:sz w:val="18"/>
      <w:szCs w:val="24"/>
      <w:lang w:eastAsia="en-US"/>
    </w:rPr>
  </w:style>
  <w:style w:type="paragraph" w:customStyle="1" w:styleId="Default">
    <w:name w:val="Default"/>
    <w:rsid w:val="00867D28"/>
    <w:pPr>
      <w:autoSpaceDE w:val="0"/>
      <w:autoSpaceDN w:val="0"/>
      <w:adjustRightInd w:val="0"/>
      <w:spacing w:after="0" w:line="240" w:lineRule="auto"/>
    </w:pPr>
    <w:rPr>
      <w:rFonts w:ascii="Calibri" w:eastAsia="Times New Roman"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301273644">
      <w:bodyDiv w:val="1"/>
      <w:marLeft w:val="0"/>
      <w:marRight w:val="0"/>
      <w:marTop w:val="0"/>
      <w:marBottom w:val="0"/>
      <w:divBdr>
        <w:top w:val="none" w:sz="0" w:space="0" w:color="auto"/>
        <w:left w:val="none" w:sz="0" w:space="0" w:color="auto"/>
        <w:bottom w:val="none" w:sz="0" w:space="0" w:color="auto"/>
        <w:right w:val="none" w:sz="0" w:space="0" w:color="auto"/>
      </w:divBdr>
    </w:div>
    <w:div w:id="341320306">
      <w:bodyDiv w:val="1"/>
      <w:marLeft w:val="0"/>
      <w:marRight w:val="0"/>
      <w:marTop w:val="0"/>
      <w:marBottom w:val="0"/>
      <w:divBdr>
        <w:top w:val="none" w:sz="0" w:space="0" w:color="auto"/>
        <w:left w:val="none" w:sz="0" w:space="0" w:color="auto"/>
        <w:bottom w:val="none" w:sz="0" w:space="0" w:color="auto"/>
        <w:right w:val="none" w:sz="0" w:space="0" w:color="auto"/>
      </w:divBdr>
    </w:div>
    <w:div w:id="407651341">
      <w:bodyDiv w:val="1"/>
      <w:marLeft w:val="0"/>
      <w:marRight w:val="0"/>
      <w:marTop w:val="0"/>
      <w:marBottom w:val="0"/>
      <w:divBdr>
        <w:top w:val="none" w:sz="0" w:space="0" w:color="auto"/>
        <w:left w:val="none" w:sz="0" w:space="0" w:color="auto"/>
        <w:bottom w:val="none" w:sz="0" w:space="0" w:color="auto"/>
        <w:right w:val="none" w:sz="0" w:space="0" w:color="auto"/>
      </w:divBdr>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510030440">
      <w:bodyDiv w:val="1"/>
      <w:marLeft w:val="0"/>
      <w:marRight w:val="0"/>
      <w:marTop w:val="0"/>
      <w:marBottom w:val="0"/>
      <w:divBdr>
        <w:top w:val="none" w:sz="0" w:space="0" w:color="auto"/>
        <w:left w:val="none" w:sz="0" w:space="0" w:color="auto"/>
        <w:bottom w:val="none" w:sz="0" w:space="0" w:color="auto"/>
        <w:right w:val="none" w:sz="0" w:space="0" w:color="auto"/>
      </w:divBdr>
    </w:div>
    <w:div w:id="688213475">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565607357">
      <w:bodyDiv w:val="1"/>
      <w:marLeft w:val="0"/>
      <w:marRight w:val="0"/>
      <w:marTop w:val="0"/>
      <w:marBottom w:val="0"/>
      <w:divBdr>
        <w:top w:val="none" w:sz="0" w:space="0" w:color="auto"/>
        <w:left w:val="none" w:sz="0" w:space="0" w:color="auto"/>
        <w:bottom w:val="none" w:sz="0" w:space="0" w:color="auto"/>
        <w:right w:val="none" w:sz="0" w:space="0" w:color="auto"/>
      </w:divBdr>
    </w:div>
    <w:div w:id="1585911968">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4926644">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customXml" Target="../customXml/item2.xml"/></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626A61-5166-4051-A2B3-0D777138B0A6}"/>
</file>

<file path=customXml/itemProps2.xml><?xml version="1.0" encoding="utf-8"?>
<ds:datastoreItem xmlns:ds="http://schemas.openxmlformats.org/officeDocument/2006/customXml" ds:itemID="{EB129535-0DE1-4287-8244-8EB5601CAFC3}"/>
</file>

<file path=customXml/itemProps3.xml><?xml version="1.0" encoding="utf-8"?>
<ds:datastoreItem xmlns:ds="http://schemas.openxmlformats.org/officeDocument/2006/customXml" ds:itemID="{89690C40-FA42-43A5-955C-09EEA0A96BD7}"/>
</file>

<file path=customXml/itemProps4.xml><?xml version="1.0" encoding="utf-8"?>
<ds:datastoreItem xmlns:ds="http://schemas.openxmlformats.org/officeDocument/2006/customXml" ds:itemID="{E912968C-C78F-4568-8D1E-7F7C5CB8E74B}"/>
</file>

<file path=docProps/app.xml><?xml version="1.0" encoding="utf-8"?>
<Properties xmlns="http://schemas.openxmlformats.org/officeDocument/2006/extended-properties" xmlns:vt="http://schemas.openxmlformats.org/officeDocument/2006/docPropsVTypes">
  <Template>24CF607E</Template>
  <TotalTime>0</TotalTime>
  <Pages>26</Pages>
  <Words>10085</Words>
  <Characters>57488</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2014-10-28T23:19:00Z</dcterms:created>
  <dcterms:modified xsi:type="dcterms:W3CDTF">2014-10-28T23:19:00Z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905700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