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65B" w:rsidRPr="009201BE" w:rsidRDefault="008558F6" w:rsidP="00FC2D35">
      <w:pPr>
        <w:pStyle w:val="Title"/>
        <w:ind w:right="-702"/>
        <w:rPr>
          <w:color w:val="AD495D"/>
        </w:rPr>
      </w:pPr>
      <w:r>
        <w:rPr>
          <w:noProof/>
          <w:color w:val="AD495D"/>
          <w:lang w:val="en-US" w:eastAsia="en-US"/>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0310" cy="3024505"/>
            <wp:effectExtent l="0" t="0" r="2540" b="4445"/>
            <wp:wrapNone/>
            <wp:docPr id="1198" name="Picture 1198" descr="Australian Government, Aus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descr="Australian Government, AusAID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3024505"/>
                    </a:xfrm>
                    <a:prstGeom prst="rect">
                      <a:avLst/>
                    </a:prstGeom>
                    <a:noFill/>
                    <a:ln>
                      <a:noFill/>
                    </a:ln>
                  </pic:spPr>
                </pic:pic>
              </a:graphicData>
            </a:graphic>
            <wp14:sizeRelH relativeFrom="page">
              <wp14:pctWidth>0</wp14:pctWidth>
            </wp14:sizeRelH>
            <wp14:sizeRelV relativeFrom="page">
              <wp14:pctHeight>0</wp14:pctHeight>
            </wp14:sizeRelV>
          </wp:anchor>
        </w:drawing>
      </w:r>
      <w:r w:rsidR="0045354B">
        <w:rPr>
          <w:color w:val="AD495D"/>
        </w:rPr>
        <w:t xml:space="preserve">Lao PDR </w:t>
      </w:r>
      <w:r w:rsidR="0035177E">
        <w:rPr>
          <w:color w:val="AD495D"/>
        </w:rPr>
        <w:t>Development Cooperation Report 2010</w:t>
      </w:r>
    </w:p>
    <w:p w:rsidR="0094365B" w:rsidRPr="009201BE" w:rsidRDefault="00FB6A3F">
      <w:pPr>
        <w:pStyle w:val="Date"/>
        <w:rPr>
          <w:color w:val="AD495D"/>
        </w:rPr>
      </w:pPr>
      <w:r>
        <w:rPr>
          <w:color w:val="AD495D"/>
        </w:rPr>
        <w:t>Ju</w:t>
      </w:r>
      <w:r w:rsidR="0045354B">
        <w:rPr>
          <w:color w:val="AD495D"/>
        </w:rPr>
        <w:t>ne</w:t>
      </w:r>
      <w:r w:rsidR="0035177E">
        <w:rPr>
          <w:color w:val="AD495D"/>
        </w:rPr>
        <w:t xml:space="preserve"> 2011</w:t>
      </w:r>
    </w:p>
    <w:p w:rsidR="00992DE5" w:rsidRDefault="00992DE5">
      <w:pPr>
        <w:pStyle w:val="TOCHeading"/>
      </w:pPr>
      <w:r>
        <w:t>Contents</w:t>
      </w:r>
    </w:p>
    <w:p w:rsidR="00992DE5" w:rsidRDefault="00992DE5">
      <w:pPr>
        <w:pStyle w:val="TOC1"/>
        <w:rPr>
          <w:rFonts w:ascii="Calibri" w:hAnsi="Calibri" w:cs="Arial"/>
          <w:noProof/>
          <w:color w:val="auto"/>
          <w:sz w:val="22"/>
          <w:szCs w:val="22"/>
          <w:lang w:val="en-US" w:eastAsia="en-US"/>
        </w:rPr>
      </w:pPr>
      <w:r>
        <w:fldChar w:fldCharType="begin"/>
      </w:r>
      <w:r>
        <w:instrText xml:space="preserve"> TOC \o "1-3" \h \z \u </w:instrText>
      </w:r>
      <w:r>
        <w:fldChar w:fldCharType="separate"/>
      </w:r>
      <w:hyperlink w:anchor="_Toc360989274" w:history="1">
        <w:r w:rsidRPr="00614CC7">
          <w:rPr>
            <w:rStyle w:val="Hyperlink"/>
            <w:noProof/>
          </w:rPr>
          <w:t>Context</w:t>
        </w:r>
        <w:r>
          <w:rPr>
            <w:noProof/>
            <w:webHidden/>
          </w:rPr>
          <w:tab/>
        </w:r>
        <w:r>
          <w:rPr>
            <w:noProof/>
            <w:webHidden/>
          </w:rPr>
          <w:fldChar w:fldCharType="begin"/>
        </w:r>
        <w:r>
          <w:rPr>
            <w:noProof/>
            <w:webHidden/>
          </w:rPr>
          <w:instrText xml:space="preserve"> PAGEREF _Toc360989274 \h </w:instrText>
        </w:r>
        <w:r>
          <w:rPr>
            <w:noProof/>
            <w:webHidden/>
          </w:rPr>
        </w:r>
        <w:r>
          <w:rPr>
            <w:noProof/>
            <w:webHidden/>
          </w:rPr>
          <w:fldChar w:fldCharType="separate"/>
        </w:r>
        <w:r>
          <w:rPr>
            <w:noProof/>
            <w:webHidden/>
          </w:rPr>
          <w:t>1</w:t>
        </w:r>
        <w:r>
          <w:rPr>
            <w:noProof/>
            <w:webHidden/>
          </w:rPr>
          <w:fldChar w:fldCharType="end"/>
        </w:r>
      </w:hyperlink>
    </w:p>
    <w:p w:rsidR="00992DE5" w:rsidRDefault="00FC2D35">
      <w:pPr>
        <w:pStyle w:val="TOC2"/>
        <w:rPr>
          <w:rFonts w:ascii="Calibri" w:hAnsi="Calibri" w:cs="Arial"/>
          <w:noProof/>
          <w:color w:val="auto"/>
          <w:sz w:val="22"/>
          <w:szCs w:val="22"/>
          <w:lang w:val="en-US" w:eastAsia="en-US"/>
        </w:rPr>
      </w:pPr>
      <w:hyperlink w:anchor="_Toc360989275" w:history="1">
        <w:r w:rsidR="00992DE5" w:rsidRPr="00614CC7">
          <w:rPr>
            <w:rStyle w:val="Hyperlink"/>
            <w:noProof/>
          </w:rPr>
          <w:t>National planning</w:t>
        </w:r>
        <w:r w:rsidR="00992DE5">
          <w:rPr>
            <w:noProof/>
            <w:webHidden/>
          </w:rPr>
          <w:tab/>
        </w:r>
        <w:r w:rsidR="00992DE5">
          <w:rPr>
            <w:noProof/>
            <w:webHidden/>
          </w:rPr>
          <w:fldChar w:fldCharType="begin"/>
        </w:r>
        <w:r w:rsidR="00992DE5">
          <w:rPr>
            <w:noProof/>
            <w:webHidden/>
          </w:rPr>
          <w:instrText xml:space="preserve"> PAGEREF _Toc360989275 \h </w:instrText>
        </w:r>
        <w:r w:rsidR="00992DE5">
          <w:rPr>
            <w:noProof/>
            <w:webHidden/>
          </w:rPr>
        </w:r>
        <w:r w:rsidR="00992DE5">
          <w:rPr>
            <w:noProof/>
            <w:webHidden/>
          </w:rPr>
          <w:fldChar w:fldCharType="separate"/>
        </w:r>
        <w:r w:rsidR="00992DE5">
          <w:rPr>
            <w:noProof/>
            <w:webHidden/>
          </w:rPr>
          <w:t>2</w:t>
        </w:r>
        <w:r w:rsidR="00992DE5">
          <w:rPr>
            <w:noProof/>
            <w:webHidden/>
          </w:rPr>
          <w:fldChar w:fldCharType="end"/>
        </w:r>
      </w:hyperlink>
    </w:p>
    <w:p w:rsidR="00992DE5" w:rsidRDefault="00FC2D35">
      <w:pPr>
        <w:pStyle w:val="TOC2"/>
        <w:rPr>
          <w:rFonts w:ascii="Calibri" w:hAnsi="Calibri" w:cs="Arial"/>
          <w:noProof/>
          <w:color w:val="auto"/>
          <w:sz w:val="22"/>
          <w:szCs w:val="22"/>
          <w:lang w:val="en-US" w:eastAsia="en-US"/>
        </w:rPr>
      </w:pPr>
      <w:hyperlink w:anchor="_Toc360989276" w:history="1">
        <w:r w:rsidR="00992DE5" w:rsidRPr="00614CC7">
          <w:rPr>
            <w:rStyle w:val="Hyperlink"/>
            <w:noProof/>
          </w:rPr>
          <w:t>Sustainable and equitable growth</w:t>
        </w:r>
        <w:r w:rsidR="00992DE5">
          <w:rPr>
            <w:noProof/>
            <w:webHidden/>
          </w:rPr>
          <w:tab/>
        </w:r>
        <w:r w:rsidR="00992DE5">
          <w:rPr>
            <w:noProof/>
            <w:webHidden/>
          </w:rPr>
          <w:fldChar w:fldCharType="begin"/>
        </w:r>
        <w:r w:rsidR="00992DE5">
          <w:rPr>
            <w:noProof/>
            <w:webHidden/>
          </w:rPr>
          <w:instrText xml:space="preserve"> PAGEREF _Toc360989276 \h </w:instrText>
        </w:r>
        <w:r w:rsidR="00992DE5">
          <w:rPr>
            <w:noProof/>
            <w:webHidden/>
          </w:rPr>
        </w:r>
        <w:r w:rsidR="00992DE5">
          <w:rPr>
            <w:noProof/>
            <w:webHidden/>
          </w:rPr>
          <w:fldChar w:fldCharType="separate"/>
        </w:r>
        <w:r w:rsidR="00992DE5">
          <w:rPr>
            <w:noProof/>
            <w:webHidden/>
          </w:rPr>
          <w:t>2</w:t>
        </w:r>
        <w:r w:rsidR="00992DE5">
          <w:rPr>
            <w:noProof/>
            <w:webHidden/>
          </w:rPr>
          <w:fldChar w:fldCharType="end"/>
        </w:r>
      </w:hyperlink>
    </w:p>
    <w:p w:rsidR="00992DE5" w:rsidRDefault="00FC2D35">
      <w:pPr>
        <w:pStyle w:val="TOC1"/>
        <w:rPr>
          <w:rFonts w:ascii="Calibri" w:hAnsi="Calibri" w:cs="Arial"/>
          <w:noProof/>
          <w:color w:val="auto"/>
          <w:sz w:val="22"/>
          <w:szCs w:val="22"/>
          <w:lang w:val="en-US" w:eastAsia="en-US"/>
        </w:rPr>
      </w:pPr>
      <w:hyperlink w:anchor="_Toc360989277" w:history="1">
        <w:r w:rsidR="00992DE5" w:rsidRPr="00614CC7">
          <w:rPr>
            <w:rStyle w:val="Hyperlink"/>
            <w:noProof/>
          </w:rPr>
          <w:t>Program objectives</w:t>
        </w:r>
        <w:r w:rsidR="00992DE5">
          <w:rPr>
            <w:noProof/>
            <w:webHidden/>
          </w:rPr>
          <w:tab/>
        </w:r>
        <w:r w:rsidR="00992DE5">
          <w:rPr>
            <w:noProof/>
            <w:webHidden/>
          </w:rPr>
          <w:fldChar w:fldCharType="begin"/>
        </w:r>
        <w:r w:rsidR="00992DE5">
          <w:rPr>
            <w:noProof/>
            <w:webHidden/>
          </w:rPr>
          <w:instrText xml:space="preserve"> PAGEREF _Toc360989277 \h </w:instrText>
        </w:r>
        <w:r w:rsidR="00992DE5">
          <w:rPr>
            <w:noProof/>
            <w:webHidden/>
          </w:rPr>
        </w:r>
        <w:r w:rsidR="00992DE5">
          <w:rPr>
            <w:noProof/>
            <w:webHidden/>
          </w:rPr>
          <w:fldChar w:fldCharType="separate"/>
        </w:r>
        <w:r w:rsidR="00992DE5">
          <w:rPr>
            <w:noProof/>
            <w:webHidden/>
          </w:rPr>
          <w:t>3</w:t>
        </w:r>
        <w:r w:rsidR="00992DE5">
          <w:rPr>
            <w:noProof/>
            <w:webHidden/>
          </w:rPr>
          <w:fldChar w:fldCharType="end"/>
        </w:r>
      </w:hyperlink>
    </w:p>
    <w:p w:rsidR="00992DE5" w:rsidRDefault="00FC2D35">
      <w:pPr>
        <w:pStyle w:val="TOC1"/>
        <w:rPr>
          <w:rFonts w:ascii="Calibri" w:hAnsi="Calibri" w:cs="Arial"/>
          <w:noProof/>
          <w:color w:val="auto"/>
          <w:sz w:val="22"/>
          <w:szCs w:val="22"/>
          <w:lang w:val="en-US" w:eastAsia="en-US"/>
        </w:rPr>
      </w:pPr>
      <w:hyperlink w:anchor="_Toc360989278" w:history="1">
        <w:r w:rsidR="00992DE5" w:rsidRPr="00614CC7">
          <w:rPr>
            <w:rStyle w:val="Hyperlink"/>
            <w:noProof/>
          </w:rPr>
          <w:t>Progress against objectives</w:t>
        </w:r>
        <w:r w:rsidR="00992DE5">
          <w:rPr>
            <w:noProof/>
            <w:webHidden/>
          </w:rPr>
          <w:tab/>
        </w:r>
        <w:r w:rsidR="00992DE5">
          <w:rPr>
            <w:noProof/>
            <w:webHidden/>
          </w:rPr>
          <w:fldChar w:fldCharType="begin"/>
        </w:r>
        <w:r w:rsidR="00992DE5">
          <w:rPr>
            <w:noProof/>
            <w:webHidden/>
          </w:rPr>
          <w:instrText xml:space="preserve"> PAGEREF _Toc360989278 \h </w:instrText>
        </w:r>
        <w:r w:rsidR="00992DE5">
          <w:rPr>
            <w:noProof/>
            <w:webHidden/>
          </w:rPr>
        </w:r>
        <w:r w:rsidR="00992DE5">
          <w:rPr>
            <w:noProof/>
            <w:webHidden/>
          </w:rPr>
          <w:fldChar w:fldCharType="separate"/>
        </w:r>
        <w:r w:rsidR="00992DE5">
          <w:rPr>
            <w:noProof/>
            <w:webHidden/>
          </w:rPr>
          <w:t>3</w:t>
        </w:r>
        <w:r w:rsidR="00992DE5">
          <w:rPr>
            <w:noProof/>
            <w:webHidden/>
          </w:rPr>
          <w:fldChar w:fldCharType="end"/>
        </w:r>
      </w:hyperlink>
    </w:p>
    <w:p w:rsidR="00992DE5" w:rsidRDefault="00FC2D35">
      <w:pPr>
        <w:pStyle w:val="TOC2"/>
        <w:rPr>
          <w:rFonts w:ascii="Calibri" w:hAnsi="Calibri" w:cs="Arial"/>
          <w:noProof/>
          <w:color w:val="auto"/>
          <w:sz w:val="22"/>
          <w:szCs w:val="22"/>
          <w:lang w:val="en-US" w:eastAsia="en-US"/>
        </w:rPr>
      </w:pPr>
      <w:hyperlink w:anchor="_Toc360989279" w:history="1">
        <w:r w:rsidR="00992DE5" w:rsidRPr="00614CC7">
          <w:rPr>
            <w:rStyle w:val="Hyperlink"/>
            <w:noProof/>
          </w:rPr>
          <w:t>Education—Lao PDR development outcome:  All boys and girls complete a full course of primary education</w:t>
        </w:r>
        <w:r w:rsidR="00992DE5">
          <w:rPr>
            <w:noProof/>
            <w:webHidden/>
          </w:rPr>
          <w:tab/>
        </w:r>
        <w:r w:rsidR="00992DE5">
          <w:rPr>
            <w:noProof/>
            <w:webHidden/>
          </w:rPr>
          <w:fldChar w:fldCharType="begin"/>
        </w:r>
        <w:r w:rsidR="00992DE5">
          <w:rPr>
            <w:noProof/>
            <w:webHidden/>
          </w:rPr>
          <w:instrText xml:space="preserve"> PAGEREF _Toc360989279 \h </w:instrText>
        </w:r>
        <w:r w:rsidR="00992DE5">
          <w:rPr>
            <w:noProof/>
            <w:webHidden/>
          </w:rPr>
        </w:r>
        <w:r w:rsidR="00992DE5">
          <w:rPr>
            <w:noProof/>
            <w:webHidden/>
          </w:rPr>
          <w:fldChar w:fldCharType="separate"/>
        </w:r>
        <w:r w:rsidR="00992DE5">
          <w:rPr>
            <w:noProof/>
            <w:webHidden/>
          </w:rPr>
          <w:t>4</w:t>
        </w:r>
        <w:r w:rsidR="00992DE5">
          <w:rPr>
            <w:noProof/>
            <w:webHidden/>
          </w:rPr>
          <w:fldChar w:fldCharType="end"/>
        </w:r>
      </w:hyperlink>
    </w:p>
    <w:p w:rsidR="00992DE5" w:rsidRDefault="00FC2D35">
      <w:pPr>
        <w:pStyle w:val="TOC2"/>
        <w:rPr>
          <w:rFonts w:ascii="Calibri" w:hAnsi="Calibri" w:cs="Arial"/>
          <w:noProof/>
          <w:color w:val="auto"/>
          <w:sz w:val="22"/>
          <w:szCs w:val="22"/>
          <w:lang w:val="en-US" w:eastAsia="en-US"/>
        </w:rPr>
      </w:pPr>
      <w:hyperlink w:anchor="_Toc360989280" w:history="1">
        <w:r w:rsidR="00992DE5" w:rsidRPr="00614CC7">
          <w:rPr>
            <w:rStyle w:val="Hyperlink"/>
            <w:noProof/>
          </w:rPr>
          <w:t>Objective 1: Mitigation of key constraints to equitable access to a basic quality education in targeted poor geographic areas</w:t>
        </w:r>
        <w:r w:rsidR="00992DE5">
          <w:rPr>
            <w:noProof/>
            <w:webHidden/>
          </w:rPr>
          <w:tab/>
        </w:r>
        <w:r w:rsidR="00992DE5">
          <w:rPr>
            <w:noProof/>
            <w:webHidden/>
          </w:rPr>
          <w:fldChar w:fldCharType="begin"/>
        </w:r>
        <w:r w:rsidR="00992DE5">
          <w:rPr>
            <w:noProof/>
            <w:webHidden/>
          </w:rPr>
          <w:instrText xml:space="preserve"> PAGEREF _Toc360989280 \h </w:instrText>
        </w:r>
        <w:r w:rsidR="00992DE5">
          <w:rPr>
            <w:noProof/>
            <w:webHidden/>
          </w:rPr>
        </w:r>
        <w:r w:rsidR="00992DE5">
          <w:rPr>
            <w:noProof/>
            <w:webHidden/>
          </w:rPr>
          <w:fldChar w:fldCharType="separate"/>
        </w:r>
        <w:r w:rsidR="00992DE5">
          <w:rPr>
            <w:noProof/>
            <w:webHidden/>
          </w:rPr>
          <w:t>5</w:t>
        </w:r>
        <w:r w:rsidR="00992DE5">
          <w:rPr>
            <w:noProof/>
            <w:webHidden/>
          </w:rPr>
          <w:fldChar w:fldCharType="end"/>
        </w:r>
      </w:hyperlink>
    </w:p>
    <w:p w:rsidR="00992DE5" w:rsidRDefault="00FC2D35">
      <w:pPr>
        <w:pStyle w:val="TOC2"/>
        <w:rPr>
          <w:rFonts w:ascii="Calibri" w:hAnsi="Calibri" w:cs="Arial"/>
          <w:noProof/>
          <w:color w:val="auto"/>
          <w:sz w:val="22"/>
          <w:szCs w:val="22"/>
          <w:lang w:val="en-US" w:eastAsia="en-US"/>
        </w:rPr>
      </w:pPr>
      <w:hyperlink w:anchor="_Toc360989281" w:history="1">
        <w:r w:rsidR="00992DE5" w:rsidRPr="00614CC7">
          <w:rPr>
            <w:rStyle w:val="Hyperlink"/>
            <w:noProof/>
          </w:rPr>
          <w:t>Objective 2: Better management of Government of Laos and donor resources available to the education sector through implementation of a jointly agreed 10-year education sector framework</w:t>
        </w:r>
        <w:r w:rsidR="00992DE5">
          <w:rPr>
            <w:noProof/>
            <w:webHidden/>
          </w:rPr>
          <w:tab/>
        </w:r>
        <w:r w:rsidR="00992DE5">
          <w:rPr>
            <w:noProof/>
            <w:webHidden/>
          </w:rPr>
          <w:fldChar w:fldCharType="begin"/>
        </w:r>
        <w:r w:rsidR="00992DE5">
          <w:rPr>
            <w:noProof/>
            <w:webHidden/>
          </w:rPr>
          <w:instrText xml:space="preserve"> PAGEREF _Toc360989281 \h </w:instrText>
        </w:r>
        <w:r w:rsidR="00992DE5">
          <w:rPr>
            <w:noProof/>
            <w:webHidden/>
          </w:rPr>
        </w:r>
        <w:r w:rsidR="00992DE5">
          <w:rPr>
            <w:noProof/>
            <w:webHidden/>
          </w:rPr>
          <w:fldChar w:fldCharType="separate"/>
        </w:r>
        <w:r w:rsidR="00992DE5">
          <w:rPr>
            <w:noProof/>
            <w:webHidden/>
          </w:rPr>
          <w:t>6</w:t>
        </w:r>
        <w:r w:rsidR="00992DE5">
          <w:rPr>
            <w:noProof/>
            <w:webHidden/>
          </w:rPr>
          <w:fldChar w:fldCharType="end"/>
        </w:r>
      </w:hyperlink>
    </w:p>
    <w:p w:rsidR="00992DE5" w:rsidRDefault="00FC2D35">
      <w:pPr>
        <w:pStyle w:val="TOC2"/>
        <w:rPr>
          <w:rFonts w:ascii="Calibri" w:hAnsi="Calibri" w:cs="Arial"/>
          <w:noProof/>
          <w:color w:val="auto"/>
          <w:sz w:val="22"/>
          <w:szCs w:val="22"/>
          <w:lang w:val="en-US" w:eastAsia="en-US"/>
        </w:rPr>
      </w:pPr>
      <w:hyperlink w:anchor="_Toc360989282" w:history="1">
        <w:r w:rsidR="00992DE5" w:rsidRPr="00614CC7">
          <w:rPr>
            <w:rStyle w:val="Hyperlink"/>
            <w:noProof/>
          </w:rPr>
          <w:t>Trade and investment—Lao PDR development outcome:  Increased trade and investment in sectors which support poverty reduction</w:t>
        </w:r>
        <w:r w:rsidR="00992DE5">
          <w:rPr>
            <w:noProof/>
            <w:webHidden/>
          </w:rPr>
          <w:tab/>
        </w:r>
        <w:r w:rsidR="00992DE5">
          <w:rPr>
            <w:noProof/>
            <w:webHidden/>
          </w:rPr>
          <w:fldChar w:fldCharType="begin"/>
        </w:r>
        <w:r w:rsidR="00992DE5">
          <w:rPr>
            <w:noProof/>
            <w:webHidden/>
          </w:rPr>
          <w:instrText xml:space="preserve"> PAGEREF _Toc360989282 \h </w:instrText>
        </w:r>
        <w:r w:rsidR="00992DE5">
          <w:rPr>
            <w:noProof/>
            <w:webHidden/>
          </w:rPr>
        </w:r>
        <w:r w:rsidR="00992DE5">
          <w:rPr>
            <w:noProof/>
            <w:webHidden/>
          </w:rPr>
          <w:fldChar w:fldCharType="separate"/>
        </w:r>
        <w:r w:rsidR="00992DE5">
          <w:rPr>
            <w:noProof/>
            <w:webHidden/>
          </w:rPr>
          <w:t>7</w:t>
        </w:r>
        <w:r w:rsidR="00992DE5">
          <w:rPr>
            <w:noProof/>
            <w:webHidden/>
          </w:rPr>
          <w:fldChar w:fldCharType="end"/>
        </w:r>
      </w:hyperlink>
    </w:p>
    <w:p w:rsidR="00992DE5" w:rsidRDefault="00FC2D35">
      <w:pPr>
        <w:pStyle w:val="TOC2"/>
        <w:rPr>
          <w:rFonts w:ascii="Calibri" w:hAnsi="Calibri" w:cs="Arial"/>
          <w:noProof/>
          <w:color w:val="auto"/>
          <w:sz w:val="22"/>
          <w:szCs w:val="22"/>
          <w:lang w:val="en-US" w:eastAsia="en-US"/>
        </w:rPr>
      </w:pPr>
      <w:hyperlink w:anchor="_Toc360989283" w:history="1">
        <w:r w:rsidR="00992DE5" w:rsidRPr="00614CC7">
          <w:rPr>
            <w:rStyle w:val="Hyperlink"/>
            <w:noProof/>
          </w:rPr>
          <w:t>Objective 3: Policy and institutional impediments to trade and investment addressed in sectors that contribute to inclusive growth</w:t>
        </w:r>
        <w:r w:rsidR="00992DE5">
          <w:rPr>
            <w:noProof/>
            <w:webHidden/>
          </w:rPr>
          <w:tab/>
        </w:r>
        <w:r w:rsidR="00992DE5">
          <w:rPr>
            <w:noProof/>
            <w:webHidden/>
          </w:rPr>
          <w:fldChar w:fldCharType="begin"/>
        </w:r>
        <w:r w:rsidR="00992DE5">
          <w:rPr>
            <w:noProof/>
            <w:webHidden/>
          </w:rPr>
          <w:instrText xml:space="preserve"> PAGEREF _Toc360989283 \h </w:instrText>
        </w:r>
        <w:r w:rsidR="00992DE5">
          <w:rPr>
            <w:noProof/>
            <w:webHidden/>
          </w:rPr>
        </w:r>
        <w:r w:rsidR="00992DE5">
          <w:rPr>
            <w:noProof/>
            <w:webHidden/>
          </w:rPr>
          <w:fldChar w:fldCharType="separate"/>
        </w:r>
        <w:r w:rsidR="00992DE5">
          <w:rPr>
            <w:noProof/>
            <w:webHidden/>
          </w:rPr>
          <w:t>8</w:t>
        </w:r>
        <w:r w:rsidR="00992DE5">
          <w:rPr>
            <w:noProof/>
            <w:webHidden/>
          </w:rPr>
          <w:fldChar w:fldCharType="end"/>
        </w:r>
      </w:hyperlink>
    </w:p>
    <w:p w:rsidR="00992DE5" w:rsidRDefault="00FC2D35">
      <w:pPr>
        <w:pStyle w:val="TOC2"/>
        <w:rPr>
          <w:rFonts w:ascii="Calibri" w:hAnsi="Calibri" w:cs="Arial"/>
          <w:noProof/>
          <w:color w:val="auto"/>
          <w:sz w:val="22"/>
          <w:szCs w:val="22"/>
          <w:lang w:val="en-US" w:eastAsia="en-US"/>
        </w:rPr>
      </w:pPr>
      <w:hyperlink w:anchor="_Toc360989284" w:history="1">
        <w:r w:rsidR="00992DE5" w:rsidRPr="00614CC7">
          <w:rPr>
            <w:rStyle w:val="Hyperlink"/>
            <w:noProof/>
          </w:rPr>
          <w:t>Rural development—Lao PDR development outcome:  Less than one quarter of the population living below the poverty line</w:t>
        </w:r>
        <w:r w:rsidR="00992DE5">
          <w:rPr>
            <w:noProof/>
            <w:webHidden/>
          </w:rPr>
          <w:tab/>
        </w:r>
        <w:r w:rsidR="00992DE5">
          <w:rPr>
            <w:noProof/>
            <w:webHidden/>
          </w:rPr>
          <w:fldChar w:fldCharType="begin"/>
        </w:r>
        <w:r w:rsidR="00992DE5">
          <w:rPr>
            <w:noProof/>
            <w:webHidden/>
          </w:rPr>
          <w:instrText xml:space="preserve"> PAGEREF _Toc360989284 \h </w:instrText>
        </w:r>
        <w:r w:rsidR="00992DE5">
          <w:rPr>
            <w:noProof/>
            <w:webHidden/>
          </w:rPr>
        </w:r>
        <w:r w:rsidR="00992DE5">
          <w:rPr>
            <w:noProof/>
            <w:webHidden/>
          </w:rPr>
          <w:fldChar w:fldCharType="separate"/>
        </w:r>
        <w:r w:rsidR="00992DE5">
          <w:rPr>
            <w:noProof/>
            <w:webHidden/>
          </w:rPr>
          <w:t>9</w:t>
        </w:r>
        <w:r w:rsidR="00992DE5">
          <w:rPr>
            <w:noProof/>
            <w:webHidden/>
          </w:rPr>
          <w:fldChar w:fldCharType="end"/>
        </w:r>
      </w:hyperlink>
    </w:p>
    <w:p w:rsidR="00992DE5" w:rsidRDefault="00FC2D35">
      <w:pPr>
        <w:pStyle w:val="TOC2"/>
        <w:rPr>
          <w:rFonts w:ascii="Calibri" w:hAnsi="Calibri" w:cs="Arial"/>
          <w:noProof/>
          <w:color w:val="auto"/>
          <w:sz w:val="22"/>
          <w:szCs w:val="22"/>
          <w:lang w:val="en-US" w:eastAsia="en-US"/>
        </w:rPr>
      </w:pPr>
      <w:hyperlink w:anchor="_Toc360989285" w:history="1">
        <w:r w:rsidR="00992DE5" w:rsidRPr="00614CC7">
          <w:rPr>
            <w:rStyle w:val="Hyperlink"/>
            <w:noProof/>
          </w:rPr>
          <w:t>Objective 4: Delivery and modelling of effective programs that result in equitable and sustainable improvements to livelihoods in targeted geographic areas</w:t>
        </w:r>
        <w:r w:rsidR="00992DE5">
          <w:rPr>
            <w:noProof/>
            <w:webHidden/>
          </w:rPr>
          <w:tab/>
        </w:r>
        <w:r w:rsidR="00992DE5">
          <w:rPr>
            <w:noProof/>
            <w:webHidden/>
          </w:rPr>
          <w:fldChar w:fldCharType="begin"/>
        </w:r>
        <w:r w:rsidR="00992DE5">
          <w:rPr>
            <w:noProof/>
            <w:webHidden/>
          </w:rPr>
          <w:instrText xml:space="preserve"> PAGEREF _Toc360989285 \h </w:instrText>
        </w:r>
        <w:r w:rsidR="00992DE5">
          <w:rPr>
            <w:noProof/>
            <w:webHidden/>
          </w:rPr>
        </w:r>
        <w:r w:rsidR="00992DE5">
          <w:rPr>
            <w:noProof/>
            <w:webHidden/>
          </w:rPr>
          <w:fldChar w:fldCharType="separate"/>
        </w:r>
        <w:r w:rsidR="00992DE5">
          <w:rPr>
            <w:noProof/>
            <w:webHidden/>
          </w:rPr>
          <w:t>9</w:t>
        </w:r>
        <w:r w:rsidR="00992DE5">
          <w:rPr>
            <w:noProof/>
            <w:webHidden/>
          </w:rPr>
          <w:fldChar w:fldCharType="end"/>
        </w:r>
      </w:hyperlink>
    </w:p>
    <w:p w:rsidR="00992DE5" w:rsidRDefault="00FC2D35">
      <w:pPr>
        <w:pStyle w:val="TOC2"/>
        <w:rPr>
          <w:rFonts w:ascii="Calibri" w:hAnsi="Calibri" w:cs="Arial"/>
          <w:noProof/>
          <w:color w:val="auto"/>
          <w:sz w:val="22"/>
          <w:szCs w:val="22"/>
          <w:lang w:val="en-US" w:eastAsia="en-US"/>
        </w:rPr>
      </w:pPr>
      <w:hyperlink w:anchor="_Toc360989286" w:history="1">
        <w:r w:rsidR="00992DE5" w:rsidRPr="00614CC7">
          <w:rPr>
            <w:rStyle w:val="Hyperlink"/>
            <w:noProof/>
          </w:rPr>
          <w:t>Objective 5: Improved prioritisation of mine action activities, delivery efficiency, and coordination of mine action activities</w:t>
        </w:r>
        <w:r w:rsidR="00992DE5">
          <w:rPr>
            <w:noProof/>
            <w:webHidden/>
          </w:rPr>
          <w:tab/>
        </w:r>
        <w:r w:rsidR="00992DE5">
          <w:rPr>
            <w:noProof/>
            <w:webHidden/>
          </w:rPr>
          <w:fldChar w:fldCharType="begin"/>
        </w:r>
        <w:r w:rsidR="00992DE5">
          <w:rPr>
            <w:noProof/>
            <w:webHidden/>
          </w:rPr>
          <w:instrText xml:space="preserve"> PAGEREF _Toc360989286 \h </w:instrText>
        </w:r>
        <w:r w:rsidR="00992DE5">
          <w:rPr>
            <w:noProof/>
            <w:webHidden/>
          </w:rPr>
        </w:r>
        <w:r w:rsidR="00992DE5">
          <w:rPr>
            <w:noProof/>
            <w:webHidden/>
          </w:rPr>
          <w:fldChar w:fldCharType="separate"/>
        </w:r>
        <w:r w:rsidR="00992DE5">
          <w:rPr>
            <w:noProof/>
            <w:webHidden/>
          </w:rPr>
          <w:t>10</w:t>
        </w:r>
        <w:r w:rsidR="00992DE5">
          <w:rPr>
            <w:noProof/>
            <w:webHidden/>
          </w:rPr>
          <w:fldChar w:fldCharType="end"/>
        </w:r>
      </w:hyperlink>
    </w:p>
    <w:p w:rsidR="00992DE5" w:rsidRDefault="00FC2D35">
      <w:pPr>
        <w:pStyle w:val="TOC2"/>
        <w:rPr>
          <w:rFonts w:ascii="Calibri" w:hAnsi="Calibri" w:cs="Arial"/>
          <w:noProof/>
          <w:color w:val="auto"/>
          <w:sz w:val="22"/>
          <w:szCs w:val="22"/>
          <w:lang w:val="en-US" w:eastAsia="en-US"/>
        </w:rPr>
      </w:pPr>
      <w:hyperlink w:anchor="_Toc360989287" w:history="1">
        <w:r w:rsidR="00992DE5" w:rsidRPr="00614CC7">
          <w:rPr>
            <w:rStyle w:val="Hyperlink"/>
            <w:noProof/>
          </w:rPr>
          <w:t>Objective 6: Improved rural infrastructure, particularly road and electrification</w:t>
        </w:r>
        <w:r w:rsidR="00992DE5">
          <w:rPr>
            <w:noProof/>
            <w:webHidden/>
          </w:rPr>
          <w:tab/>
        </w:r>
        <w:r w:rsidR="00992DE5">
          <w:rPr>
            <w:noProof/>
            <w:webHidden/>
          </w:rPr>
          <w:fldChar w:fldCharType="begin"/>
        </w:r>
        <w:r w:rsidR="00992DE5">
          <w:rPr>
            <w:noProof/>
            <w:webHidden/>
          </w:rPr>
          <w:instrText xml:space="preserve"> PAGEREF _Toc360989287 \h </w:instrText>
        </w:r>
        <w:r w:rsidR="00992DE5">
          <w:rPr>
            <w:noProof/>
            <w:webHidden/>
          </w:rPr>
        </w:r>
        <w:r w:rsidR="00992DE5">
          <w:rPr>
            <w:noProof/>
            <w:webHidden/>
          </w:rPr>
          <w:fldChar w:fldCharType="separate"/>
        </w:r>
        <w:r w:rsidR="00992DE5">
          <w:rPr>
            <w:noProof/>
            <w:webHidden/>
          </w:rPr>
          <w:t>11</w:t>
        </w:r>
        <w:r w:rsidR="00992DE5">
          <w:rPr>
            <w:noProof/>
            <w:webHidden/>
          </w:rPr>
          <w:fldChar w:fldCharType="end"/>
        </w:r>
      </w:hyperlink>
    </w:p>
    <w:p w:rsidR="00992DE5" w:rsidRDefault="00FC2D35">
      <w:pPr>
        <w:pStyle w:val="TOC2"/>
        <w:rPr>
          <w:rFonts w:ascii="Calibri" w:hAnsi="Calibri" w:cs="Arial"/>
          <w:noProof/>
          <w:color w:val="auto"/>
          <w:sz w:val="22"/>
          <w:szCs w:val="22"/>
          <w:lang w:val="en-US" w:eastAsia="en-US"/>
        </w:rPr>
      </w:pPr>
      <w:hyperlink w:anchor="_Toc360989288" w:history="1">
        <w:r w:rsidR="00992DE5" w:rsidRPr="00614CC7">
          <w:rPr>
            <w:rStyle w:val="Hyperlink"/>
            <w:noProof/>
          </w:rPr>
          <w:t>Strategy-wide initiatives</w:t>
        </w:r>
        <w:r w:rsidR="00992DE5">
          <w:rPr>
            <w:noProof/>
            <w:webHidden/>
          </w:rPr>
          <w:tab/>
        </w:r>
        <w:r w:rsidR="00992DE5">
          <w:rPr>
            <w:noProof/>
            <w:webHidden/>
          </w:rPr>
          <w:fldChar w:fldCharType="begin"/>
        </w:r>
        <w:r w:rsidR="00992DE5">
          <w:rPr>
            <w:noProof/>
            <w:webHidden/>
          </w:rPr>
          <w:instrText xml:space="preserve"> PAGEREF _Toc360989288 \h </w:instrText>
        </w:r>
        <w:r w:rsidR="00992DE5">
          <w:rPr>
            <w:noProof/>
            <w:webHidden/>
          </w:rPr>
        </w:r>
        <w:r w:rsidR="00992DE5">
          <w:rPr>
            <w:noProof/>
            <w:webHidden/>
          </w:rPr>
          <w:fldChar w:fldCharType="separate"/>
        </w:r>
        <w:r w:rsidR="00992DE5">
          <w:rPr>
            <w:noProof/>
            <w:webHidden/>
          </w:rPr>
          <w:t>12</w:t>
        </w:r>
        <w:r w:rsidR="00992DE5">
          <w:rPr>
            <w:noProof/>
            <w:webHidden/>
          </w:rPr>
          <w:fldChar w:fldCharType="end"/>
        </w:r>
      </w:hyperlink>
    </w:p>
    <w:p w:rsidR="00992DE5" w:rsidRDefault="00FC2D35">
      <w:pPr>
        <w:pStyle w:val="TOC1"/>
        <w:rPr>
          <w:rFonts w:ascii="Calibri" w:hAnsi="Calibri" w:cs="Arial"/>
          <w:noProof/>
          <w:color w:val="auto"/>
          <w:sz w:val="22"/>
          <w:szCs w:val="22"/>
          <w:lang w:val="en-US" w:eastAsia="en-US"/>
        </w:rPr>
      </w:pPr>
      <w:hyperlink w:anchor="_Toc360989289" w:history="1">
        <w:r w:rsidR="00992DE5" w:rsidRPr="00614CC7">
          <w:rPr>
            <w:rStyle w:val="Hyperlink"/>
            <w:noProof/>
          </w:rPr>
          <w:t>Program quality</w:t>
        </w:r>
        <w:r w:rsidR="00992DE5">
          <w:rPr>
            <w:noProof/>
            <w:webHidden/>
          </w:rPr>
          <w:tab/>
        </w:r>
        <w:r w:rsidR="00992DE5">
          <w:rPr>
            <w:noProof/>
            <w:webHidden/>
          </w:rPr>
          <w:fldChar w:fldCharType="begin"/>
        </w:r>
        <w:r w:rsidR="00992DE5">
          <w:rPr>
            <w:noProof/>
            <w:webHidden/>
          </w:rPr>
          <w:instrText xml:space="preserve"> PAGEREF _Toc360989289 \h </w:instrText>
        </w:r>
        <w:r w:rsidR="00992DE5">
          <w:rPr>
            <w:noProof/>
            <w:webHidden/>
          </w:rPr>
        </w:r>
        <w:r w:rsidR="00992DE5">
          <w:rPr>
            <w:noProof/>
            <w:webHidden/>
          </w:rPr>
          <w:fldChar w:fldCharType="separate"/>
        </w:r>
        <w:r w:rsidR="00992DE5">
          <w:rPr>
            <w:noProof/>
            <w:webHidden/>
          </w:rPr>
          <w:t>13</w:t>
        </w:r>
        <w:r w:rsidR="00992DE5">
          <w:rPr>
            <w:noProof/>
            <w:webHidden/>
          </w:rPr>
          <w:fldChar w:fldCharType="end"/>
        </w:r>
      </w:hyperlink>
    </w:p>
    <w:p w:rsidR="00992DE5" w:rsidRDefault="00FC2D35">
      <w:pPr>
        <w:pStyle w:val="TOC1"/>
        <w:rPr>
          <w:rFonts w:ascii="Calibri" w:hAnsi="Calibri" w:cs="Arial"/>
          <w:noProof/>
          <w:color w:val="auto"/>
          <w:sz w:val="22"/>
          <w:szCs w:val="22"/>
          <w:lang w:val="en-US" w:eastAsia="en-US"/>
        </w:rPr>
      </w:pPr>
      <w:hyperlink w:anchor="_Toc360989290" w:history="1">
        <w:r w:rsidR="00992DE5" w:rsidRPr="00614CC7">
          <w:rPr>
            <w:rStyle w:val="Hyperlink"/>
            <w:noProof/>
          </w:rPr>
          <w:t>Next steps</w:t>
        </w:r>
        <w:r w:rsidR="00992DE5">
          <w:rPr>
            <w:noProof/>
            <w:webHidden/>
          </w:rPr>
          <w:tab/>
        </w:r>
        <w:r w:rsidR="00992DE5">
          <w:rPr>
            <w:noProof/>
            <w:webHidden/>
          </w:rPr>
          <w:fldChar w:fldCharType="begin"/>
        </w:r>
        <w:r w:rsidR="00992DE5">
          <w:rPr>
            <w:noProof/>
            <w:webHidden/>
          </w:rPr>
          <w:instrText xml:space="preserve"> PAGEREF _Toc360989290 \h </w:instrText>
        </w:r>
        <w:r w:rsidR="00992DE5">
          <w:rPr>
            <w:noProof/>
            <w:webHidden/>
          </w:rPr>
        </w:r>
        <w:r w:rsidR="00992DE5">
          <w:rPr>
            <w:noProof/>
            <w:webHidden/>
          </w:rPr>
          <w:fldChar w:fldCharType="separate"/>
        </w:r>
        <w:r w:rsidR="00992DE5">
          <w:rPr>
            <w:noProof/>
            <w:webHidden/>
          </w:rPr>
          <w:t>14</w:t>
        </w:r>
        <w:r w:rsidR="00992DE5">
          <w:rPr>
            <w:noProof/>
            <w:webHidden/>
          </w:rPr>
          <w:fldChar w:fldCharType="end"/>
        </w:r>
      </w:hyperlink>
    </w:p>
    <w:p w:rsidR="00992DE5" w:rsidRDefault="00FC2D35">
      <w:pPr>
        <w:pStyle w:val="TOC2"/>
        <w:rPr>
          <w:rFonts w:ascii="Calibri" w:hAnsi="Calibri" w:cs="Arial"/>
          <w:noProof/>
          <w:color w:val="auto"/>
          <w:sz w:val="22"/>
          <w:szCs w:val="22"/>
          <w:lang w:val="en-US" w:eastAsia="en-US"/>
        </w:rPr>
      </w:pPr>
      <w:hyperlink w:anchor="_Toc360989291" w:history="1">
        <w:r w:rsidR="00992DE5" w:rsidRPr="00614CC7">
          <w:rPr>
            <w:rStyle w:val="Hyperlink"/>
            <w:noProof/>
          </w:rPr>
          <w:t>Program wide</w:t>
        </w:r>
        <w:r w:rsidR="00992DE5">
          <w:rPr>
            <w:noProof/>
            <w:webHidden/>
          </w:rPr>
          <w:tab/>
        </w:r>
        <w:r w:rsidR="00992DE5">
          <w:rPr>
            <w:noProof/>
            <w:webHidden/>
          </w:rPr>
          <w:fldChar w:fldCharType="begin"/>
        </w:r>
        <w:r w:rsidR="00992DE5">
          <w:rPr>
            <w:noProof/>
            <w:webHidden/>
          </w:rPr>
          <w:instrText xml:space="preserve"> PAGEREF _Toc360989291 \h </w:instrText>
        </w:r>
        <w:r w:rsidR="00992DE5">
          <w:rPr>
            <w:noProof/>
            <w:webHidden/>
          </w:rPr>
        </w:r>
        <w:r w:rsidR="00992DE5">
          <w:rPr>
            <w:noProof/>
            <w:webHidden/>
          </w:rPr>
          <w:fldChar w:fldCharType="separate"/>
        </w:r>
        <w:r w:rsidR="00992DE5">
          <w:rPr>
            <w:noProof/>
            <w:webHidden/>
          </w:rPr>
          <w:t>14</w:t>
        </w:r>
        <w:r w:rsidR="00992DE5">
          <w:rPr>
            <w:noProof/>
            <w:webHidden/>
          </w:rPr>
          <w:fldChar w:fldCharType="end"/>
        </w:r>
      </w:hyperlink>
    </w:p>
    <w:p w:rsidR="00992DE5" w:rsidRDefault="00FC2D35">
      <w:pPr>
        <w:pStyle w:val="TOC2"/>
        <w:rPr>
          <w:rFonts w:ascii="Calibri" w:hAnsi="Calibri" w:cs="Arial"/>
          <w:noProof/>
          <w:color w:val="auto"/>
          <w:sz w:val="22"/>
          <w:szCs w:val="22"/>
          <w:lang w:val="en-US" w:eastAsia="en-US"/>
        </w:rPr>
      </w:pPr>
      <w:hyperlink w:anchor="_Toc360989292" w:history="1">
        <w:r w:rsidR="00992DE5" w:rsidRPr="00614CC7">
          <w:rPr>
            <w:rStyle w:val="Hyperlink"/>
            <w:noProof/>
          </w:rPr>
          <w:t>Annex A—Performance Assessment Framework—2010 and 2011 milestones</w:t>
        </w:r>
        <w:r w:rsidR="00992DE5">
          <w:rPr>
            <w:noProof/>
            <w:webHidden/>
          </w:rPr>
          <w:tab/>
        </w:r>
        <w:r w:rsidR="00992DE5">
          <w:rPr>
            <w:noProof/>
            <w:webHidden/>
          </w:rPr>
          <w:fldChar w:fldCharType="begin"/>
        </w:r>
        <w:r w:rsidR="00992DE5">
          <w:rPr>
            <w:noProof/>
            <w:webHidden/>
          </w:rPr>
          <w:instrText xml:space="preserve"> PAGEREF _Toc360989292 \h </w:instrText>
        </w:r>
        <w:r w:rsidR="00992DE5">
          <w:rPr>
            <w:noProof/>
            <w:webHidden/>
          </w:rPr>
        </w:r>
        <w:r w:rsidR="00992DE5">
          <w:rPr>
            <w:noProof/>
            <w:webHidden/>
          </w:rPr>
          <w:fldChar w:fldCharType="separate"/>
        </w:r>
        <w:r w:rsidR="00992DE5">
          <w:rPr>
            <w:noProof/>
            <w:webHidden/>
          </w:rPr>
          <w:t>15</w:t>
        </w:r>
        <w:r w:rsidR="00992DE5">
          <w:rPr>
            <w:noProof/>
            <w:webHidden/>
          </w:rPr>
          <w:fldChar w:fldCharType="end"/>
        </w:r>
      </w:hyperlink>
    </w:p>
    <w:p w:rsidR="00992DE5" w:rsidRDefault="00FC2D35">
      <w:pPr>
        <w:pStyle w:val="TOC2"/>
        <w:rPr>
          <w:rFonts w:ascii="Calibri" w:hAnsi="Calibri" w:cs="Arial"/>
          <w:noProof/>
          <w:color w:val="auto"/>
          <w:sz w:val="22"/>
          <w:szCs w:val="22"/>
          <w:lang w:val="en-US" w:eastAsia="en-US"/>
        </w:rPr>
      </w:pPr>
      <w:hyperlink w:anchor="_Toc360989293" w:history="1">
        <w:r w:rsidR="00992DE5" w:rsidRPr="00614CC7">
          <w:rPr>
            <w:rStyle w:val="Hyperlink"/>
            <w:noProof/>
          </w:rPr>
          <w:t>Annex B—</w:t>
        </w:r>
        <w:r w:rsidR="00992DE5" w:rsidRPr="00614CC7">
          <w:rPr>
            <w:rStyle w:val="Hyperlink"/>
            <w:noProof/>
            <w:lang w:val="en-US"/>
          </w:rPr>
          <w:t>Laos program—annual top results</w:t>
        </w:r>
        <w:r w:rsidR="00992DE5">
          <w:rPr>
            <w:noProof/>
            <w:webHidden/>
          </w:rPr>
          <w:tab/>
        </w:r>
        <w:r w:rsidR="00992DE5">
          <w:rPr>
            <w:noProof/>
            <w:webHidden/>
          </w:rPr>
          <w:fldChar w:fldCharType="begin"/>
        </w:r>
        <w:r w:rsidR="00992DE5">
          <w:rPr>
            <w:noProof/>
            <w:webHidden/>
          </w:rPr>
          <w:instrText xml:space="preserve"> PAGEREF _Toc360989293 \h </w:instrText>
        </w:r>
        <w:r w:rsidR="00992DE5">
          <w:rPr>
            <w:noProof/>
            <w:webHidden/>
          </w:rPr>
        </w:r>
        <w:r w:rsidR="00992DE5">
          <w:rPr>
            <w:noProof/>
            <w:webHidden/>
          </w:rPr>
          <w:fldChar w:fldCharType="separate"/>
        </w:r>
        <w:r w:rsidR="00992DE5">
          <w:rPr>
            <w:noProof/>
            <w:webHidden/>
          </w:rPr>
          <w:t>25</w:t>
        </w:r>
        <w:r w:rsidR="00992DE5">
          <w:rPr>
            <w:noProof/>
            <w:webHidden/>
          </w:rPr>
          <w:fldChar w:fldCharType="end"/>
        </w:r>
      </w:hyperlink>
    </w:p>
    <w:p w:rsidR="00992DE5" w:rsidRDefault="00FC2D35">
      <w:pPr>
        <w:pStyle w:val="TOC2"/>
        <w:rPr>
          <w:rFonts w:ascii="Calibri" w:hAnsi="Calibri" w:cs="Arial"/>
          <w:noProof/>
          <w:color w:val="auto"/>
          <w:sz w:val="22"/>
          <w:szCs w:val="22"/>
          <w:lang w:val="en-US" w:eastAsia="en-US"/>
        </w:rPr>
      </w:pPr>
      <w:hyperlink w:anchor="_Toc360989294" w:history="1">
        <w:r w:rsidR="00992DE5" w:rsidRPr="00614CC7">
          <w:rPr>
            <w:rStyle w:val="Hyperlink"/>
            <w:noProof/>
          </w:rPr>
          <w:t>Laos program top results achieved in 2010</w:t>
        </w:r>
        <w:r w:rsidR="00992DE5">
          <w:rPr>
            <w:noProof/>
            <w:webHidden/>
          </w:rPr>
          <w:tab/>
        </w:r>
        <w:r w:rsidR="00992DE5">
          <w:rPr>
            <w:noProof/>
            <w:webHidden/>
          </w:rPr>
          <w:fldChar w:fldCharType="begin"/>
        </w:r>
        <w:r w:rsidR="00992DE5">
          <w:rPr>
            <w:noProof/>
            <w:webHidden/>
          </w:rPr>
          <w:instrText xml:space="preserve"> PAGEREF _Toc360989294 \h </w:instrText>
        </w:r>
        <w:r w:rsidR="00992DE5">
          <w:rPr>
            <w:noProof/>
            <w:webHidden/>
          </w:rPr>
        </w:r>
        <w:r w:rsidR="00992DE5">
          <w:rPr>
            <w:noProof/>
            <w:webHidden/>
          </w:rPr>
          <w:fldChar w:fldCharType="separate"/>
        </w:r>
        <w:r w:rsidR="00992DE5">
          <w:rPr>
            <w:noProof/>
            <w:webHidden/>
          </w:rPr>
          <w:t>25</w:t>
        </w:r>
        <w:r w:rsidR="00992DE5">
          <w:rPr>
            <w:noProof/>
            <w:webHidden/>
          </w:rPr>
          <w:fldChar w:fldCharType="end"/>
        </w:r>
      </w:hyperlink>
    </w:p>
    <w:p w:rsidR="00992DE5" w:rsidRDefault="00FC2D35">
      <w:pPr>
        <w:pStyle w:val="TOC3"/>
        <w:rPr>
          <w:rFonts w:ascii="Calibri" w:hAnsi="Calibri" w:cs="Arial"/>
          <w:noProof/>
          <w:sz w:val="22"/>
          <w:szCs w:val="22"/>
          <w:lang w:val="en-US" w:eastAsia="en-US"/>
        </w:rPr>
      </w:pPr>
      <w:hyperlink w:anchor="_Toc360989295" w:history="1">
        <w:r w:rsidR="00992DE5" w:rsidRPr="00614CC7">
          <w:rPr>
            <w:rStyle w:val="Hyperlink"/>
            <w:noProof/>
          </w:rPr>
          <w:t>Education</w:t>
        </w:r>
        <w:r w:rsidR="00992DE5">
          <w:rPr>
            <w:noProof/>
            <w:webHidden/>
          </w:rPr>
          <w:tab/>
        </w:r>
        <w:r w:rsidR="00992DE5">
          <w:rPr>
            <w:noProof/>
            <w:webHidden/>
          </w:rPr>
          <w:fldChar w:fldCharType="begin"/>
        </w:r>
        <w:r w:rsidR="00992DE5">
          <w:rPr>
            <w:noProof/>
            <w:webHidden/>
          </w:rPr>
          <w:instrText xml:space="preserve"> PAGEREF _Toc360989295 \h </w:instrText>
        </w:r>
        <w:r w:rsidR="00992DE5">
          <w:rPr>
            <w:noProof/>
            <w:webHidden/>
          </w:rPr>
        </w:r>
        <w:r w:rsidR="00992DE5">
          <w:rPr>
            <w:noProof/>
            <w:webHidden/>
          </w:rPr>
          <w:fldChar w:fldCharType="separate"/>
        </w:r>
        <w:r w:rsidR="00992DE5">
          <w:rPr>
            <w:noProof/>
            <w:webHidden/>
          </w:rPr>
          <w:t>25</w:t>
        </w:r>
        <w:r w:rsidR="00992DE5">
          <w:rPr>
            <w:noProof/>
            <w:webHidden/>
          </w:rPr>
          <w:fldChar w:fldCharType="end"/>
        </w:r>
      </w:hyperlink>
    </w:p>
    <w:p w:rsidR="00992DE5" w:rsidRDefault="00FC2D35">
      <w:pPr>
        <w:pStyle w:val="TOC3"/>
        <w:rPr>
          <w:rFonts w:ascii="Calibri" w:hAnsi="Calibri" w:cs="Arial"/>
          <w:noProof/>
          <w:sz w:val="22"/>
          <w:szCs w:val="22"/>
          <w:lang w:val="en-US" w:eastAsia="en-US"/>
        </w:rPr>
      </w:pPr>
      <w:hyperlink w:anchor="_Toc360989296" w:history="1">
        <w:r w:rsidR="00992DE5" w:rsidRPr="00614CC7">
          <w:rPr>
            <w:rStyle w:val="Hyperlink"/>
            <w:noProof/>
          </w:rPr>
          <w:t>Trade and investment</w:t>
        </w:r>
        <w:r w:rsidR="00992DE5">
          <w:rPr>
            <w:noProof/>
            <w:webHidden/>
          </w:rPr>
          <w:tab/>
        </w:r>
        <w:r w:rsidR="00992DE5">
          <w:rPr>
            <w:noProof/>
            <w:webHidden/>
          </w:rPr>
          <w:fldChar w:fldCharType="begin"/>
        </w:r>
        <w:r w:rsidR="00992DE5">
          <w:rPr>
            <w:noProof/>
            <w:webHidden/>
          </w:rPr>
          <w:instrText xml:space="preserve"> PAGEREF _Toc360989296 \h </w:instrText>
        </w:r>
        <w:r w:rsidR="00992DE5">
          <w:rPr>
            <w:noProof/>
            <w:webHidden/>
          </w:rPr>
        </w:r>
        <w:r w:rsidR="00992DE5">
          <w:rPr>
            <w:noProof/>
            <w:webHidden/>
          </w:rPr>
          <w:fldChar w:fldCharType="separate"/>
        </w:r>
        <w:r w:rsidR="00992DE5">
          <w:rPr>
            <w:noProof/>
            <w:webHidden/>
          </w:rPr>
          <w:t>25</w:t>
        </w:r>
        <w:r w:rsidR="00992DE5">
          <w:rPr>
            <w:noProof/>
            <w:webHidden/>
          </w:rPr>
          <w:fldChar w:fldCharType="end"/>
        </w:r>
      </w:hyperlink>
    </w:p>
    <w:p w:rsidR="00992DE5" w:rsidRDefault="00FC2D35">
      <w:pPr>
        <w:pStyle w:val="TOC3"/>
        <w:rPr>
          <w:rFonts w:ascii="Calibri" w:hAnsi="Calibri" w:cs="Arial"/>
          <w:noProof/>
          <w:sz w:val="22"/>
          <w:szCs w:val="22"/>
          <w:lang w:val="en-US" w:eastAsia="en-US"/>
        </w:rPr>
      </w:pPr>
      <w:hyperlink w:anchor="_Toc360989297" w:history="1">
        <w:r w:rsidR="00992DE5" w:rsidRPr="00614CC7">
          <w:rPr>
            <w:rStyle w:val="Hyperlink"/>
            <w:noProof/>
          </w:rPr>
          <w:t>Rural development</w:t>
        </w:r>
        <w:r w:rsidR="00992DE5">
          <w:rPr>
            <w:noProof/>
            <w:webHidden/>
          </w:rPr>
          <w:tab/>
        </w:r>
        <w:r w:rsidR="00992DE5">
          <w:rPr>
            <w:noProof/>
            <w:webHidden/>
          </w:rPr>
          <w:fldChar w:fldCharType="begin"/>
        </w:r>
        <w:r w:rsidR="00992DE5">
          <w:rPr>
            <w:noProof/>
            <w:webHidden/>
          </w:rPr>
          <w:instrText xml:space="preserve"> PAGEREF _Toc360989297 \h </w:instrText>
        </w:r>
        <w:r w:rsidR="00992DE5">
          <w:rPr>
            <w:noProof/>
            <w:webHidden/>
          </w:rPr>
        </w:r>
        <w:r w:rsidR="00992DE5">
          <w:rPr>
            <w:noProof/>
            <w:webHidden/>
          </w:rPr>
          <w:fldChar w:fldCharType="separate"/>
        </w:r>
        <w:r w:rsidR="00992DE5">
          <w:rPr>
            <w:noProof/>
            <w:webHidden/>
          </w:rPr>
          <w:t>26</w:t>
        </w:r>
        <w:r w:rsidR="00992DE5">
          <w:rPr>
            <w:noProof/>
            <w:webHidden/>
          </w:rPr>
          <w:fldChar w:fldCharType="end"/>
        </w:r>
      </w:hyperlink>
    </w:p>
    <w:p w:rsidR="00992DE5" w:rsidRDefault="00FC2D35">
      <w:pPr>
        <w:pStyle w:val="TOC2"/>
        <w:rPr>
          <w:rFonts w:ascii="Calibri" w:hAnsi="Calibri" w:cs="Arial"/>
          <w:noProof/>
          <w:color w:val="auto"/>
          <w:sz w:val="22"/>
          <w:szCs w:val="22"/>
          <w:lang w:val="en-US" w:eastAsia="en-US"/>
        </w:rPr>
      </w:pPr>
      <w:hyperlink w:anchor="_Toc360989298" w:history="1">
        <w:r w:rsidR="00992DE5" w:rsidRPr="00614CC7">
          <w:rPr>
            <w:rStyle w:val="Hyperlink"/>
            <w:noProof/>
          </w:rPr>
          <w:t>Laos program top results planned for 2011</w:t>
        </w:r>
        <w:r w:rsidR="00992DE5">
          <w:rPr>
            <w:noProof/>
            <w:webHidden/>
          </w:rPr>
          <w:tab/>
        </w:r>
        <w:r w:rsidR="00992DE5">
          <w:rPr>
            <w:noProof/>
            <w:webHidden/>
          </w:rPr>
          <w:fldChar w:fldCharType="begin"/>
        </w:r>
        <w:r w:rsidR="00992DE5">
          <w:rPr>
            <w:noProof/>
            <w:webHidden/>
          </w:rPr>
          <w:instrText xml:space="preserve"> PAGEREF _Toc360989298 \h </w:instrText>
        </w:r>
        <w:r w:rsidR="00992DE5">
          <w:rPr>
            <w:noProof/>
            <w:webHidden/>
          </w:rPr>
        </w:r>
        <w:r w:rsidR="00992DE5">
          <w:rPr>
            <w:noProof/>
            <w:webHidden/>
          </w:rPr>
          <w:fldChar w:fldCharType="separate"/>
        </w:r>
        <w:r w:rsidR="00992DE5">
          <w:rPr>
            <w:noProof/>
            <w:webHidden/>
          </w:rPr>
          <w:t>26</w:t>
        </w:r>
        <w:r w:rsidR="00992DE5">
          <w:rPr>
            <w:noProof/>
            <w:webHidden/>
          </w:rPr>
          <w:fldChar w:fldCharType="end"/>
        </w:r>
      </w:hyperlink>
    </w:p>
    <w:p w:rsidR="00992DE5" w:rsidRDefault="00FC2D35">
      <w:pPr>
        <w:pStyle w:val="TOC3"/>
        <w:rPr>
          <w:rFonts w:ascii="Calibri" w:hAnsi="Calibri" w:cs="Arial"/>
          <w:noProof/>
          <w:sz w:val="22"/>
          <w:szCs w:val="22"/>
          <w:lang w:val="en-US" w:eastAsia="en-US"/>
        </w:rPr>
      </w:pPr>
      <w:hyperlink w:anchor="_Toc360989299" w:history="1">
        <w:r w:rsidR="00992DE5" w:rsidRPr="00614CC7">
          <w:rPr>
            <w:rStyle w:val="Hyperlink"/>
            <w:noProof/>
          </w:rPr>
          <w:t>Education</w:t>
        </w:r>
        <w:r w:rsidR="00992DE5">
          <w:rPr>
            <w:noProof/>
            <w:webHidden/>
          </w:rPr>
          <w:tab/>
        </w:r>
        <w:r w:rsidR="00992DE5">
          <w:rPr>
            <w:noProof/>
            <w:webHidden/>
          </w:rPr>
          <w:fldChar w:fldCharType="begin"/>
        </w:r>
        <w:r w:rsidR="00992DE5">
          <w:rPr>
            <w:noProof/>
            <w:webHidden/>
          </w:rPr>
          <w:instrText xml:space="preserve"> PAGEREF _Toc360989299 \h </w:instrText>
        </w:r>
        <w:r w:rsidR="00992DE5">
          <w:rPr>
            <w:noProof/>
            <w:webHidden/>
          </w:rPr>
        </w:r>
        <w:r w:rsidR="00992DE5">
          <w:rPr>
            <w:noProof/>
            <w:webHidden/>
          </w:rPr>
          <w:fldChar w:fldCharType="separate"/>
        </w:r>
        <w:r w:rsidR="00992DE5">
          <w:rPr>
            <w:noProof/>
            <w:webHidden/>
          </w:rPr>
          <w:t>26</w:t>
        </w:r>
        <w:r w:rsidR="00992DE5">
          <w:rPr>
            <w:noProof/>
            <w:webHidden/>
          </w:rPr>
          <w:fldChar w:fldCharType="end"/>
        </w:r>
      </w:hyperlink>
    </w:p>
    <w:p w:rsidR="00992DE5" w:rsidRDefault="00FC2D35">
      <w:pPr>
        <w:pStyle w:val="TOC3"/>
        <w:rPr>
          <w:rFonts w:ascii="Calibri" w:hAnsi="Calibri" w:cs="Arial"/>
          <w:noProof/>
          <w:sz w:val="22"/>
          <w:szCs w:val="22"/>
          <w:lang w:val="en-US" w:eastAsia="en-US"/>
        </w:rPr>
      </w:pPr>
      <w:hyperlink w:anchor="_Toc360989300" w:history="1">
        <w:r w:rsidR="00992DE5" w:rsidRPr="00614CC7">
          <w:rPr>
            <w:rStyle w:val="Hyperlink"/>
            <w:noProof/>
          </w:rPr>
          <w:t>Trade and investment</w:t>
        </w:r>
        <w:r w:rsidR="00992DE5">
          <w:rPr>
            <w:noProof/>
            <w:webHidden/>
          </w:rPr>
          <w:tab/>
        </w:r>
        <w:r w:rsidR="00992DE5">
          <w:rPr>
            <w:noProof/>
            <w:webHidden/>
          </w:rPr>
          <w:fldChar w:fldCharType="begin"/>
        </w:r>
        <w:r w:rsidR="00992DE5">
          <w:rPr>
            <w:noProof/>
            <w:webHidden/>
          </w:rPr>
          <w:instrText xml:space="preserve"> PAGEREF _Toc360989300 \h </w:instrText>
        </w:r>
        <w:r w:rsidR="00992DE5">
          <w:rPr>
            <w:noProof/>
            <w:webHidden/>
          </w:rPr>
        </w:r>
        <w:r w:rsidR="00992DE5">
          <w:rPr>
            <w:noProof/>
            <w:webHidden/>
          </w:rPr>
          <w:fldChar w:fldCharType="separate"/>
        </w:r>
        <w:r w:rsidR="00992DE5">
          <w:rPr>
            <w:noProof/>
            <w:webHidden/>
          </w:rPr>
          <w:t>27</w:t>
        </w:r>
        <w:r w:rsidR="00992DE5">
          <w:rPr>
            <w:noProof/>
            <w:webHidden/>
          </w:rPr>
          <w:fldChar w:fldCharType="end"/>
        </w:r>
      </w:hyperlink>
    </w:p>
    <w:p w:rsidR="00992DE5" w:rsidRDefault="00FC2D35">
      <w:pPr>
        <w:pStyle w:val="TOC3"/>
        <w:rPr>
          <w:rFonts w:ascii="Calibri" w:hAnsi="Calibri" w:cs="Arial"/>
          <w:noProof/>
          <w:sz w:val="22"/>
          <w:szCs w:val="22"/>
          <w:lang w:val="en-US" w:eastAsia="en-US"/>
        </w:rPr>
      </w:pPr>
      <w:hyperlink w:anchor="_Toc360989301" w:history="1">
        <w:r w:rsidR="00992DE5" w:rsidRPr="00614CC7">
          <w:rPr>
            <w:rStyle w:val="Hyperlink"/>
            <w:noProof/>
          </w:rPr>
          <w:t>Rural development</w:t>
        </w:r>
        <w:r w:rsidR="00992DE5">
          <w:rPr>
            <w:noProof/>
            <w:webHidden/>
          </w:rPr>
          <w:tab/>
        </w:r>
        <w:r w:rsidR="00992DE5">
          <w:rPr>
            <w:noProof/>
            <w:webHidden/>
          </w:rPr>
          <w:fldChar w:fldCharType="begin"/>
        </w:r>
        <w:r w:rsidR="00992DE5">
          <w:rPr>
            <w:noProof/>
            <w:webHidden/>
          </w:rPr>
          <w:instrText xml:space="preserve"> PAGEREF _Toc360989301 \h </w:instrText>
        </w:r>
        <w:r w:rsidR="00992DE5">
          <w:rPr>
            <w:noProof/>
            <w:webHidden/>
          </w:rPr>
        </w:r>
        <w:r w:rsidR="00992DE5">
          <w:rPr>
            <w:noProof/>
            <w:webHidden/>
          </w:rPr>
          <w:fldChar w:fldCharType="separate"/>
        </w:r>
        <w:r w:rsidR="00992DE5">
          <w:rPr>
            <w:noProof/>
            <w:webHidden/>
          </w:rPr>
          <w:t>27</w:t>
        </w:r>
        <w:r w:rsidR="00992DE5">
          <w:rPr>
            <w:noProof/>
            <w:webHidden/>
          </w:rPr>
          <w:fldChar w:fldCharType="end"/>
        </w:r>
      </w:hyperlink>
    </w:p>
    <w:p w:rsidR="00992DE5" w:rsidRDefault="00FC2D35">
      <w:pPr>
        <w:pStyle w:val="TOC2"/>
        <w:rPr>
          <w:rFonts w:ascii="Calibri" w:hAnsi="Calibri" w:cs="Arial"/>
          <w:noProof/>
          <w:color w:val="auto"/>
          <w:sz w:val="22"/>
          <w:szCs w:val="22"/>
          <w:lang w:val="en-US" w:eastAsia="en-US"/>
        </w:rPr>
      </w:pPr>
      <w:hyperlink w:anchor="_Toc360989302" w:history="1">
        <w:r w:rsidR="00992DE5" w:rsidRPr="00614CC7">
          <w:rPr>
            <w:rStyle w:val="Hyperlink"/>
            <w:noProof/>
          </w:rPr>
          <w:t>Annex C—Management consequences</w:t>
        </w:r>
        <w:r w:rsidR="00992DE5">
          <w:rPr>
            <w:noProof/>
            <w:webHidden/>
          </w:rPr>
          <w:tab/>
        </w:r>
        <w:r w:rsidR="00992DE5">
          <w:rPr>
            <w:noProof/>
            <w:webHidden/>
          </w:rPr>
          <w:fldChar w:fldCharType="begin"/>
        </w:r>
        <w:r w:rsidR="00992DE5">
          <w:rPr>
            <w:noProof/>
            <w:webHidden/>
          </w:rPr>
          <w:instrText xml:space="preserve"> PAGEREF _Toc360989302 \h </w:instrText>
        </w:r>
        <w:r w:rsidR="00992DE5">
          <w:rPr>
            <w:noProof/>
            <w:webHidden/>
          </w:rPr>
        </w:r>
        <w:r w:rsidR="00992DE5">
          <w:rPr>
            <w:noProof/>
            <w:webHidden/>
          </w:rPr>
          <w:fldChar w:fldCharType="separate"/>
        </w:r>
        <w:r w:rsidR="00992DE5">
          <w:rPr>
            <w:noProof/>
            <w:webHidden/>
          </w:rPr>
          <w:t>28</w:t>
        </w:r>
        <w:r w:rsidR="00992DE5">
          <w:rPr>
            <w:noProof/>
            <w:webHidden/>
          </w:rPr>
          <w:fldChar w:fldCharType="end"/>
        </w:r>
      </w:hyperlink>
    </w:p>
    <w:p w:rsidR="00992DE5" w:rsidRDefault="00992DE5">
      <w:r>
        <w:fldChar w:fldCharType="end"/>
      </w:r>
    </w:p>
    <w:p w:rsidR="0045354B" w:rsidRDefault="00992DE5" w:rsidP="00236560">
      <w:pPr>
        <w:pStyle w:val="BodyText"/>
        <w:spacing w:after="600"/>
      </w:pPr>
      <w:r>
        <w:br w:type="page"/>
      </w:r>
      <w:r w:rsidR="0045354B">
        <w:lastRenderedPageBreak/>
        <w:t>This report summarises the aid program’s progress in 2010 towards the objectives of the Australia</w:t>
      </w:r>
      <w:r w:rsidR="0069607E">
        <w:t xml:space="preserve"> – </w:t>
      </w:r>
      <w:r w:rsidR="0045354B">
        <w:t>Laos Development Cooperation Strategy 2009</w:t>
      </w:r>
      <w:r w:rsidR="0069607E">
        <w:t>–</w:t>
      </w:r>
      <w:r w:rsidR="0045354B">
        <w:t>2015</w:t>
      </w:r>
      <w:r w:rsidR="00AA7011">
        <w:t xml:space="preserve">. </w:t>
      </w:r>
      <w:r w:rsidR="0045354B">
        <w:t xml:space="preserve">The program presents a strategic opportunity to provide development assistance that complements </w:t>
      </w:r>
      <w:r w:rsidR="006876B7">
        <w:t xml:space="preserve">AusAID’s </w:t>
      </w:r>
      <w:r w:rsidR="0045354B">
        <w:t>global programs and supports regional objectives</w:t>
      </w:r>
      <w:r w:rsidR="00AA7011">
        <w:t xml:space="preserve">. </w:t>
      </w:r>
      <w:r w:rsidR="0045354B">
        <w:t>Reports on the program’s performance in previous years are available on the Australian Agency for International Development’s (AusAID’s) website.</w:t>
      </w:r>
    </w:p>
    <w:p w:rsidR="00236560" w:rsidRPr="00174585" w:rsidRDefault="00CC356F" w:rsidP="00236560">
      <w:pPr>
        <w:pStyle w:val="H1"/>
      </w:pPr>
      <w:bookmarkStart w:id="0" w:name="_Toc360989274"/>
      <w:r>
        <w:t>C</w:t>
      </w:r>
      <w:r w:rsidRPr="00174585">
        <w:t>ontext</w:t>
      </w:r>
      <w:bookmarkEnd w:id="0"/>
      <w:r w:rsidRPr="00174585">
        <w:t xml:space="preserve"> </w:t>
      </w:r>
    </w:p>
    <w:p w:rsidR="0045354B" w:rsidRDefault="0045354B" w:rsidP="0045354B">
      <w:pPr>
        <w:pStyle w:val="BodyText"/>
      </w:pPr>
      <w:r>
        <w:t xml:space="preserve">Economic growth in Laos </w:t>
      </w:r>
      <w:r w:rsidR="00142510">
        <w:t xml:space="preserve">has </w:t>
      </w:r>
      <w:r>
        <w:t>averaged 7.8</w:t>
      </w:r>
      <w:r w:rsidR="0069607E">
        <w:t xml:space="preserve"> per </w:t>
      </w:r>
      <w:r w:rsidR="004B572A">
        <w:t>c</w:t>
      </w:r>
      <w:r w:rsidR="0069607E">
        <w:t>ent</w:t>
      </w:r>
      <w:r>
        <w:t xml:space="preserve"> since 2006 and is expected to </w:t>
      </w:r>
      <w:proofErr w:type="gramStart"/>
      <w:r>
        <w:t>increase  to</w:t>
      </w:r>
      <w:proofErr w:type="gramEnd"/>
      <w:r>
        <w:t xml:space="preserve"> 8.6</w:t>
      </w:r>
      <w:r w:rsidR="0069607E">
        <w:t xml:space="preserve"> per cent</w:t>
      </w:r>
      <w:r w:rsidR="00142510">
        <w:t xml:space="preserve"> in 2011</w:t>
      </w:r>
      <w:r w:rsidR="000B555E">
        <w:t>.</w:t>
      </w:r>
      <w:r>
        <w:rPr>
          <w:rStyle w:val="FootnoteReference"/>
        </w:rPr>
        <w:footnoteReference w:id="2"/>
      </w:r>
      <w:r w:rsidR="00AA7011">
        <w:t xml:space="preserve"> </w:t>
      </w:r>
      <w:r w:rsidR="0062706C" w:rsidRPr="0062706C">
        <w:rPr>
          <w:rFonts w:cs="Arial"/>
          <w:color w:val="000000"/>
        </w:rPr>
        <w:t xml:space="preserve">Gross </w:t>
      </w:r>
      <w:r w:rsidR="006B1CBE">
        <w:rPr>
          <w:rFonts w:cs="Arial"/>
          <w:color w:val="000000"/>
        </w:rPr>
        <w:t>n</w:t>
      </w:r>
      <w:r w:rsidR="0062706C" w:rsidRPr="0062706C">
        <w:rPr>
          <w:rFonts w:cs="Arial"/>
          <w:color w:val="000000"/>
        </w:rPr>
        <w:t xml:space="preserve">ational </w:t>
      </w:r>
      <w:r w:rsidR="006B1CBE">
        <w:rPr>
          <w:rFonts w:cs="Arial"/>
          <w:color w:val="000000"/>
        </w:rPr>
        <w:t>i</w:t>
      </w:r>
      <w:r w:rsidR="0062706C" w:rsidRPr="0062706C">
        <w:rPr>
          <w:rFonts w:cs="Arial"/>
          <w:color w:val="000000"/>
        </w:rPr>
        <w:t>ncome</w:t>
      </w:r>
      <w:r w:rsidRPr="0062706C">
        <w:t xml:space="preserve"> per</w:t>
      </w:r>
      <w:r>
        <w:t xml:space="preserve"> capita rose from approximately US</w:t>
      </w:r>
      <w:r w:rsidR="0069607E">
        <w:t>$</w:t>
      </w:r>
      <w:r>
        <w:t>540 in 2006 to US</w:t>
      </w:r>
      <w:r w:rsidR="0069607E">
        <w:t>$</w:t>
      </w:r>
      <w:r>
        <w:t>968 in 2010</w:t>
      </w:r>
      <w:r>
        <w:rPr>
          <w:rStyle w:val="FootnoteReference"/>
        </w:rPr>
        <w:footnoteReference w:id="3"/>
      </w:r>
      <w:r>
        <w:t xml:space="preserve"> and, according to the recent Lao Expenditure and Consumption Survey, poverty decreased from around 33.5</w:t>
      </w:r>
      <w:r w:rsidR="0069607E">
        <w:t xml:space="preserve"> per cent</w:t>
      </w:r>
      <w:r>
        <w:t xml:space="preserve"> in 2002</w:t>
      </w:r>
      <w:r w:rsidR="0069607E">
        <w:t>–</w:t>
      </w:r>
      <w:r>
        <w:t>03 to 27.6</w:t>
      </w:r>
      <w:r w:rsidR="0069607E">
        <w:t xml:space="preserve"> per cent</w:t>
      </w:r>
      <w:r>
        <w:t xml:space="preserve"> in 2007</w:t>
      </w:r>
      <w:r w:rsidR="0069607E">
        <w:t>–</w:t>
      </w:r>
      <w:r>
        <w:t>08</w:t>
      </w:r>
      <w:r w:rsidR="000B555E">
        <w:t>.</w:t>
      </w:r>
      <w:r>
        <w:rPr>
          <w:rStyle w:val="FootnoteReference"/>
        </w:rPr>
        <w:footnoteReference w:id="4"/>
      </w:r>
      <w:r w:rsidR="00AA7011">
        <w:t xml:space="preserve"> </w:t>
      </w:r>
      <w:r>
        <w:t xml:space="preserve">The Government of Laos estimates </w:t>
      </w:r>
      <w:r w:rsidR="00142510">
        <w:t xml:space="preserve">poverty </w:t>
      </w:r>
      <w:r>
        <w:t>fell to 26</w:t>
      </w:r>
      <w:r w:rsidR="0069607E">
        <w:t xml:space="preserve"> per cent</w:t>
      </w:r>
      <w:r>
        <w:t xml:space="preserve"> in 2010</w:t>
      </w:r>
      <w:r w:rsidR="00AA7011">
        <w:t xml:space="preserve">. </w:t>
      </w:r>
    </w:p>
    <w:p w:rsidR="0045354B" w:rsidRDefault="0045354B" w:rsidP="0045354B">
      <w:pPr>
        <w:pStyle w:val="BodyText"/>
      </w:pPr>
      <w:r>
        <w:t>Poverty data also shows that the poverty gap (the distance between the consumption rate and poverty line) and the severity of poverty have both lessened</w:t>
      </w:r>
      <w:r w:rsidR="00AA7011">
        <w:t xml:space="preserve">. </w:t>
      </w:r>
      <w:r>
        <w:t>Inequality, as measured by the Gini index</w:t>
      </w:r>
      <w:r>
        <w:rPr>
          <w:rStyle w:val="FootnoteReference"/>
        </w:rPr>
        <w:footnoteReference w:id="5"/>
      </w:r>
      <w:r>
        <w:t>, rose over th</w:t>
      </w:r>
      <w:r w:rsidR="00142510">
        <w:t>e reporting</w:t>
      </w:r>
      <w:r>
        <w:t xml:space="preserve"> period</w:t>
      </w:r>
      <w:r w:rsidR="00AA7011">
        <w:t>,</w:t>
      </w:r>
      <w:r>
        <w:t xml:space="preserve"> but the</w:t>
      </w:r>
      <w:r w:rsidR="00AA7011">
        <w:t xml:space="preserve"> consumption</w:t>
      </w:r>
      <w:r>
        <w:t xml:space="preserve"> survey shows that </w:t>
      </w:r>
      <w:r w:rsidR="00AA7011">
        <w:t>‘</w:t>
      </w:r>
      <w:r>
        <w:t>all population percentiles have experienced a substantial improvement in material welfare</w:t>
      </w:r>
      <w:r w:rsidR="0069607E">
        <w:t>’</w:t>
      </w:r>
      <w:r w:rsidR="000B555E">
        <w:t>.</w:t>
      </w:r>
      <w:r>
        <w:rPr>
          <w:rStyle w:val="FootnoteReference"/>
        </w:rPr>
        <w:footnoteReference w:id="6"/>
      </w:r>
      <w:r>
        <w:t xml:space="preserve"> Large disparities exist between urban and rural areas, uplands and lowlands, ethnic groups</w:t>
      </w:r>
      <w:r w:rsidR="00AA7011">
        <w:t>,</w:t>
      </w:r>
      <w:r>
        <w:t xml:space="preserve"> and men and women</w:t>
      </w:r>
      <w:r w:rsidR="00AA7011">
        <w:t xml:space="preserve">. </w:t>
      </w:r>
      <w:r>
        <w:t xml:space="preserve">Non-income </w:t>
      </w:r>
      <w:r w:rsidR="0062706C" w:rsidRPr="0062706C">
        <w:rPr>
          <w:rFonts w:cs="Arial"/>
          <w:color w:val="000000"/>
        </w:rPr>
        <w:t>Millennium Development Goals</w:t>
      </w:r>
      <w:r w:rsidR="0062706C" w:rsidRPr="0062706C">
        <w:t xml:space="preserve"> (</w:t>
      </w:r>
      <w:r w:rsidRPr="0062706C">
        <w:t>MDGs</w:t>
      </w:r>
      <w:r w:rsidR="0062706C" w:rsidRPr="0062706C">
        <w:t>)</w:t>
      </w:r>
      <w:r w:rsidR="00AA7011">
        <w:t>,</w:t>
      </w:r>
      <w:r>
        <w:t xml:space="preserve"> such as maternal mortality, hunger and access to safe water and improved sanitation</w:t>
      </w:r>
      <w:r w:rsidR="00AA7011">
        <w:t>,</w:t>
      </w:r>
      <w:r>
        <w:t xml:space="preserve"> are off track</w:t>
      </w:r>
      <w:r w:rsidR="00AA7011">
        <w:t xml:space="preserve">. </w:t>
      </w:r>
    </w:p>
    <w:p w:rsidR="00107FCC" w:rsidRDefault="0045354B" w:rsidP="00236560">
      <w:pPr>
        <w:pStyle w:val="BodyText"/>
        <w:spacing w:after="400"/>
      </w:pPr>
      <w:r>
        <w:t>The Government’s fiscal performance</w:t>
      </w:r>
      <w:r>
        <w:rPr>
          <w:rStyle w:val="FootnoteReference"/>
        </w:rPr>
        <w:footnoteReference w:id="7"/>
      </w:r>
      <w:r>
        <w:t xml:space="preserve"> improved in 2009</w:t>
      </w:r>
      <w:r w:rsidR="0069607E">
        <w:t>–</w:t>
      </w:r>
      <w:r>
        <w:t>10 with the budget deficit decreasing to 4.6</w:t>
      </w:r>
      <w:r w:rsidR="0069607E">
        <w:t xml:space="preserve"> per ce</w:t>
      </w:r>
      <w:r w:rsidR="004B572A">
        <w:t>n</w:t>
      </w:r>
      <w:r w:rsidR="0069607E">
        <w:t>t</w:t>
      </w:r>
      <w:r>
        <w:t xml:space="preserve"> of </w:t>
      </w:r>
      <w:r w:rsidR="006B1CBE">
        <w:t>g</w:t>
      </w:r>
      <w:r w:rsidR="0062706C" w:rsidRPr="0062706C">
        <w:rPr>
          <w:rFonts w:cs="Arial"/>
          <w:color w:val="000000"/>
        </w:rPr>
        <w:t xml:space="preserve">ross </w:t>
      </w:r>
      <w:r w:rsidR="006B1CBE">
        <w:rPr>
          <w:rFonts w:cs="Arial"/>
          <w:color w:val="000000"/>
        </w:rPr>
        <w:t>domestic p</w:t>
      </w:r>
      <w:r w:rsidR="0062706C" w:rsidRPr="0062706C">
        <w:rPr>
          <w:rFonts w:cs="Arial"/>
          <w:color w:val="000000"/>
        </w:rPr>
        <w:t>roduct</w:t>
      </w:r>
      <w:r w:rsidRPr="0062706C">
        <w:t xml:space="preserve"> compared</w:t>
      </w:r>
      <w:r>
        <w:t xml:space="preserve"> to 6.7</w:t>
      </w:r>
      <w:r w:rsidR="0069607E">
        <w:t xml:space="preserve"> per ce</w:t>
      </w:r>
      <w:r w:rsidR="004B572A">
        <w:t>n</w:t>
      </w:r>
      <w:r w:rsidR="0069607E">
        <w:t>t</w:t>
      </w:r>
      <w:r>
        <w:t xml:space="preserve"> in the previous </w:t>
      </w:r>
      <w:r w:rsidR="00142510">
        <w:t xml:space="preserve">financial </w:t>
      </w:r>
      <w:r>
        <w:t>year</w:t>
      </w:r>
      <w:r w:rsidR="00AA7011">
        <w:t xml:space="preserve">. </w:t>
      </w:r>
      <w:r>
        <w:t>Domestic revenue increased by 17.2</w:t>
      </w:r>
      <w:r w:rsidR="0069607E">
        <w:t xml:space="preserve"> per cent</w:t>
      </w:r>
      <w:r>
        <w:t xml:space="preserve"> due largely to tax revenues from implementation of the </w:t>
      </w:r>
      <w:r w:rsidR="00AA7011">
        <w:t>v</w:t>
      </w:r>
      <w:r>
        <w:t xml:space="preserve">alue </w:t>
      </w:r>
      <w:r w:rsidR="00AA7011">
        <w:t>a</w:t>
      </w:r>
      <w:r>
        <w:t xml:space="preserve">dded </w:t>
      </w:r>
      <w:r w:rsidR="00AA7011">
        <w:t>t</w:t>
      </w:r>
      <w:r>
        <w:t>ax, resource royalties and import duties</w:t>
      </w:r>
      <w:r w:rsidR="00AA7011">
        <w:t xml:space="preserve">. </w:t>
      </w:r>
      <w:r>
        <w:t>Spending in the four priority sectors of education, health, agriculture and infrastructure increased to 45.8</w:t>
      </w:r>
      <w:r w:rsidR="00B72333">
        <w:t> </w:t>
      </w:r>
      <w:r w:rsidR="0069607E">
        <w:t>per</w:t>
      </w:r>
      <w:r w:rsidR="00B72333">
        <w:t> </w:t>
      </w:r>
      <w:r w:rsidR="0069607E">
        <w:t>cent</w:t>
      </w:r>
      <w:r>
        <w:t xml:space="preserve"> of total expenditure in 2008</w:t>
      </w:r>
      <w:r w:rsidR="0069607E">
        <w:t>–</w:t>
      </w:r>
      <w:r>
        <w:t>09 from 39.7</w:t>
      </w:r>
      <w:r w:rsidR="0069607E">
        <w:t xml:space="preserve"> per ce</w:t>
      </w:r>
      <w:r w:rsidR="004B572A">
        <w:t>n</w:t>
      </w:r>
      <w:r w:rsidR="0069607E">
        <w:t>t</w:t>
      </w:r>
      <w:r>
        <w:t xml:space="preserve"> the previous year</w:t>
      </w:r>
      <w:r w:rsidR="00AA7011">
        <w:t xml:space="preserve">. </w:t>
      </w:r>
      <w:r>
        <w:t>Recurrent spending in the education sector is still low at 14</w:t>
      </w:r>
      <w:r w:rsidR="0069607E">
        <w:t xml:space="preserve"> per ce</w:t>
      </w:r>
      <w:r w:rsidR="004B572A">
        <w:t>n</w:t>
      </w:r>
      <w:r w:rsidR="0069607E">
        <w:t>t</w:t>
      </w:r>
      <w:r>
        <w:rPr>
          <w:rStyle w:val="FootnoteReference"/>
        </w:rPr>
        <w:footnoteReference w:id="8"/>
      </w:r>
      <w:r>
        <w:t xml:space="preserve"> of total recurrent expenditure in 2009</w:t>
      </w:r>
      <w:r w:rsidR="0069607E">
        <w:t>–</w:t>
      </w:r>
      <w:r>
        <w:t xml:space="preserve">10 but has shown a steady increase. </w:t>
      </w:r>
    </w:p>
    <w:p w:rsidR="0045354B" w:rsidRDefault="0045354B" w:rsidP="00DA6D12">
      <w:pPr>
        <w:pStyle w:val="Heading2"/>
        <w:keepNext/>
        <w:tabs>
          <w:tab w:val="left" w:pos="1920"/>
        </w:tabs>
        <w:spacing w:before="0" w:after="120" w:line="320" w:lineRule="atLeast"/>
        <w:ind w:left="0"/>
      </w:pPr>
      <w:bookmarkStart w:id="1" w:name="_Toc360989275"/>
      <w:r>
        <w:t xml:space="preserve">National </w:t>
      </w:r>
      <w:r w:rsidR="00AA7011">
        <w:t>p</w:t>
      </w:r>
      <w:r>
        <w:t>lanning</w:t>
      </w:r>
      <w:bookmarkEnd w:id="1"/>
    </w:p>
    <w:p w:rsidR="0045354B" w:rsidRDefault="0045354B" w:rsidP="0045354B">
      <w:pPr>
        <w:pStyle w:val="BodyText"/>
      </w:pPr>
      <w:r>
        <w:t>The 7</w:t>
      </w:r>
      <w:r w:rsidRPr="00BE5719">
        <w:rPr>
          <w:vertAlign w:val="superscript"/>
        </w:rPr>
        <w:t>th</w:t>
      </w:r>
      <w:r>
        <w:t xml:space="preserve"> </w:t>
      </w:r>
      <w:r w:rsidR="003E4FC7" w:rsidRPr="003E4FC7">
        <w:t xml:space="preserve">National Socio-Economic Development Plan </w:t>
      </w:r>
      <w:r w:rsidR="003E4FC7">
        <w:t>(</w:t>
      </w:r>
      <w:r w:rsidRPr="003E4FC7">
        <w:t>NSEDP</w:t>
      </w:r>
      <w:r w:rsidR="003E4FC7">
        <w:t>)</w:t>
      </w:r>
      <w:r>
        <w:t xml:space="preserve"> 2011</w:t>
      </w:r>
      <w:r w:rsidR="00E35015">
        <w:t>–</w:t>
      </w:r>
      <w:r>
        <w:t>2015 was approved by the National Assembly in June 2011</w:t>
      </w:r>
      <w:r w:rsidR="00AA7011">
        <w:t xml:space="preserve">. </w:t>
      </w:r>
      <w:r>
        <w:t>It outlines the Government</w:t>
      </w:r>
      <w:r w:rsidR="008D305E">
        <w:t xml:space="preserve"> of Laos</w:t>
      </w:r>
      <w:r>
        <w:t>’s strategy to achieve its M</w:t>
      </w:r>
      <w:r w:rsidR="008D305E">
        <w:t>DGs</w:t>
      </w:r>
      <w:r>
        <w:t xml:space="preserve"> by 2015 and to exit Least Developed Country status by 2020</w:t>
      </w:r>
      <w:r w:rsidR="00AA7011">
        <w:t xml:space="preserve">. </w:t>
      </w:r>
      <w:r w:rsidR="008D305E">
        <w:t xml:space="preserve">The plan </w:t>
      </w:r>
      <w:r>
        <w:t>targets annual growth of at least 8</w:t>
      </w:r>
      <w:r w:rsidR="00E35015">
        <w:t xml:space="preserve"> per cent</w:t>
      </w:r>
      <w:r>
        <w:t xml:space="preserve"> and outlines measures to diversify and deepen economic activities, improve human capital and participation, enhance productivity and ensure sustainable use of natural resources</w:t>
      </w:r>
      <w:r w:rsidR="00AA7011">
        <w:t xml:space="preserve">. </w:t>
      </w:r>
    </w:p>
    <w:p w:rsidR="0045354B" w:rsidRDefault="0045354B" w:rsidP="00236560">
      <w:pPr>
        <w:pStyle w:val="BodyText"/>
        <w:spacing w:after="200"/>
      </w:pPr>
      <w:r>
        <w:lastRenderedPageBreak/>
        <w:t xml:space="preserve">There are concerns that the </w:t>
      </w:r>
      <w:r w:rsidR="008D305E">
        <w:t xml:space="preserve">national </w:t>
      </w:r>
      <w:r>
        <w:t>financing plan may need to be revised (it seeks a 44</w:t>
      </w:r>
      <w:r w:rsidR="008D305E">
        <w:t> </w:t>
      </w:r>
      <w:r w:rsidR="00E35015">
        <w:t>per</w:t>
      </w:r>
      <w:r w:rsidR="00B72333">
        <w:t> </w:t>
      </w:r>
      <w:r w:rsidR="00E35015">
        <w:t>cent</w:t>
      </w:r>
      <w:r>
        <w:t xml:space="preserve"> increase in </w:t>
      </w:r>
      <w:r w:rsidR="0062706C" w:rsidRPr="0062706C">
        <w:rPr>
          <w:rFonts w:cs="Arial"/>
          <w:color w:val="000000"/>
        </w:rPr>
        <w:t>official development assistance</w:t>
      </w:r>
      <w:r w:rsidR="0062706C" w:rsidRPr="0062706C">
        <w:t xml:space="preserve"> (</w:t>
      </w:r>
      <w:r w:rsidRPr="0062706C">
        <w:t>ODA</w:t>
      </w:r>
      <w:r w:rsidR="0062706C" w:rsidRPr="0062706C">
        <w:t>)</w:t>
      </w:r>
      <w:r w:rsidRPr="0062706C">
        <w:t xml:space="preserve"> over</w:t>
      </w:r>
      <w:r>
        <w:t xml:space="preserve"> 2008</w:t>
      </w:r>
      <w:r w:rsidR="00E35015">
        <w:t>–</w:t>
      </w:r>
      <w:r>
        <w:t>09 figures and demands that the presently high levels of foreign direct investment</w:t>
      </w:r>
      <w:r w:rsidRPr="00B85378">
        <w:t xml:space="preserve"> </w:t>
      </w:r>
      <w:r w:rsidR="008D305E">
        <w:t xml:space="preserve">be </w:t>
      </w:r>
      <w:r>
        <w:t>maintained indefinitely)</w:t>
      </w:r>
      <w:r w:rsidR="00AA7011">
        <w:t xml:space="preserve">. </w:t>
      </w:r>
      <w:r>
        <w:t xml:space="preserve">Achievement of the development targets outlined in the </w:t>
      </w:r>
      <w:r w:rsidR="008D305E">
        <w:t xml:space="preserve">plan </w:t>
      </w:r>
      <w:r>
        <w:t xml:space="preserve">will depend on the Government delivering on </w:t>
      </w:r>
      <w:r w:rsidR="008D305E">
        <w:t xml:space="preserve">its environmentally sustainable and equitable growth </w:t>
      </w:r>
      <w:r>
        <w:t>commitments</w:t>
      </w:r>
      <w:r w:rsidR="00AA7011">
        <w:t xml:space="preserve">. </w:t>
      </w:r>
    </w:p>
    <w:p w:rsidR="0045354B" w:rsidRDefault="0045354B" w:rsidP="00236560">
      <w:pPr>
        <w:pStyle w:val="Heading2"/>
        <w:keepNext/>
        <w:numPr>
          <w:ilvl w:val="0"/>
          <w:numId w:val="0"/>
        </w:numPr>
        <w:tabs>
          <w:tab w:val="left" w:pos="1920"/>
        </w:tabs>
        <w:spacing w:before="0" w:after="120" w:line="320" w:lineRule="atLeast"/>
      </w:pPr>
      <w:bookmarkStart w:id="2" w:name="_Toc360989276"/>
      <w:r>
        <w:t xml:space="preserve">Sustainable and </w:t>
      </w:r>
      <w:r w:rsidR="00AA7011">
        <w:t>e</w:t>
      </w:r>
      <w:r>
        <w:t xml:space="preserve">quitable </w:t>
      </w:r>
      <w:r w:rsidR="00AA7011">
        <w:t>g</w:t>
      </w:r>
      <w:r>
        <w:t>rowth</w:t>
      </w:r>
      <w:bookmarkEnd w:id="2"/>
    </w:p>
    <w:p w:rsidR="0045354B" w:rsidRDefault="0045354B" w:rsidP="0045354B">
      <w:pPr>
        <w:pStyle w:val="BodyText"/>
      </w:pPr>
      <w:r>
        <w:t xml:space="preserve">There is strong demand for Lao exports from regional partners and high levels of foreign direct investment, particularly from China, </w:t>
      </w:r>
      <w:r w:rsidR="008D305E">
        <w:t xml:space="preserve">Thailand and </w:t>
      </w:r>
      <w:r>
        <w:t>Vietnam</w:t>
      </w:r>
      <w:r w:rsidR="008D305E">
        <w:t>, b</w:t>
      </w:r>
      <w:r>
        <w:t>ut trade and investment flows with developed economies remain very low</w:t>
      </w:r>
      <w:r w:rsidR="00AA7011">
        <w:t xml:space="preserve">. </w:t>
      </w:r>
      <w:r>
        <w:t>A recent World Bank report</w:t>
      </w:r>
      <w:r>
        <w:rPr>
          <w:rStyle w:val="FootnoteReference"/>
        </w:rPr>
        <w:footnoteReference w:id="9"/>
      </w:r>
      <w:r>
        <w:t xml:space="preserve"> highlighted the risks for Laos if new investment comes on line without corresponding improvements in planning, regulatory frameworks and a transparent and accountable fiscal regime</w:t>
      </w:r>
      <w:r w:rsidR="00AA7011">
        <w:t xml:space="preserve">. </w:t>
      </w:r>
      <w:r>
        <w:t>The Government must attract quality investment that will preserve and protect the environment, improve the wellbeing and incomes of communities and generate long</w:t>
      </w:r>
      <w:r w:rsidR="008D305E">
        <w:t>-</w:t>
      </w:r>
      <w:r>
        <w:t>term benefits (including revenue) for Laos</w:t>
      </w:r>
      <w:r w:rsidR="00AA7011">
        <w:t xml:space="preserve">. </w:t>
      </w:r>
      <w:r>
        <w:t>Capacity building for government staff at all levels will be critical to this effort</w:t>
      </w:r>
      <w:r w:rsidR="00AA7011">
        <w:t xml:space="preserve">. </w:t>
      </w:r>
    </w:p>
    <w:p w:rsidR="0045354B" w:rsidRDefault="008D305E" w:rsidP="0045354B">
      <w:pPr>
        <w:pStyle w:val="BodyText"/>
      </w:pPr>
      <w:r>
        <w:t>T</w:t>
      </w:r>
      <w:r w:rsidR="0045354B">
        <w:t xml:space="preserve">he World Bank-supported Nam Theun 2 hydro scheme demonstrates aspects of worldwide good </w:t>
      </w:r>
      <w:proofErr w:type="gramStart"/>
      <w:r w:rsidR="0045354B">
        <w:t>practice,</w:t>
      </w:r>
      <w:proofErr w:type="gramEnd"/>
      <w:r>
        <w:t xml:space="preserve"> however</w:t>
      </w:r>
      <w:r w:rsidR="0045354B">
        <w:t xml:space="preserve"> these standards are not necessarily being applied in other investment projects</w:t>
      </w:r>
      <w:r w:rsidR="00AA7011">
        <w:t xml:space="preserve">. </w:t>
      </w:r>
      <w:r w:rsidR="0045354B">
        <w:t>Planned investments in the hydropower sector are likely to have significant environmental and social impacts</w:t>
      </w:r>
      <w:r w:rsidR="00AA7011">
        <w:t xml:space="preserve">. </w:t>
      </w:r>
      <w:r w:rsidR="0045354B">
        <w:t>The most recent is the Sayaboury Dam proposal</w:t>
      </w:r>
      <w:r>
        <w:t>, which is seen to have</w:t>
      </w:r>
      <w:r w:rsidR="0045354B">
        <w:t xml:space="preserve"> had relatively weak impact assessment and community consultation processes</w:t>
      </w:r>
      <w:r w:rsidR="00AA7011">
        <w:t xml:space="preserve">. </w:t>
      </w:r>
    </w:p>
    <w:p w:rsidR="0045354B" w:rsidRDefault="0045354B" w:rsidP="0045354B">
      <w:pPr>
        <w:pStyle w:val="BodyText"/>
      </w:pPr>
      <w:r>
        <w:t>In the face of growing major investment, particularly in rural areas, it is essential that community perspectives are heard and influence planning and decision making</w:t>
      </w:r>
      <w:r w:rsidR="00AA7011">
        <w:t xml:space="preserve">. </w:t>
      </w:r>
      <w:r>
        <w:t>This is particularly important when resettlement is involved</w:t>
      </w:r>
      <w:r w:rsidR="00AA7011">
        <w:t xml:space="preserve">. </w:t>
      </w:r>
      <w:r>
        <w:t>The resulting impact on wellbeing, livelihoods and traditional ways of life needs to be carefully managed</w:t>
      </w:r>
      <w:r w:rsidR="00AA7011">
        <w:t xml:space="preserve">. </w:t>
      </w:r>
      <w:r>
        <w:t>Resettlement has been included in the 7</w:t>
      </w:r>
      <w:r w:rsidRPr="0018003E">
        <w:rPr>
          <w:vertAlign w:val="superscript"/>
        </w:rPr>
        <w:t>th</w:t>
      </w:r>
      <w:r>
        <w:t xml:space="preserve"> NSEDP as a strategy to ensure service delivery and livelihoods for poor rural communities and is becoming more visible as a practical issue in every sector (</w:t>
      </w:r>
      <w:r w:rsidR="00E35015">
        <w:t>for example,</w:t>
      </w:r>
      <w:r>
        <w:t xml:space="preserve"> planning community education, health</w:t>
      </w:r>
      <w:r w:rsidR="00D07E1E">
        <w:t xml:space="preserve"> and </w:t>
      </w:r>
      <w:r>
        <w:t xml:space="preserve"> agriculture infrastructure)</w:t>
      </w:r>
      <w:r w:rsidR="00AA7011">
        <w:t xml:space="preserve">. </w:t>
      </w:r>
      <w:r>
        <w:t>It is important that donors, including Australia, support an ongoing dialogue with Government on issues such as resettlement and responsible investment.</w:t>
      </w:r>
    </w:p>
    <w:p w:rsidR="00CC356F" w:rsidRPr="00462194" w:rsidRDefault="00CC356F" w:rsidP="009E0427">
      <w:pPr>
        <w:pStyle w:val="H1"/>
        <w:spacing w:before="240"/>
      </w:pPr>
      <w:bookmarkStart w:id="3" w:name="_Toc360989277"/>
      <w:r>
        <w:t>Program objectives</w:t>
      </w:r>
      <w:bookmarkEnd w:id="3"/>
    </w:p>
    <w:p w:rsidR="0045354B" w:rsidRDefault="0045354B" w:rsidP="0045354B">
      <w:pPr>
        <w:pStyle w:val="BodyText"/>
      </w:pPr>
      <w:r>
        <w:t>The latest available Foreign Aid Implementation Report (2008</w:t>
      </w:r>
      <w:r w:rsidR="00E35015">
        <w:t>–</w:t>
      </w:r>
      <w:r>
        <w:t>09) ranked Australia 9</w:t>
      </w:r>
      <w:r w:rsidRPr="00ED5EE8">
        <w:rPr>
          <w:vertAlign w:val="superscript"/>
        </w:rPr>
        <w:t>th</w:t>
      </w:r>
      <w:r>
        <w:t xml:space="preserve"> among development partners by disbursement and 6</w:t>
      </w:r>
      <w:r w:rsidRPr="00ED5EE8">
        <w:rPr>
          <w:vertAlign w:val="superscript"/>
        </w:rPr>
        <w:t>th</w:t>
      </w:r>
      <w:r>
        <w:t xml:space="preserve"> among bilateral donors (behind Japan, Germany, Korea, Thailand and the European Union)</w:t>
      </w:r>
      <w:r w:rsidR="000B555E">
        <w:t>.</w:t>
      </w:r>
      <w:r>
        <w:rPr>
          <w:rStyle w:val="FootnoteReference"/>
        </w:rPr>
        <w:footnoteReference w:id="10"/>
      </w:r>
      <w:r w:rsidR="00AA7011">
        <w:t xml:space="preserve"> </w:t>
      </w:r>
      <w:r>
        <w:t>China and Vietnam do not appear as major donors</w:t>
      </w:r>
      <w:r w:rsidR="00D07E1E">
        <w:t xml:space="preserve">, </w:t>
      </w:r>
      <w:r>
        <w:t xml:space="preserve">although their private </w:t>
      </w:r>
      <w:r w:rsidR="004A0F71">
        <w:t xml:space="preserve">sector </w:t>
      </w:r>
      <w:r>
        <w:t>investment in Laos is substantial.</w:t>
      </w:r>
    </w:p>
    <w:p w:rsidR="0045354B" w:rsidRDefault="0045354B" w:rsidP="0045354B">
      <w:pPr>
        <w:pStyle w:val="BodyText"/>
      </w:pPr>
      <w:r>
        <w:t>In 2008</w:t>
      </w:r>
      <w:r w:rsidR="00E35015">
        <w:t>–</w:t>
      </w:r>
      <w:r>
        <w:t xml:space="preserve">09, Australia’s </w:t>
      </w:r>
      <w:r w:rsidR="00D07E1E">
        <w:t>ODA</w:t>
      </w:r>
      <w:r>
        <w:t xml:space="preserve"> to Laos was $26 million</w:t>
      </w:r>
      <w:r w:rsidR="00AA7011">
        <w:t xml:space="preserve">. </w:t>
      </w:r>
      <w:r>
        <w:t>In 2009</w:t>
      </w:r>
      <w:r w:rsidR="00E35015">
        <w:t>–</w:t>
      </w:r>
      <w:r>
        <w:t xml:space="preserve">10, </w:t>
      </w:r>
      <w:r w:rsidR="00D07E1E">
        <w:t>it</w:t>
      </w:r>
      <w:r>
        <w:t xml:space="preserve"> was estimated at $37</w:t>
      </w:r>
      <w:r w:rsidR="00B72333">
        <w:t> </w:t>
      </w:r>
      <w:r>
        <w:t>million</w:t>
      </w:r>
      <w:r w:rsidR="00AA7011">
        <w:t xml:space="preserve">. </w:t>
      </w:r>
      <w:r>
        <w:t xml:space="preserve">Most Australian ODA is delivered by AusAID but </w:t>
      </w:r>
      <w:r w:rsidR="0062706C" w:rsidRPr="00DD35EA">
        <w:rPr>
          <w:rFonts w:cs="Arial"/>
          <w:color w:val="000000"/>
        </w:rPr>
        <w:t xml:space="preserve">Australian Centre for International Agricultural </w:t>
      </w:r>
      <w:r w:rsidR="0062706C" w:rsidRPr="0062706C">
        <w:rPr>
          <w:rFonts w:cs="Arial"/>
          <w:color w:val="000000"/>
        </w:rPr>
        <w:t>Research</w:t>
      </w:r>
      <w:r w:rsidR="0062706C" w:rsidRPr="0062706C">
        <w:t xml:space="preserve"> (</w:t>
      </w:r>
      <w:r w:rsidRPr="0062706C">
        <w:t>ACIAR</w:t>
      </w:r>
      <w:r w:rsidR="0062706C">
        <w:t>)</w:t>
      </w:r>
      <w:r>
        <w:t xml:space="preserve"> has an ongoing program of agricultural research valued at approximately $1.4 million in 2009</w:t>
      </w:r>
      <w:r w:rsidR="00E35015">
        <w:t>–</w:t>
      </w:r>
      <w:r>
        <w:t>10 and the Department of Foreign Affairs and Trade</w:t>
      </w:r>
      <w:r w:rsidR="004F3BE5">
        <w:t xml:space="preserve"> (DFAT)</w:t>
      </w:r>
      <w:r>
        <w:t xml:space="preserve"> manages a small </w:t>
      </w:r>
      <w:r w:rsidR="00D07E1E">
        <w:t>d</w:t>
      </w:r>
      <w:r>
        <w:t xml:space="preserve">irect </w:t>
      </w:r>
      <w:r w:rsidR="00D07E1E">
        <w:t>a</w:t>
      </w:r>
      <w:r>
        <w:t xml:space="preserve">id </w:t>
      </w:r>
      <w:r w:rsidR="00D07E1E">
        <w:t>p</w:t>
      </w:r>
      <w:r>
        <w:t xml:space="preserve">rogram at Post. </w:t>
      </w:r>
    </w:p>
    <w:p w:rsidR="0045354B" w:rsidRDefault="0045354B" w:rsidP="0045354B">
      <w:pPr>
        <w:pStyle w:val="Caption"/>
      </w:pPr>
      <w:r>
        <w:lastRenderedPageBreak/>
        <w:t xml:space="preserve">Table </w:t>
      </w:r>
      <w:r w:rsidR="00FC2D35">
        <w:fldChar w:fldCharType="begin"/>
      </w:r>
      <w:r w:rsidR="00FC2D35">
        <w:instrText xml:space="preserve"> SEQ Table \* MERGEFORMAT </w:instrText>
      </w:r>
      <w:r w:rsidR="00FC2D35">
        <w:fldChar w:fldCharType="separate"/>
      </w:r>
      <w:r w:rsidR="00FB3FE4">
        <w:rPr>
          <w:noProof/>
        </w:rPr>
        <w:t>1</w:t>
      </w:r>
      <w:r w:rsidR="00FC2D35">
        <w:rPr>
          <w:noProof/>
        </w:rPr>
        <w:fldChar w:fldCharType="end"/>
      </w:r>
      <w:r>
        <w:t>: Estimated bilateral expenditure in Laos in 2009</w:t>
      </w:r>
      <w:r w:rsidR="00E35015">
        <w:t>–</w:t>
      </w:r>
      <w:r>
        <w:t>2010</w:t>
      </w:r>
    </w:p>
    <w:tbl>
      <w:tblPr>
        <w:tblW w:w="0" w:type="auto"/>
        <w:tblInd w:w="57" w:type="dxa"/>
        <w:tblLayout w:type="fixed"/>
        <w:tblLook w:val="0000" w:firstRow="0" w:lastRow="0" w:firstColumn="0" w:lastColumn="0" w:noHBand="0" w:noVBand="0"/>
      </w:tblPr>
      <w:tblGrid>
        <w:gridCol w:w="5907"/>
        <w:gridCol w:w="902"/>
        <w:gridCol w:w="1128"/>
      </w:tblGrid>
      <w:tr w:rsidR="0045354B" w:rsidRPr="005C4611" w:rsidTr="007C104E">
        <w:trPr>
          <w:cantSplit/>
          <w:tblHeader/>
        </w:trPr>
        <w:tc>
          <w:tcPr>
            <w:tcW w:w="5907" w:type="dxa"/>
            <w:tcBorders>
              <w:top w:val="single" w:sz="12" w:space="0" w:color="auto"/>
              <w:bottom w:val="single" w:sz="2" w:space="0" w:color="auto"/>
            </w:tcBorders>
            <w:shd w:val="clear" w:color="auto" w:fill="auto"/>
            <w:tcMar>
              <w:left w:w="57" w:type="dxa"/>
              <w:right w:w="57" w:type="dxa"/>
            </w:tcMar>
          </w:tcPr>
          <w:p w:rsidR="0045354B" w:rsidRPr="005C4611" w:rsidRDefault="0045354B" w:rsidP="001426FC">
            <w:pPr>
              <w:pStyle w:val="TableDataColumnHeading"/>
              <w:jc w:val="left"/>
            </w:pPr>
            <w:r>
              <w:t>Strategic objectives</w:t>
            </w:r>
          </w:p>
        </w:tc>
        <w:tc>
          <w:tcPr>
            <w:tcW w:w="902" w:type="dxa"/>
            <w:tcBorders>
              <w:top w:val="single" w:sz="12" w:space="0" w:color="auto"/>
              <w:bottom w:val="single" w:sz="2" w:space="0" w:color="auto"/>
            </w:tcBorders>
            <w:shd w:val="clear" w:color="auto" w:fill="auto"/>
            <w:tcMar>
              <w:left w:w="57" w:type="dxa"/>
              <w:right w:w="57" w:type="dxa"/>
            </w:tcMar>
          </w:tcPr>
          <w:p w:rsidR="0045354B" w:rsidRPr="005C4611" w:rsidRDefault="0045354B" w:rsidP="001426FC">
            <w:pPr>
              <w:pStyle w:val="TableDataColumnHeading"/>
            </w:pPr>
            <w:r>
              <w:t xml:space="preserve">$ </w:t>
            </w:r>
            <w:r w:rsidRPr="005C4611">
              <w:t>million</w:t>
            </w:r>
          </w:p>
        </w:tc>
        <w:tc>
          <w:tcPr>
            <w:tcW w:w="1128" w:type="dxa"/>
            <w:tcBorders>
              <w:top w:val="single" w:sz="12" w:space="0" w:color="auto"/>
              <w:bottom w:val="single" w:sz="2" w:space="0" w:color="auto"/>
            </w:tcBorders>
            <w:shd w:val="clear" w:color="auto" w:fill="auto"/>
            <w:tcMar>
              <w:left w:w="57" w:type="dxa"/>
              <w:right w:w="57" w:type="dxa"/>
            </w:tcMar>
          </w:tcPr>
          <w:p w:rsidR="0045354B" w:rsidRPr="005C4611" w:rsidRDefault="0045354B" w:rsidP="001426FC">
            <w:pPr>
              <w:pStyle w:val="TableDataColumnHeading"/>
            </w:pPr>
            <w:r w:rsidRPr="005C4611">
              <w:t>% of bilateral program</w:t>
            </w:r>
          </w:p>
        </w:tc>
      </w:tr>
      <w:tr w:rsidR="0045354B" w:rsidRPr="002452D0" w:rsidTr="007C104E">
        <w:trPr>
          <w:cantSplit/>
        </w:trPr>
        <w:tc>
          <w:tcPr>
            <w:tcW w:w="5907" w:type="dxa"/>
            <w:tcBorders>
              <w:top w:val="single" w:sz="2" w:space="0" w:color="auto"/>
            </w:tcBorders>
            <w:shd w:val="clear" w:color="auto" w:fill="auto"/>
            <w:tcMar>
              <w:left w:w="57" w:type="dxa"/>
              <w:right w:w="57" w:type="dxa"/>
            </w:tcMar>
          </w:tcPr>
          <w:p w:rsidR="0045354B" w:rsidRPr="00981651" w:rsidRDefault="0045354B" w:rsidP="001426FC">
            <w:pPr>
              <w:pStyle w:val="TableDataEntries"/>
              <w:jc w:val="left"/>
            </w:pPr>
            <w:r w:rsidRPr="00981651">
              <w:t>Objective 1:</w:t>
            </w:r>
            <w:r>
              <w:t xml:space="preserve"> </w:t>
            </w:r>
            <w:r w:rsidRPr="00981651">
              <w:t>Mitigation of key constraints to equitable access to a basic quality education in targeted poor geographic areas</w:t>
            </w:r>
          </w:p>
        </w:tc>
        <w:tc>
          <w:tcPr>
            <w:tcW w:w="902" w:type="dxa"/>
            <w:tcBorders>
              <w:top w:val="single" w:sz="2" w:space="0" w:color="auto"/>
            </w:tcBorders>
            <w:shd w:val="clear" w:color="auto" w:fill="auto"/>
            <w:tcMar>
              <w:left w:w="57" w:type="dxa"/>
              <w:right w:w="57" w:type="dxa"/>
            </w:tcMar>
          </w:tcPr>
          <w:p w:rsidR="0045354B" w:rsidRPr="00593F42" w:rsidRDefault="0045354B" w:rsidP="001426FC">
            <w:pPr>
              <w:pStyle w:val="TableDataEntries"/>
              <w:ind w:right="85"/>
            </w:pPr>
            <w:r>
              <w:t>7.3</w:t>
            </w:r>
          </w:p>
        </w:tc>
        <w:tc>
          <w:tcPr>
            <w:tcW w:w="1128" w:type="dxa"/>
            <w:tcBorders>
              <w:top w:val="single" w:sz="2" w:space="0" w:color="auto"/>
            </w:tcBorders>
            <w:shd w:val="clear" w:color="auto" w:fill="auto"/>
            <w:tcMar>
              <w:left w:w="57" w:type="dxa"/>
              <w:right w:w="57" w:type="dxa"/>
            </w:tcMar>
          </w:tcPr>
          <w:p w:rsidR="0045354B" w:rsidRPr="00981651" w:rsidRDefault="0045354B" w:rsidP="001426FC">
            <w:pPr>
              <w:pStyle w:val="TableDataEntries"/>
            </w:pPr>
            <w:r>
              <w:t>25</w:t>
            </w:r>
          </w:p>
        </w:tc>
      </w:tr>
      <w:tr w:rsidR="0045354B" w:rsidRPr="00920620" w:rsidTr="007C104E">
        <w:trPr>
          <w:cantSplit/>
        </w:trPr>
        <w:tc>
          <w:tcPr>
            <w:tcW w:w="5907" w:type="dxa"/>
            <w:shd w:val="clear" w:color="auto" w:fill="auto"/>
            <w:tcMar>
              <w:left w:w="57" w:type="dxa"/>
              <w:right w:w="57" w:type="dxa"/>
            </w:tcMar>
          </w:tcPr>
          <w:p w:rsidR="0045354B" w:rsidRPr="00981651" w:rsidRDefault="0045354B" w:rsidP="001426FC">
            <w:pPr>
              <w:pStyle w:val="TableDataEntries"/>
              <w:jc w:val="left"/>
            </w:pPr>
            <w:r w:rsidRPr="00981651">
              <w:t>Objective 2:</w:t>
            </w:r>
            <w:r>
              <w:t xml:space="preserve"> </w:t>
            </w:r>
            <w:r w:rsidRPr="00981651">
              <w:t>Better management of Government of Laos and donor resources available to the education sector through implementation of a jointly agreed 10-year education sector framework</w:t>
            </w:r>
          </w:p>
        </w:tc>
        <w:tc>
          <w:tcPr>
            <w:tcW w:w="902" w:type="dxa"/>
            <w:shd w:val="clear" w:color="auto" w:fill="auto"/>
            <w:tcMar>
              <w:left w:w="57" w:type="dxa"/>
              <w:right w:w="57" w:type="dxa"/>
            </w:tcMar>
          </w:tcPr>
          <w:p w:rsidR="0045354B" w:rsidRPr="00593F42" w:rsidRDefault="0045354B" w:rsidP="001426FC">
            <w:pPr>
              <w:pStyle w:val="TableDataEntries"/>
              <w:ind w:right="85"/>
            </w:pPr>
            <w:r>
              <w:t>2.6</w:t>
            </w:r>
          </w:p>
        </w:tc>
        <w:tc>
          <w:tcPr>
            <w:tcW w:w="1128" w:type="dxa"/>
            <w:shd w:val="clear" w:color="auto" w:fill="auto"/>
            <w:tcMar>
              <w:left w:w="57" w:type="dxa"/>
              <w:right w:w="57" w:type="dxa"/>
            </w:tcMar>
          </w:tcPr>
          <w:p w:rsidR="0045354B" w:rsidRPr="00981651" w:rsidRDefault="0045354B" w:rsidP="001426FC">
            <w:pPr>
              <w:pStyle w:val="TableDataEntries"/>
            </w:pPr>
            <w:r>
              <w:t>8.8</w:t>
            </w:r>
          </w:p>
        </w:tc>
      </w:tr>
      <w:tr w:rsidR="0045354B" w:rsidRPr="00920620" w:rsidTr="007C104E">
        <w:trPr>
          <w:cantSplit/>
        </w:trPr>
        <w:tc>
          <w:tcPr>
            <w:tcW w:w="5907" w:type="dxa"/>
            <w:shd w:val="clear" w:color="auto" w:fill="auto"/>
            <w:tcMar>
              <w:left w:w="57" w:type="dxa"/>
              <w:right w:w="57" w:type="dxa"/>
            </w:tcMar>
          </w:tcPr>
          <w:p w:rsidR="0045354B" w:rsidRPr="00981651" w:rsidRDefault="0045354B" w:rsidP="001426FC">
            <w:pPr>
              <w:pStyle w:val="TableDataEntries"/>
              <w:jc w:val="left"/>
              <w:rPr>
                <w:rFonts w:ascii="Franklin Gothic Medium" w:hAnsi="Franklin Gothic Medium"/>
              </w:rPr>
            </w:pPr>
            <w:r w:rsidRPr="00B04F1C">
              <w:t>Objective 3: Policy</w:t>
            </w:r>
            <w:r w:rsidRPr="00981651">
              <w:t xml:space="preserve"> and institutional impediments to trade and investment addressed in sectors that contribute to inclusive growth</w:t>
            </w:r>
          </w:p>
        </w:tc>
        <w:tc>
          <w:tcPr>
            <w:tcW w:w="902" w:type="dxa"/>
            <w:shd w:val="clear" w:color="auto" w:fill="auto"/>
            <w:tcMar>
              <w:left w:w="57" w:type="dxa"/>
              <w:right w:w="57" w:type="dxa"/>
            </w:tcMar>
          </w:tcPr>
          <w:p w:rsidR="0045354B" w:rsidRPr="00593F42" w:rsidRDefault="0045354B" w:rsidP="001426FC">
            <w:pPr>
              <w:pStyle w:val="TableDataEntries"/>
              <w:ind w:right="85"/>
            </w:pPr>
            <w:r>
              <w:t>2.6</w:t>
            </w:r>
          </w:p>
        </w:tc>
        <w:tc>
          <w:tcPr>
            <w:tcW w:w="1128" w:type="dxa"/>
            <w:shd w:val="clear" w:color="auto" w:fill="auto"/>
            <w:tcMar>
              <w:left w:w="57" w:type="dxa"/>
              <w:right w:w="57" w:type="dxa"/>
            </w:tcMar>
          </w:tcPr>
          <w:p w:rsidR="0045354B" w:rsidRPr="00FF0884" w:rsidRDefault="0045354B" w:rsidP="001426FC">
            <w:pPr>
              <w:pStyle w:val="TableDataEntries"/>
            </w:pPr>
            <w:r>
              <w:t>8.8</w:t>
            </w:r>
          </w:p>
        </w:tc>
      </w:tr>
      <w:tr w:rsidR="0045354B" w:rsidRPr="00920620" w:rsidTr="007C104E">
        <w:trPr>
          <w:cantSplit/>
        </w:trPr>
        <w:tc>
          <w:tcPr>
            <w:tcW w:w="5907" w:type="dxa"/>
            <w:shd w:val="clear" w:color="auto" w:fill="auto"/>
            <w:tcMar>
              <w:left w:w="57" w:type="dxa"/>
              <w:right w:w="57" w:type="dxa"/>
            </w:tcMar>
          </w:tcPr>
          <w:p w:rsidR="0045354B" w:rsidRPr="00981651" w:rsidRDefault="0045354B" w:rsidP="001426FC">
            <w:pPr>
              <w:pStyle w:val="TableDataEntries"/>
              <w:jc w:val="left"/>
              <w:rPr>
                <w:rFonts w:ascii="Franklin Gothic Medium" w:hAnsi="Franklin Gothic Medium"/>
              </w:rPr>
            </w:pPr>
            <w:r w:rsidRPr="00981651">
              <w:t>Objective 4:</w:t>
            </w:r>
            <w:r>
              <w:t xml:space="preserve"> </w:t>
            </w:r>
            <w:r w:rsidRPr="00981651">
              <w:t>Delivery and modelling of effective programs that result in equitable and sustainable improvements to livelihoods in targeted geographic areas</w:t>
            </w:r>
          </w:p>
        </w:tc>
        <w:tc>
          <w:tcPr>
            <w:tcW w:w="902" w:type="dxa"/>
            <w:shd w:val="clear" w:color="auto" w:fill="auto"/>
            <w:tcMar>
              <w:left w:w="57" w:type="dxa"/>
              <w:right w:w="57" w:type="dxa"/>
            </w:tcMar>
          </w:tcPr>
          <w:p w:rsidR="0045354B" w:rsidRPr="00981651" w:rsidRDefault="0045354B" w:rsidP="001426FC">
            <w:pPr>
              <w:pStyle w:val="TableDataEntries"/>
              <w:rPr>
                <w:rFonts w:ascii="Franklin Gothic Medium" w:hAnsi="Franklin Gothic Medium"/>
              </w:rPr>
            </w:pPr>
            <w:r>
              <w:t>2.7</w:t>
            </w:r>
            <w:r>
              <w:rPr>
                <w:rStyle w:val="NoteLabel"/>
              </w:rPr>
              <w:t>a</w:t>
            </w:r>
          </w:p>
        </w:tc>
        <w:tc>
          <w:tcPr>
            <w:tcW w:w="1128" w:type="dxa"/>
            <w:shd w:val="clear" w:color="auto" w:fill="auto"/>
            <w:tcMar>
              <w:left w:w="57" w:type="dxa"/>
              <w:right w:w="57" w:type="dxa"/>
            </w:tcMar>
          </w:tcPr>
          <w:p w:rsidR="0045354B" w:rsidRPr="00FF0884" w:rsidRDefault="0045354B" w:rsidP="001426FC">
            <w:pPr>
              <w:pStyle w:val="TableDataEntries"/>
            </w:pPr>
            <w:r>
              <w:t>9.5</w:t>
            </w:r>
          </w:p>
        </w:tc>
      </w:tr>
      <w:tr w:rsidR="0045354B" w:rsidRPr="00920620" w:rsidTr="007C104E">
        <w:trPr>
          <w:cantSplit/>
        </w:trPr>
        <w:tc>
          <w:tcPr>
            <w:tcW w:w="5907" w:type="dxa"/>
            <w:shd w:val="clear" w:color="auto" w:fill="auto"/>
            <w:tcMar>
              <w:left w:w="57" w:type="dxa"/>
              <w:right w:w="57" w:type="dxa"/>
            </w:tcMar>
          </w:tcPr>
          <w:p w:rsidR="0045354B" w:rsidRPr="00981651" w:rsidRDefault="0045354B" w:rsidP="001426FC">
            <w:pPr>
              <w:pStyle w:val="TableDataEntries"/>
              <w:jc w:val="left"/>
              <w:rPr>
                <w:rFonts w:ascii="Franklin Gothic Medium" w:hAnsi="Franklin Gothic Medium"/>
              </w:rPr>
            </w:pPr>
            <w:r w:rsidRPr="00981651">
              <w:t>Objective 5:</w:t>
            </w:r>
            <w:r>
              <w:t xml:space="preserve"> </w:t>
            </w:r>
            <w:r w:rsidRPr="00981651">
              <w:t>Improved prioritisation, delivery efficiency and coordination of mine action activities</w:t>
            </w:r>
          </w:p>
        </w:tc>
        <w:tc>
          <w:tcPr>
            <w:tcW w:w="902" w:type="dxa"/>
            <w:shd w:val="clear" w:color="auto" w:fill="auto"/>
            <w:tcMar>
              <w:left w:w="57" w:type="dxa"/>
              <w:right w:w="57" w:type="dxa"/>
            </w:tcMar>
          </w:tcPr>
          <w:p w:rsidR="0045354B" w:rsidRPr="00FF0884" w:rsidRDefault="0045354B" w:rsidP="001426FC">
            <w:pPr>
              <w:pStyle w:val="TableDataEntries"/>
              <w:ind w:right="85"/>
            </w:pPr>
            <w:r>
              <w:t>1.3</w:t>
            </w:r>
          </w:p>
        </w:tc>
        <w:tc>
          <w:tcPr>
            <w:tcW w:w="1128" w:type="dxa"/>
            <w:shd w:val="clear" w:color="auto" w:fill="auto"/>
            <w:tcMar>
              <w:left w:w="57" w:type="dxa"/>
              <w:right w:w="57" w:type="dxa"/>
            </w:tcMar>
          </w:tcPr>
          <w:p w:rsidR="0045354B" w:rsidRPr="00FF0884" w:rsidRDefault="0045354B" w:rsidP="001426FC">
            <w:pPr>
              <w:pStyle w:val="TableDataEntries"/>
            </w:pPr>
            <w:r>
              <w:t>4.6</w:t>
            </w:r>
          </w:p>
        </w:tc>
      </w:tr>
      <w:tr w:rsidR="0045354B" w:rsidRPr="00FF0884" w:rsidTr="007C104E">
        <w:trPr>
          <w:cantSplit/>
        </w:trPr>
        <w:tc>
          <w:tcPr>
            <w:tcW w:w="5907" w:type="dxa"/>
            <w:shd w:val="clear" w:color="auto" w:fill="auto"/>
            <w:tcMar>
              <w:left w:w="57" w:type="dxa"/>
              <w:right w:w="57" w:type="dxa"/>
            </w:tcMar>
          </w:tcPr>
          <w:p w:rsidR="0045354B" w:rsidRPr="00981651" w:rsidRDefault="0045354B" w:rsidP="001426FC">
            <w:pPr>
              <w:pStyle w:val="TableDataEntries"/>
              <w:jc w:val="left"/>
              <w:rPr>
                <w:rFonts w:ascii="Franklin Gothic Medium" w:hAnsi="Franklin Gothic Medium"/>
              </w:rPr>
            </w:pPr>
            <w:r w:rsidRPr="00981651">
              <w:t>Objective 6:</w:t>
            </w:r>
            <w:r>
              <w:t xml:space="preserve"> </w:t>
            </w:r>
            <w:r w:rsidRPr="00981651">
              <w:t>Improved rural infrastructure, particularly roads and electrification</w:t>
            </w:r>
          </w:p>
        </w:tc>
        <w:tc>
          <w:tcPr>
            <w:tcW w:w="902" w:type="dxa"/>
            <w:shd w:val="clear" w:color="auto" w:fill="auto"/>
            <w:tcMar>
              <w:left w:w="57" w:type="dxa"/>
              <w:right w:w="57" w:type="dxa"/>
            </w:tcMar>
          </w:tcPr>
          <w:p w:rsidR="0045354B" w:rsidRPr="00FF0884" w:rsidRDefault="0045354B" w:rsidP="001426FC">
            <w:pPr>
              <w:pStyle w:val="TableDataEntries"/>
              <w:ind w:right="85"/>
            </w:pPr>
            <w:r>
              <w:t>6.6</w:t>
            </w:r>
          </w:p>
        </w:tc>
        <w:tc>
          <w:tcPr>
            <w:tcW w:w="1128" w:type="dxa"/>
            <w:shd w:val="clear" w:color="auto" w:fill="auto"/>
            <w:tcMar>
              <w:left w:w="57" w:type="dxa"/>
              <w:right w:w="57" w:type="dxa"/>
            </w:tcMar>
          </w:tcPr>
          <w:p w:rsidR="0045354B" w:rsidRPr="00FF0884" w:rsidRDefault="0045354B" w:rsidP="001426FC">
            <w:pPr>
              <w:pStyle w:val="TableDataEntries"/>
            </w:pPr>
            <w:r>
              <w:t>22.6</w:t>
            </w:r>
          </w:p>
        </w:tc>
      </w:tr>
      <w:tr w:rsidR="0045354B" w:rsidRPr="00920620" w:rsidTr="007C104E">
        <w:trPr>
          <w:cantSplit/>
        </w:trPr>
        <w:tc>
          <w:tcPr>
            <w:tcW w:w="5907" w:type="dxa"/>
            <w:shd w:val="clear" w:color="auto" w:fill="auto"/>
            <w:tcMar>
              <w:left w:w="57" w:type="dxa"/>
              <w:right w:w="57" w:type="dxa"/>
            </w:tcMar>
          </w:tcPr>
          <w:p w:rsidR="0045354B" w:rsidRPr="00981651" w:rsidRDefault="0045354B" w:rsidP="001426FC">
            <w:pPr>
              <w:pStyle w:val="TableDataEntries"/>
              <w:jc w:val="left"/>
            </w:pPr>
            <w:r w:rsidRPr="00981651">
              <w:t>Scholarships</w:t>
            </w:r>
          </w:p>
        </w:tc>
        <w:tc>
          <w:tcPr>
            <w:tcW w:w="902" w:type="dxa"/>
            <w:shd w:val="clear" w:color="auto" w:fill="auto"/>
            <w:tcMar>
              <w:left w:w="57" w:type="dxa"/>
              <w:right w:w="57" w:type="dxa"/>
            </w:tcMar>
          </w:tcPr>
          <w:p w:rsidR="0045354B" w:rsidRPr="00981651" w:rsidRDefault="0045354B" w:rsidP="001426FC">
            <w:pPr>
              <w:pStyle w:val="TableDataEntries"/>
              <w:ind w:right="85"/>
            </w:pPr>
            <w:r>
              <w:t>6.0</w:t>
            </w:r>
          </w:p>
        </w:tc>
        <w:tc>
          <w:tcPr>
            <w:tcW w:w="1128" w:type="dxa"/>
            <w:shd w:val="clear" w:color="auto" w:fill="auto"/>
            <w:tcMar>
              <w:left w:w="57" w:type="dxa"/>
              <w:right w:w="57" w:type="dxa"/>
            </w:tcMar>
          </w:tcPr>
          <w:p w:rsidR="0045354B" w:rsidRPr="00981651" w:rsidRDefault="0045354B" w:rsidP="001426FC">
            <w:pPr>
              <w:pStyle w:val="TableDataEntries"/>
            </w:pPr>
            <w:r>
              <w:t>20.8</w:t>
            </w:r>
          </w:p>
        </w:tc>
      </w:tr>
      <w:tr w:rsidR="0045354B" w:rsidRPr="00920620" w:rsidTr="007C104E">
        <w:trPr>
          <w:cantSplit/>
        </w:trPr>
        <w:tc>
          <w:tcPr>
            <w:tcW w:w="5907" w:type="dxa"/>
            <w:tcBorders>
              <w:bottom w:val="single" w:sz="12" w:space="0" w:color="auto"/>
            </w:tcBorders>
            <w:shd w:val="clear" w:color="auto" w:fill="F5F1CC"/>
            <w:tcMar>
              <w:left w:w="57" w:type="dxa"/>
              <w:right w:w="57" w:type="dxa"/>
            </w:tcMar>
          </w:tcPr>
          <w:p w:rsidR="0045354B" w:rsidRPr="00981651" w:rsidRDefault="0045354B" w:rsidP="001426FC">
            <w:pPr>
              <w:pStyle w:val="TableHeading1"/>
            </w:pPr>
            <w:r w:rsidRPr="00034BBC">
              <w:t>Total</w:t>
            </w:r>
            <w:r>
              <w:rPr>
                <w:rStyle w:val="NoteLabel"/>
              </w:rPr>
              <w:t>c</w:t>
            </w:r>
          </w:p>
        </w:tc>
        <w:tc>
          <w:tcPr>
            <w:tcW w:w="902" w:type="dxa"/>
            <w:tcBorders>
              <w:bottom w:val="single" w:sz="12" w:space="0" w:color="auto"/>
            </w:tcBorders>
            <w:shd w:val="clear" w:color="auto" w:fill="F5F1CC"/>
            <w:tcMar>
              <w:left w:w="57" w:type="dxa"/>
              <w:right w:w="57" w:type="dxa"/>
            </w:tcMar>
          </w:tcPr>
          <w:p w:rsidR="0045354B" w:rsidRPr="00981651" w:rsidRDefault="0045354B" w:rsidP="001426FC">
            <w:pPr>
              <w:pStyle w:val="TableHeading1"/>
              <w:spacing w:before="40" w:after="40"/>
              <w:ind w:right="85"/>
              <w:jc w:val="right"/>
            </w:pPr>
            <w:r>
              <w:t>29.1</w:t>
            </w:r>
          </w:p>
        </w:tc>
        <w:tc>
          <w:tcPr>
            <w:tcW w:w="1128" w:type="dxa"/>
            <w:tcBorders>
              <w:bottom w:val="single" w:sz="12" w:space="0" w:color="auto"/>
            </w:tcBorders>
            <w:shd w:val="clear" w:color="auto" w:fill="F5F1CC"/>
            <w:tcMar>
              <w:left w:w="57" w:type="dxa"/>
              <w:right w:w="57" w:type="dxa"/>
            </w:tcMar>
          </w:tcPr>
          <w:p w:rsidR="0045354B" w:rsidRDefault="0045354B" w:rsidP="001426FC">
            <w:pPr>
              <w:pStyle w:val="TableHeading1"/>
              <w:jc w:val="right"/>
            </w:pPr>
            <w:r>
              <w:t>100</w:t>
            </w:r>
          </w:p>
        </w:tc>
      </w:tr>
    </w:tbl>
    <w:p w:rsidR="0045354B" w:rsidRPr="009D2300" w:rsidRDefault="0045354B" w:rsidP="0045354B">
      <w:pPr>
        <w:pStyle w:val="NoteNumber"/>
      </w:pPr>
      <w:r>
        <w:t xml:space="preserve">ACIAR expenditure was </w:t>
      </w:r>
      <w:r w:rsidRPr="00385F46">
        <w:t>$</w:t>
      </w:r>
      <w:r>
        <w:t>2.74 million</w:t>
      </w:r>
      <w:r w:rsidRPr="00385F46">
        <w:t xml:space="preserve">. This is not included in the expenditure table, which </w:t>
      </w:r>
      <w:r>
        <w:t>only shows b</w:t>
      </w:r>
      <w:r w:rsidRPr="00385F46">
        <w:t>ilateral</w:t>
      </w:r>
      <w:r>
        <w:t xml:space="preserve"> figures</w:t>
      </w:r>
      <w:r w:rsidRPr="00385F46">
        <w:t>.</w:t>
      </w:r>
    </w:p>
    <w:p w:rsidR="0045354B" w:rsidRDefault="0045354B" w:rsidP="0045354B">
      <w:pPr>
        <w:pStyle w:val="NoteNumber"/>
      </w:pPr>
      <w:r>
        <w:t xml:space="preserve">Expenditure on the </w:t>
      </w:r>
      <w:r w:rsidRPr="00981651">
        <w:t>P</w:t>
      </w:r>
      <w:r>
        <w:t>overty Reduction Support Operation</w:t>
      </w:r>
      <w:r w:rsidRPr="00981651">
        <w:t xml:space="preserve"> </w:t>
      </w:r>
      <w:r>
        <w:t xml:space="preserve">and the </w:t>
      </w:r>
      <w:r w:rsidRPr="00981651">
        <w:t>P</w:t>
      </w:r>
      <w:r>
        <w:t>ublic Financial Management Strengthening Program</w:t>
      </w:r>
      <w:r w:rsidRPr="00981651">
        <w:t xml:space="preserve"> </w:t>
      </w:r>
      <w:r>
        <w:t>have been split between objectives 2 and 3 because of their direct connection to the achievement of those objectives.</w:t>
      </w:r>
    </w:p>
    <w:p w:rsidR="0045354B" w:rsidRPr="006727CD" w:rsidRDefault="0045354B" w:rsidP="0045354B">
      <w:pPr>
        <w:pStyle w:val="NoteNumber"/>
      </w:pPr>
      <w:r>
        <w:t xml:space="preserve">The total does not match expenditure reported in AusAID’s </w:t>
      </w:r>
      <w:r w:rsidRPr="006876B7">
        <w:rPr>
          <w:i/>
        </w:rPr>
        <w:t>Annual Report 2009–10</w:t>
      </w:r>
      <w:r>
        <w:t xml:space="preserve"> due to the exclusion of program support funds.</w:t>
      </w:r>
    </w:p>
    <w:p w:rsidR="00CC356F" w:rsidRPr="00462194" w:rsidRDefault="00CC356F" w:rsidP="009E0427">
      <w:pPr>
        <w:pStyle w:val="H1"/>
        <w:spacing w:before="240"/>
      </w:pPr>
      <w:bookmarkStart w:id="4" w:name="_Toc360989278"/>
      <w:r>
        <w:t>Progress against objectives</w:t>
      </w:r>
      <w:bookmarkEnd w:id="4"/>
    </w:p>
    <w:p w:rsidR="0045354B" w:rsidRPr="00C82CC9" w:rsidRDefault="0045354B" w:rsidP="0045354B">
      <w:pPr>
        <w:pStyle w:val="BodyText"/>
      </w:pPr>
      <w:r>
        <w:t>The Performance Assessment Framework</w:t>
      </w:r>
      <w:r w:rsidR="00D07E1E">
        <w:t xml:space="preserve"> for the Australia – Laos Development Cooperation Strategy 2009–2015</w:t>
      </w:r>
      <w:r>
        <w:t xml:space="preserve"> is provided at Annex A</w:t>
      </w:r>
      <w:r w:rsidR="00AA7011">
        <w:t xml:space="preserve">. </w:t>
      </w:r>
      <w:r>
        <w:t>Strategy objective ratings reflect progress against predetermined annual milestones with an assessment of likely future progress</w:t>
      </w:r>
      <w:r w:rsidR="00AA7011">
        <w:t xml:space="preserve">. </w:t>
      </w:r>
      <w:r>
        <w:t>Specific reporting against each 2010 milestone is available in Annex A</w:t>
      </w:r>
      <w:r w:rsidR="00AA7011">
        <w:t xml:space="preserve">. </w:t>
      </w:r>
      <w:r>
        <w:t xml:space="preserve">Milestones for 2011 are also included in </w:t>
      </w:r>
      <w:r w:rsidR="00B72333">
        <w:t>A</w:t>
      </w:r>
      <w:r>
        <w:t>nnex</w:t>
      </w:r>
      <w:r w:rsidR="00B72333">
        <w:t xml:space="preserve"> A</w:t>
      </w:r>
      <w:r w:rsidR="00AA7011">
        <w:t xml:space="preserve">. </w:t>
      </w:r>
      <w:r>
        <w:t>The Top 5 milestones to be monitored and reported each year</w:t>
      </w:r>
      <w:r w:rsidR="00D07E1E">
        <w:t>, which</w:t>
      </w:r>
      <w:r>
        <w:t xml:space="preserve"> are identified </w:t>
      </w:r>
      <w:r w:rsidR="00D07E1E">
        <w:t xml:space="preserve">each year, </w:t>
      </w:r>
      <w:r>
        <w:t>are provided at Annex B</w:t>
      </w:r>
      <w:r w:rsidR="00B72333">
        <w:t xml:space="preserve"> for 2010 and 2011</w:t>
      </w:r>
      <w:r>
        <w:t>.</w:t>
      </w:r>
    </w:p>
    <w:p w:rsidR="0045354B" w:rsidRDefault="00DA6D12" w:rsidP="0045354B">
      <w:pPr>
        <w:pStyle w:val="Caption"/>
      </w:pPr>
      <w:r>
        <w:br w:type="page"/>
      </w:r>
      <w:r w:rsidR="0045354B">
        <w:lastRenderedPageBreak/>
        <w:t xml:space="preserve">Table </w:t>
      </w:r>
      <w:r w:rsidR="00FC2D35">
        <w:fldChar w:fldCharType="begin"/>
      </w:r>
      <w:r w:rsidR="00FC2D35">
        <w:instrText xml:space="preserve"> SEQ Table \* MERGEFORMAT </w:instrText>
      </w:r>
      <w:r w:rsidR="00FC2D35">
        <w:fldChar w:fldCharType="separate"/>
      </w:r>
      <w:r w:rsidR="00FB3FE4">
        <w:rPr>
          <w:noProof/>
        </w:rPr>
        <w:t>2</w:t>
      </w:r>
      <w:r w:rsidR="00FC2D35">
        <w:rPr>
          <w:noProof/>
        </w:rPr>
        <w:fldChar w:fldCharType="end"/>
      </w:r>
      <w:r w:rsidR="0045354B">
        <w:t>: Ratings of the program’s progress in 2010 towards the objectives of the Australia Laos Development Cooperation Strategy 2009</w:t>
      </w:r>
      <w:r w:rsidR="00E35015">
        <w:t>–</w:t>
      </w:r>
      <w:r w:rsidR="0045354B">
        <w:t>2015</w:t>
      </w:r>
    </w:p>
    <w:tbl>
      <w:tblPr>
        <w:tblW w:w="0" w:type="auto"/>
        <w:tblInd w:w="57" w:type="dxa"/>
        <w:tblLook w:val="01E0" w:firstRow="1" w:lastRow="1" w:firstColumn="1" w:lastColumn="1" w:noHBand="0" w:noVBand="0"/>
      </w:tblPr>
      <w:tblGrid>
        <w:gridCol w:w="5725"/>
        <w:gridCol w:w="896"/>
        <w:gridCol w:w="1316"/>
      </w:tblGrid>
      <w:tr w:rsidR="0045354B" w:rsidRPr="00D81B5B" w:rsidTr="00FC2D35">
        <w:trPr>
          <w:cantSplit/>
          <w:tblHeader/>
        </w:trPr>
        <w:tc>
          <w:tcPr>
            <w:tcW w:w="5725" w:type="dxa"/>
            <w:tcBorders>
              <w:top w:val="single" w:sz="12" w:space="0" w:color="auto"/>
              <w:bottom w:val="single" w:sz="4" w:space="0" w:color="auto"/>
            </w:tcBorders>
            <w:shd w:val="clear" w:color="auto" w:fill="auto"/>
            <w:tcMar>
              <w:left w:w="57" w:type="dxa"/>
              <w:right w:w="57" w:type="dxa"/>
            </w:tcMar>
          </w:tcPr>
          <w:p w:rsidR="0045354B" w:rsidRPr="00D81B5B" w:rsidRDefault="0045354B" w:rsidP="001426FC">
            <w:pPr>
              <w:pStyle w:val="TableTextColumnHeading"/>
            </w:pPr>
            <w:r w:rsidRPr="00D81B5B">
              <w:t>Objective</w:t>
            </w:r>
          </w:p>
        </w:tc>
        <w:tc>
          <w:tcPr>
            <w:tcW w:w="896" w:type="dxa"/>
            <w:tcBorders>
              <w:top w:val="single" w:sz="12" w:space="0" w:color="auto"/>
              <w:bottom w:val="single" w:sz="4" w:space="0" w:color="auto"/>
            </w:tcBorders>
            <w:shd w:val="clear" w:color="auto" w:fill="auto"/>
            <w:tcMar>
              <w:left w:w="57" w:type="dxa"/>
              <w:right w:w="57" w:type="dxa"/>
            </w:tcMar>
          </w:tcPr>
          <w:p w:rsidR="0045354B" w:rsidRDefault="0045354B" w:rsidP="001426FC">
            <w:pPr>
              <w:pStyle w:val="TableTextColumnHeading"/>
              <w:jc w:val="center"/>
            </w:pPr>
            <w:r w:rsidRPr="00D81B5B">
              <w:t>Rating</w:t>
            </w:r>
            <w:r>
              <w:t xml:space="preserve"> in 2010</w:t>
            </w:r>
          </w:p>
        </w:tc>
        <w:tc>
          <w:tcPr>
            <w:tcW w:w="1316" w:type="dxa"/>
            <w:tcBorders>
              <w:top w:val="single" w:sz="12" w:space="0" w:color="auto"/>
              <w:bottom w:val="single" w:sz="4" w:space="0" w:color="auto"/>
            </w:tcBorders>
            <w:shd w:val="clear" w:color="auto" w:fill="auto"/>
            <w:tcMar>
              <w:left w:w="57" w:type="dxa"/>
              <w:right w:w="57" w:type="dxa"/>
            </w:tcMar>
          </w:tcPr>
          <w:p w:rsidR="0045354B" w:rsidRDefault="0045354B" w:rsidP="001426FC">
            <w:pPr>
              <w:pStyle w:val="TableTextColumnHeading"/>
              <w:jc w:val="center"/>
            </w:pPr>
            <w:r>
              <w:t>Relative to</w:t>
            </w:r>
            <w:r w:rsidRPr="00D81B5B">
              <w:t xml:space="preserve"> </w:t>
            </w:r>
            <w:r>
              <w:br/>
            </w:r>
            <w:r w:rsidRPr="00D81B5B">
              <w:t>previous rating</w:t>
            </w:r>
          </w:p>
        </w:tc>
      </w:tr>
      <w:tr w:rsidR="0045354B" w:rsidRPr="00696567" w:rsidTr="00FC2D35">
        <w:trPr>
          <w:cantSplit/>
        </w:trPr>
        <w:tc>
          <w:tcPr>
            <w:tcW w:w="7937" w:type="dxa"/>
            <w:gridSpan w:val="3"/>
            <w:tcBorders>
              <w:top w:val="single" w:sz="4" w:space="0" w:color="auto"/>
            </w:tcBorders>
            <w:tcMar>
              <w:left w:w="57" w:type="dxa"/>
              <w:right w:w="57" w:type="dxa"/>
            </w:tcMar>
            <w:vAlign w:val="center"/>
          </w:tcPr>
          <w:p w:rsidR="00C153E6" w:rsidRDefault="0045354B" w:rsidP="00C153E6">
            <w:pPr>
              <w:pStyle w:val="TableTextEntries"/>
              <w:spacing w:before="0" w:line="240" w:lineRule="auto"/>
              <w:rPr>
                <w:sz w:val="20"/>
                <w:szCs w:val="20"/>
              </w:rPr>
            </w:pPr>
            <w:r w:rsidRPr="00C153E6">
              <w:rPr>
                <w:sz w:val="20"/>
                <w:szCs w:val="20"/>
              </w:rPr>
              <w:t xml:space="preserve">Development </w:t>
            </w:r>
            <w:r w:rsidR="00344326" w:rsidRPr="00C153E6">
              <w:rPr>
                <w:sz w:val="20"/>
                <w:szCs w:val="20"/>
              </w:rPr>
              <w:t>o</w:t>
            </w:r>
            <w:r w:rsidRPr="00C153E6">
              <w:rPr>
                <w:sz w:val="20"/>
                <w:szCs w:val="20"/>
              </w:rPr>
              <w:t xml:space="preserve">utcome: All boys and girls complete a full course of </w:t>
            </w:r>
          </w:p>
          <w:p w:rsidR="0045354B" w:rsidRPr="00C153E6" w:rsidRDefault="00EA67A6" w:rsidP="00C153E6">
            <w:pPr>
              <w:pStyle w:val="TableTextEntries"/>
              <w:spacing w:before="0" w:line="240" w:lineRule="auto"/>
              <w:rPr>
                <w:sz w:val="20"/>
                <w:szCs w:val="20"/>
              </w:rPr>
            </w:pPr>
            <w:r>
              <w:rPr>
                <w:sz w:val="20"/>
                <w:szCs w:val="20"/>
              </w:rPr>
              <w:t xml:space="preserve">quality </w:t>
            </w:r>
            <w:r w:rsidR="0045354B" w:rsidRPr="00C153E6">
              <w:rPr>
                <w:sz w:val="20"/>
                <w:szCs w:val="20"/>
              </w:rPr>
              <w:t>primary education</w:t>
            </w:r>
          </w:p>
        </w:tc>
      </w:tr>
      <w:tr w:rsidR="0045354B" w:rsidRPr="00D81B5B" w:rsidTr="00FC2D35">
        <w:trPr>
          <w:cantSplit/>
        </w:trPr>
        <w:tc>
          <w:tcPr>
            <w:tcW w:w="5725" w:type="dxa"/>
            <w:tcMar>
              <w:left w:w="57" w:type="dxa"/>
              <w:right w:w="57" w:type="dxa"/>
            </w:tcMar>
            <w:vAlign w:val="center"/>
          </w:tcPr>
          <w:p w:rsidR="0045354B" w:rsidRPr="002C47F3" w:rsidRDefault="0045354B" w:rsidP="00C153E6">
            <w:pPr>
              <w:pStyle w:val="TableTextEntries"/>
              <w:ind w:left="113"/>
            </w:pPr>
            <w:r w:rsidRPr="002C47F3">
              <w:t xml:space="preserve">Objective 1: </w:t>
            </w:r>
            <w:r w:rsidR="00344326">
              <w:t>M</w:t>
            </w:r>
            <w:r w:rsidRPr="002C47F3">
              <w:t>itigation of key constraints to equitable access to a basic quality education in targeted poor geographic areas</w:t>
            </w:r>
          </w:p>
        </w:tc>
        <w:tc>
          <w:tcPr>
            <w:tcW w:w="896" w:type="dxa"/>
            <w:shd w:val="clear" w:color="auto" w:fill="auto"/>
            <w:tcMar>
              <w:left w:w="57" w:type="dxa"/>
              <w:right w:w="57" w:type="dxa"/>
            </w:tcMar>
            <w:vAlign w:val="center"/>
          </w:tcPr>
          <w:p w:rsidR="0045354B" w:rsidRPr="0058729F" w:rsidRDefault="008558F6" w:rsidP="001426FC">
            <w:pPr>
              <w:pStyle w:val="Ratingbullet"/>
            </w:pPr>
            <w:r>
              <w:rPr>
                <w:noProof/>
                <w:lang w:val="en-US"/>
              </w:rPr>
              <w:drawing>
                <wp:inline distT="0" distB="0" distL="0" distR="0" wp14:anchorId="329521DE" wp14:editId="1E4112CC">
                  <wp:extent cx="130810" cy="130810"/>
                  <wp:effectExtent l="0" t="0" r="2540" b="2540"/>
                  <wp:docPr id="1" name="Picture 1"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316" w:type="dxa"/>
            <w:tcMar>
              <w:left w:w="57" w:type="dxa"/>
              <w:right w:w="57" w:type="dxa"/>
            </w:tcMar>
            <w:vAlign w:val="center"/>
          </w:tcPr>
          <w:p w:rsidR="0045354B" w:rsidRPr="0058729F" w:rsidRDefault="0045354B" w:rsidP="001426FC">
            <w:pPr>
              <w:pStyle w:val="TableTextEntries"/>
              <w:jc w:val="center"/>
            </w:pPr>
            <w:r>
              <w:rPr>
                <w:bCs/>
              </w:rPr>
              <w:fldChar w:fldCharType="begin"/>
            </w:r>
            <w:r>
              <w:rPr>
                <w:bCs/>
              </w:rPr>
              <w:instrText xml:space="preserve"> AUTOTEXTLIST  \s "Table Text Entries"\t "Right click to choose a response" \* MERGEFORMAT </w:instrText>
            </w:r>
            <w:r>
              <w:rPr>
                <w:bCs/>
              </w:rPr>
              <w:fldChar w:fldCharType="separate"/>
            </w:r>
            <w:r w:rsidRPr="002C47F3">
              <w:rPr>
                <w:bCs/>
              </w:rPr>
              <w:t>Unchanged</w:t>
            </w:r>
            <w:r>
              <w:rPr>
                <w:bCs/>
              </w:rPr>
              <w:fldChar w:fldCharType="end"/>
            </w:r>
          </w:p>
        </w:tc>
      </w:tr>
      <w:tr w:rsidR="0045354B" w:rsidRPr="00D81B5B" w:rsidTr="00FC2D35">
        <w:trPr>
          <w:cantSplit/>
        </w:trPr>
        <w:tc>
          <w:tcPr>
            <w:tcW w:w="5725" w:type="dxa"/>
            <w:tcMar>
              <w:left w:w="57" w:type="dxa"/>
              <w:right w:w="57" w:type="dxa"/>
            </w:tcMar>
            <w:vAlign w:val="center"/>
          </w:tcPr>
          <w:p w:rsidR="0045354B" w:rsidRPr="0058729F" w:rsidRDefault="0045354B" w:rsidP="00C153E6">
            <w:pPr>
              <w:pStyle w:val="TableTextEntries"/>
              <w:ind w:left="113"/>
            </w:pPr>
            <w:r w:rsidRPr="002C47F3">
              <w:t>Objective 2: Better management of Government of Laos and donor resources available to the education sector through implementation of a jointly agreed 10-year education sector framework</w:t>
            </w:r>
          </w:p>
        </w:tc>
        <w:tc>
          <w:tcPr>
            <w:tcW w:w="896" w:type="dxa"/>
            <w:shd w:val="clear" w:color="auto" w:fill="auto"/>
            <w:tcMar>
              <w:left w:w="57" w:type="dxa"/>
              <w:right w:w="57" w:type="dxa"/>
            </w:tcMar>
            <w:vAlign w:val="center"/>
          </w:tcPr>
          <w:p w:rsidR="0045354B" w:rsidRPr="0058729F" w:rsidRDefault="008558F6" w:rsidP="001426FC">
            <w:pPr>
              <w:pStyle w:val="Ratingbullet"/>
            </w:pPr>
            <w:r>
              <w:rPr>
                <w:noProof/>
                <w:lang w:val="en-US"/>
              </w:rPr>
              <w:drawing>
                <wp:inline distT="0" distB="0" distL="0" distR="0" wp14:anchorId="417AEB16" wp14:editId="23996FB4">
                  <wp:extent cx="130810" cy="130810"/>
                  <wp:effectExtent l="0" t="0" r="2540" b="2540"/>
                  <wp:docPr id="2" name="Picture 2"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316" w:type="dxa"/>
            <w:tcMar>
              <w:left w:w="57" w:type="dxa"/>
              <w:right w:w="57" w:type="dxa"/>
            </w:tcMar>
            <w:vAlign w:val="center"/>
          </w:tcPr>
          <w:p w:rsidR="0045354B" w:rsidRPr="0058729F" w:rsidRDefault="0045354B" w:rsidP="001426FC">
            <w:pPr>
              <w:pStyle w:val="TableTextEntries"/>
              <w:jc w:val="center"/>
            </w:pPr>
            <w:r>
              <w:rPr>
                <w:bCs/>
              </w:rPr>
              <w:fldChar w:fldCharType="begin"/>
            </w:r>
            <w:r>
              <w:rPr>
                <w:bCs/>
              </w:rPr>
              <w:instrText xml:space="preserve"> AUTOTEXTLIST  \s "Table Text Entries"\t "Right click to choose a response" \* MERGEFORMAT </w:instrText>
            </w:r>
            <w:r>
              <w:rPr>
                <w:bCs/>
              </w:rPr>
              <w:fldChar w:fldCharType="separate"/>
            </w:r>
            <w:r w:rsidRPr="002C47F3">
              <w:rPr>
                <w:bCs/>
              </w:rPr>
              <w:t>Unchanged</w:t>
            </w:r>
            <w:r>
              <w:rPr>
                <w:bCs/>
              </w:rPr>
              <w:fldChar w:fldCharType="end"/>
            </w:r>
          </w:p>
        </w:tc>
      </w:tr>
      <w:tr w:rsidR="0045354B" w:rsidRPr="00696567" w:rsidTr="00FC2D35">
        <w:trPr>
          <w:cantSplit/>
        </w:trPr>
        <w:tc>
          <w:tcPr>
            <w:tcW w:w="7937" w:type="dxa"/>
            <w:gridSpan w:val="3"/>
            <w:tcMar>
              <w:left w:w="57" w:type="dxa"/>
              <w:right w:w="57" w:type="dxa"/>
            </w:tcMar>
            <w:vAlign w:val="center"/>
          </w:tcPr>
          <w:p w:rsidR="00C153E6" w:rsidRDefault="0045354B" w:rsidP="00C153E6">
            <w:pPr>
              <w:pStyle w:val="TableTextEntries"/>
              <w:spacing w:line="240" w:lineRule="auto"/>
              <w:rPr>
                <w:sz w:val="20"/>
                <w:szCs w:val="20"/>
              </w:rPr>
            </w:pPr>
            <w:r w:rsidRPr="00C153E6">
              <w:rPr>
                <w:sz w:val="20"/>
                <w:szCs w:val="20"/>
              </w:rPr>
              <w:t xml:space="preserve">Development </w:t>
            </w:r>
            <w:r w:rsidR="00344326" w:rsidRPr="00C153E6">
              <w:rPr>
                <w:sz w:val="20"/>
                <w:szCs w:val="20"/>
              </w:rPr>
              <w:t>o</w:t>
            </w:r>
            <w:r w:rsidRPr="00C153E6">
              <w:rPr>
                <w:sz w:val="20"/>
                <w:szCs w:val="20"/>
              </w:rPr>
              <w:t>utcome: Increased trade and investment in sectors</w:t>
            </w:r>
          </w:p>
          <w:p w:rsidR="00C153E6" w:rsidRPr="00C153E6" w:rsidRDefault="0045354B" w:rsidP="00C153E6">
            <w:pPr>
              <w:pStyle w:val="TableTextEntries"/>
              <w:spacing w:before="0" w:line="240" w:lineRule="auto"/>
              <w:rPr>
                <w:sz w:val="20"/>
                <w:szCs w:val="20"/>
              </w:rPr>
            </w:pPr>
            <w:r w:rsidRPr="00C153E6">
              <w:rPr>
                <w:sz w:val="20"/>
                <w:szCs w:val="20"/>
              </w:rPr>
              <w:t xml:space="preserve"> which support</w:t>
            </w:r>
            <w:r w:rsidR="00C153E6">
              <w:rPr>
                <w:sz w:val="20"/>
                <w:szCs w:val="20"/>
              </w:rPr>
              <w:t xml:space="preserve"> </w:t>
            </w:r>
            <w:r w:rsidRPr="00C153E6">
              <w:rPr>
                <w:sz w:val="20"/>
                <w:szCs w:val="20"/>
              </w:rPr>
              <w:t>poverty reduction</w:t>
            </w:r>
          </w:p>
        </w:tc>
      </w:tr>
      <w:tr w:rsidR="0045354B" w:rsidRPr="00D81B5B" w:rsidTr="00FC2D35">
        <w:trPr>
          <w:cantSplit/>
        </w:trPr>
        <w:tc>
          <w:tcPr>
            <w:tcW w:w="5725" w:type="dxa"/>
            <w:tcMar>
              <w:left w:w="57" w:type="dxa"/>
              <w:right w:w="57" w:type="dxa"/>
            </w:tcMar>
            <w:vAlign w:val="center"/>
          </w:tcPr>
          <w:p w:rsidR="0045354B" w:rsidRPr="00006800" w:rsidRDefault="0045354B" w:rsidP="00C153E6">
            <w:pPr>
              <w:pStyle w:val="TableTextEntries"/>
              <w:ind w:left="113"/>
            </w:pPr>
            <w:r w:rsidRPr="00006800">
              <w:t>Objective 3: Policy and institutional impediments to trade and investment addressed in sectors that contribute to inclusive growth</w:t>
            </w:r>
          </w:p>
        </w:tc>
        <w:tc>
          <w:tcPr>
            <w:tcW w:w="896" w:type="dxa"/>
            <w:shd w:val="clear" w:color="auto" w:fill="auto"/>
            <w:tcMar>
              <w:left w:w="57" w:type="dxa"/>
              <w:right w:w="57" w:type="dxa"/>
            </w:tcMar>
            <w:vAlign w:val="center"/>
          </w:tcPr>
          <w:p w:rsidR="0045354B" w:rsidRPr="0058729F" w:rsidRDefault="008558F6" w:rsidP="001426FC">
            <w:pPr>
              <w:pStyle w:val="Ratingbullet"/>
            </w:pPr>
            <w:r>
              <w:rPr>
                <w:noProof/>
                <w:lang w:val="en-US"/>
              </w:rPr>
              <w:drawing>
                <wp:inline distT="0" distB="0" distL="0" distR="0" wp14:anchorId="505F1585" wp14:editId="6AC973F1">
                  <wp:extent cx="130810" cy="130810"/>
                  <wp:effectExtent l="0" t="0" r="2540" b="2540"/>
                  <wp:docPr id="3" name="Picture 3"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316" w:type="dxa"/>
            <w:tcMar>
              <w:left w:w="57" w:type="dxa"/>
              <w:right w:w="57" w:type="dxa"/>
            </w:tcMar>
            <w:vAlign w:val="center"/>
          </w:tcPr>
          <w:p w:rsidR="0045354B" w:rsidRPr="0058729F" w:rsidRDefault="0045354B" w:rsidP="001426FC">
            <w:pPr>
              <w:pStyle w:val="TableTextEntries"/>
              <w:jc w:val="center"/>
            </w:pPr>
            <w:r>
              <w:rPr>
                <w:bCs/>
              </w:rPr>
              <w:fldChar w:fldCharType="begin"/>
            </w:r>
            <w:r>
              <w:rPr>
                <w:bCs/>
              </w:rPr>
              <w:instrText xml:space="preserve"> AUTOTEXTLIST  \s "Table Text Entries"\t "Right click to choose a response" \* MERGEFORMAT </w:instrText>
            </w:r>
            <w:r>
              <w:rPr>
                <w:bCs/>
              </w:rPr>
              <w:fldChar w:fldCharType="separate"/>
            </w:r>
            <w:r w:rsidRPr="00006800">
              <w:rPr>
                <w:bCs/>
              </w:rPr>
              <w:t>Improved</w:t>
            </w:r>
            <w:r>
              <w:rPr>
                <w:bCs/>
              </w:rPr>
              <w:fldChar w:fldCharType="end"/>
            </w:r>
          </w:p>
        </w:tc>
      </w:tr>
      <w:tr w:rsidR="0045354B" w:rsidRPr="00696567" w:rsidTr="00FC2D35">
        <w:trPr>
          <w:cantSplit/>
        </w:trPr>
        <w:tc>
          <w:tcPr>
            <w:tcW w:w="7937" w:type="dxa"/>
            <w:gridSpan w:val="3"/>
            <w:shd w:val="clear" w:color="auto" w:fill="auto"/>
            <w:tcMar>
              <w:left w:w="57" w:type="dxa"/>
              <w:right w:w="57" w:type="dxa"/>
            </w:tcMar>
          </w:tcPr>
          <w:p w:rsidR="00C153E6" w:rsidRDefault="0045354B" w:rsidP="00344326">
            <w:pPr>
              <w:pStyle w:val="TableTextEntries"/>
              <w:rPr>
                <w:bCs/>
                <w:sz w:val="20"/>
                <w:szCs w:val="20"/>
              </w:rPr>
            </w:pPr>
            <w:r w:rsidRPr="00C153E6">
              <w:rPr>
                <w:bCs/>
                <w:sz w:val="20"/>
                <w:szCs w:val="20"/>
              </w:rPr>
              <w:t xml:space="preserve">Development </w:t>
            </w:r>
            <w:r w:rsidR="00344326" w:rsidRPr="00C153E6">
              <w:rPr>
                <w:bCs/>
                <w:sz w:val="20"/>
                <w:szCs w:val="20"/>
              </w:rPr>
              <w:t>o</w:t>
            </w:r>
            <w:r w:rsidRPr="00C153E6">
              <w:rPr>
                <w:bCs/>
                <w:sz w:val="20"/>
                <w:szCs w:val="20"/>
              </w:rPr>
              <w:t>utcome: Less than one quarter of the population</w:t>
            </w:r>
          </w:p>
          <w:p w:rsidR="0045354B" w:rsidRPr="00696567" w:rsidRDefault="0045354B" w:rsidP="00C153E6">
            <w:pPr>
              <w:pStyle w:val="TableTextEntries"/>
              <w:spacing w:before="0"/>
              <w:rPr>
                <w:bCs/>
              </w:rPr>
            </w:pPr>
            <w:r w:rsidRPr="00C153E6">
              <w:rPr>
                <w:bCs/>
                <w:sz w:val="20"/>
                <w:szCs w:val="20"/>
              </w:rPr>
              <w:t xml:space="preserve"> living below the</w:t>
            </w:r>
            <w:r w:rsidR="00E9203A">
              <w:rPr>
                <w:bCs/>
                <w:sz w:val="20"/>
                <w:szCs w:val="20"/>
              </w:rPr>
              <w:t xml:space="preserve"> </w:t>
            </w:r>
            <w:r w:rsidRPr="00C153E6">
              <w:rPr>
                <w:bCs/>
                <w:sz w:val="20"/>
                <w:szCs w:val="20"/>
              </w:rPr>
              <w:t>poverty line</w:t>
            </w:r>
          </w:p>
        </w:tc>
      </w:tr>
      <w:tr w:rsidR="0045354B" w:rsidRPr="00D81B5B" w:rsidTr="00FC2D35">
        <w:trPr>
          <w:cantSplit/>
        </w:trPr>
        <w:tc>
          <w:tcPr>
            <w:tcW w:w="5725" w:type="dxa"/>
            <w:tcMar>
              <w:left w:w="57" w:type="dxa"/>
              <w:right w:w="57" w:type="dxa"/>
            </w:tcMar>
            <w:vAlign w:val="center"/>
          </w:tcPr>
          <w:p w:rsidR="0045354B" w:rsidRPr="00006800" w:rsidRDefault="0045354B" w:rsidP="00C153E6">
            <w:pPr>
              <w:pStyle w:val="TableTextEntries"/>
              <w:ind w:left="113"/>
            </w:pPr>
            <w:r w:rsidRPr="00006800">
              <w:t>Objective 4: Delivery and modelling of effective programs that result in equitable and sustainable improvements to livelihoods in targeted geographic areas</w:t>
            </w:r>
          </w:p>
        </w:tc>
        <w:tc>
          <w:tcPr>
            <w:tcW w:w="896" w:type="dxa"/>
            <w:shd w:val="clear" w:color="auto" w:fill="auto"/>
            <w:tcMar>
              <w:left w:w="57" w:type="dxa"/>
              <w:right w:w="57" w:type="dxa"/>
            </w:tcMar>
            <w:vAlign w:val="center"/>
          </w:tcPr>
          <w:p w:rsidR="0045354B" w:rsidRPr="0058729F" w:rsidRDefault="008558F6" w:rsidP="001426FC">
            <w:pPr>
              <w:pStyle w:val="Ratingbullet"/>
            </w:pPr>
            <w:r>
              <w:rPr>
                <w:noProof/>
                <w:lang w:val="en-US"/>
              </w:rPr>
              <w:drawing>
                <wp:inline distT="0" distB="0" distL="0" distR="0" wp14:anchorId="4D71E294" wp14:editId="250E358A">
                  <wp:extent cx="130810" cy="130810"/>
                  <wp:effectExtent l="0" t="0" r="2540" b="2540"/>
                  <wp:docPr id="4" name="Picture 4"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e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316" w:type="dxa"/>
            <w:tcMar>
              <w:left w:w="57" w:type="dxa"/>
              <w:right w:w="57" w:type="dxa"/>
            </w:tcMar>
            <w:vAlign w:val="center"/>
          </w:tcPr>
          <w:p w:rsidR="0045354B" w:rsidRPr="0058729F" w:rsidRDefault="0045354B" w:rsidP="001426FC">
            <w:pPr>
              <w:pStyle w:val="TableTextEntries"/>
              <w:jc w:val="center"/>
            </w:pPr>
            <w:r>
              <w:rPr>
                <w:bCs/>
              </w:rPr>
              <w:fldChar w:fldCharType="begin"/>
            </w:r>
            <w:r>
              <w:rPr>
                <w:bCs/>
              </w:rPr>
              <w:instrText xml:space="preserve"> AUTOTEXTLIST  \s "Table Text Entries"\t "Right click to choose a response" \* MERGEFORMAT </w:instrText>
            </w:r>
            <w:r>
              <w:rPr>
                <w:bCs/>
              </w:rPr>
              <w:fldChar w:fldCharType="separate"/>
            </w:r>
            <w:r w:rsidRPr="00006800">
              <w:rPr>
                <w:bCs/>
              </w:rPr>
              <w:t>Unchanged</w:t>
            </w:r>
            <w:r>
              <w:rPr>
                <w:bCs/>
              </w:rPr>
              <w:fldChar w:fldCharType="end"/>
            </w:r>
          </w:p>
        </w:tc>
      </w:tr>
      <w:tr w:rsidR="0045354B" w:rsidRPr="00D81B5B" w:rsidTr="00FC2D35">
        <w:trPr>
          <w:cantSplit/>
        </w:trPr>
        <w:tc>
          <w:tcPr>
            <w:tcW w:w="5725" w:type="dxa"/>
            <w:tcMar>
              <w:left w:w="57" w:type="dxa"/>
              <w:right w:w="57" w:type="dxa"/>
            </w:tcMar>
            <w:vAlign w:val="center"/>
          </w:tcPr>
          <w:p w:rsidR="0045354B" w:rsidRPr="00006800" w:rsidRDefault="0045354B" w:rsidP="00C153E6">
            <w:pPr>
              <w:pStyle w:val="TableTextEntries"/>
              <w:ind w:left="113"/>
            </w:pPr>
            <w:r w:rsidRPr="00006800">
              <w:t>Objective 5: Improved prioritisation, delivery efficiency and coordination of mine action activities</w:t>
            </w:r>
          </w:p>
        </w:tc>
        <w:tc>
          <w:tcPr>
            <w:tcW w:w="896" w:type="dxa"/>
            <w:shd w:val="clear" w:color="auto" w:fill="auto"/>
            <w:tcMar>
              <w:left w:w="57" w:type="dxa"/>
              <w:right w:w="57" w:type="dxa"/>
            </w:tcMar>
            <w:vAlign w:val="center"/>
          </w:tcPr>
          <w:p w:rsidR="0045354B" w:rsidRPr="0058729F" w:rsidRDefault="008558F6" w:rsidP="001426FC">
            <w:pPr>
              <w:pStyle w:val="Ratingbullet"/>
            </w:pPr>
            <w:r>
              <w:rPr>
                <w:noProof/>
                <w:lang w:val="en-US"/>
              </w:rPr>
              <w:drawing>
                <wp:inline distT="0" distB="0" distL="0" distR="0" wp14:anchorId="2D28A695" wp14:editId="0B8B657E">
                  <wp:extent cx="130810" cy="130810"/>
                  <wp:effectExtent l="0" t="0" r="2540" b="2540"/>
                  <wp:docPr id="5" name="Picture 5"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e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316" w:type="dxa"/>
            <w:tcMar>
              <w:left w:w="57" w:type="dxa"/>
              <w:right w:w="57" w:type="dxa"/>
            </w:tcMar>
            <w:vAlign w:val="center"/>
          </w:tcPr>
          <w:p w:rsidR="0045354B" w:rsidRPr="0058729F" w:rsidRDefault="0045354B" w:rsidP="001426FC">
            <w:pPr>
              <w:pStyle w:val="TableTextEntries"/>
              <w:jc w:val="center"/>
            </w:pPr>
            <w:r>
              <w:rPr>
                <w:bCs/>
              </w:rPr>
              <w:fldChar w:fldCharType="begin"/>
            </w:r>
            <w:r>
              <w:rPr>
                <w:bCs/>
              </w:rPr>
              <w:instrText xml:space="preserve"> AUTOTEXTLIST  \s "Table Text Entries"\t "Right click to choose a response" \* MERGEFORMAT </w:instrText>
            </w:r>
            <w:r>
              <w:rPr>
                <w:bCs/>
              </w:rPr>
              <w:fldChar w:fldCharType="separate"/>
            </w:r>
            <w:r w:rsidRPr="00006800">
              <w:rPr>
                <w:bCs/>
              </w:rPr>
              <w:t>Unchanged</w:t>
            </w:r>
            <w:r>
              <w:rPr>
                <w:bCs/>
              </w:rPr>
              <w:fldChar w:fldCharType="end"/>
            </w:r>
          </w:p>
        </w:tc>
      </w:tr>
      <w:tr w:rsidR="0045354B" w:rsidRPr="00D81B5B" w:rsidTr="00FC2D35">
        <w:trPr>
          <w:cantSplit/>
        </w:trPr>
        <w:tc>
          <w:tcPr>
            <w:tcW w:w="5725" w:type="dxa"/>
            <w:tcBorders>
              <w:bottom w:val="single" w:sz="12" w:space="0" w:color="auto"/>
            </w:tcBorders>
            <w:shd w:val="clear" w:color="auto" w:fill="auto"/>
            <w:tcMar>
              <w:left w:w="57" w:type="dxa"/>
              <w:right w:w="57" w:type="dxa"/>
            </w:tcMar>
            <w:vAlign w:val="center"/>
          </w:tcPr>
          <w:p w:rsidR="0045354B" w:rsidRPr="00D81B5B" w:rsidRDefault="0045354B" w:rsidP="00C153E6">
            <w:pPr>
              <w:pStyle w:val="TableTextEntries"/>
              <w:ind w:left="113"/>
            </w:pPr>
            <w:r w:rsidRPr="00006800">
              <w:t>Objective 6: improved rural infrastructure, particularly roads and electrification</w:t>
            </w:r>
          </w:p>
        </w:tc>
        <w:tc>
          <w:tcPr>
            <w:tcW w:w="896" w:type="dxa"/>
            <w:tcBorders>
              <w:bottom w:val="single" w:sz="12" w:space="0" w:color="auto"/>
            </w:tcBorders>
            <w:shd w:val="clear" w:color="auto" w:fill="auto"/>
            <w:tcMar>
              <w:left w:w="57" w:type="dxa"/>
              <w:right w:w="57" w:type="dxa"/>
            </w:tcMar>
            <w:vAlign w:val="center"/>
          </w:tcPr>
          <w:p w:rsidR="0045354B" w:rsidRPr="0058729F" w:rsidRDefault="008558F6" w:rsidP="001426FC">
            <w:pPr>
              <w:pStyle w:val="Ratingbullet"/>
            </w:pPr>
            <w:r>
              <w:rPr>
                <w:noProof/>
                <w:lang w:val="en-US"/>
              </w:rPr>
              <w:drawing>
                <wp:inline distT="0" distB="0" distL="0" distR="0" wp14:anchorId="7DC1518F" wp14:editId="7C62E364">
                  <wp:extent cx="130810" cy="130810"/>
                  <wp:effectExtent l="0" t="0" r="2540" b="2540"/>
                  <wp:docPr id="6" name="Picture 6"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b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p>
        </w:tc>
        <w:tc>
          <w:tcPr>
            <w:tcW w:w="1316" w:type="dxa"/>
            <w:tcBorders>
              <w:bottom w:val="single" w:sz="12" w:space="0" w:color="auto"/>
            </w:tcBorders>
            <w:shd w:val="clear" w:color="auto" w:fill="auto"/>
            <w:tcMar>
              <w:left w:w="57" w:type="dxa"/>
              <w:right w:w="57" w:type="dxa"/>
            </w:tcMar>
            <w:vAlign w:val="center"/>
          </w:tcPr>
          <w:p w:rsidR="0045354B" w:rsidRPr="0058729F" w:rsidRDefault="0045354B" w:rsidP="001426FC">
            <w:pPr>
              <w:pStyle w:val="TableTextEntries"/>
              <w:jc w:val="center"/>
            </w:pPr>
            <w:r>
              <w:rPr>
                <w:bCs/>
              </w:rPr>
              <w:fldChar w:fldCharType="begin"/>
            </w:r>
            <w:r>
              <w:rPr>
                <w:bCs/>
              </w:rPr>
              <w:instrText xml:space="preserve"> AUTOTEXTLIST  \s "Table Text Entries"\t "Right click to choose a response" \* MERGEFORMAT </w:instrText>
            </w:r>
            <w:r>
              <w:rPr>
                <w:bCs/>
              </w:rPr>
              <w:fldChar w:fldCharType="separate"/>
            </w:r>
            <w:r w:rsidRPr="00006800">
              <w:rPr>
                <w:bCs/>
              </w:rPr>
              <w:t>Declined</w:t>
            </w:r>
            <w:r>
              <w:rPr>
                <w:bCs/>
              </w:rPr>
              <w:fldChar w:fldCharType="end"/>
            </w:r>
          </w:p>
        </w:tc>
      </w:tr>
    </w:tbl>
    <w:p w:rsidR="0045354B" w:rsidRDefault="0045354B" w:rsidP="0045354B">
      <w:pPr>
        <w:pStyle w:val="Note"/>
        <w:keepNext/>
      </w:pPr>
      <w:r w:rsidRPr="00D33DDE">
        <w:t xml:space="preserve">Note: </w:t>
      </w:r>
    </w:p>
    <w:p w:rsidR="0045354B" w:rsidRPr="006D2818" w:rsidRDefault="008558F6" w:rsidP="0045354B">
      <w:pPr>
        <w:pStyle w:val="Note"/>
        <w:keepNext/>
        <w:spacing w:before="0"/>
      </w:pPr>
      <w:r>
        <w:rPr>
          <w:noProof/>
          <w:color w:val="99CC00"/>
          <w:sz w:val="18"/>
          <w:szCs w:val="18"/>
          <w:lang w:val="en-US"/>
        </w:rPr>
        <w:drawing>
          <wp:inline distT="0" distB="0" distL="0" distR="0">
            <wp:extent cx="108585" cy="108585"/>
            <wp:effectExtent l="0" t="0" r="5715" b="5715"/>
            <wp:docPr id="7" name="Picture 7" descr="Gree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een&#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r w:rsidR="0045354B">
        <w:rPr>
          <w:rFonts w:ascii="Arial Unicode MS" w:eastAsia="Arial Unicode MS" w:hAnsi="Arial Unicode MS" w:cs="Arial Unicode MS"/>
        </w:rPr>
        <w:t> </w:t>
      </w:r>
      <w:r w:rsidR="0045354B" w:rsidRPr="006D2818">
        <w:t>The objective will be fully achieved within the timeframe of the strategy.</w:t>
      </w:r>
    </w:p>
    <w:p w:rsidR="0045354B" w:rsidRPr="006D2818" w:rsidRDefault="008558F6" w:rsidP="0045354B">
      <w:pPr>
        <w:pStyle w:val="Note"/>
        <w:keepNext/>
        <w:spacing w:before="0"/>
      </w:pPr>
      <w:r>
        <w:rPr>
          <w:noProof/>
          <w:color w:val="FF9900"/>
          <w:sz w:val="18"/>
          <w:szCs w:val="18"/>
          <w:lang w:val="en-US"/>
        </w:rPr>
        <w:drawing>
          <wp:inline distT="0" distB="0" distL="0" distR="0">
            <wp:extent cx="108585" cy="108585"/>
            <wp:effectExtent l="0" t="0" r="5715" b="5715"/>
            <wp:docPr id="8" name="Picture 8" descr="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mb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r w:rsidR="0045354B">
        <w:rPr>
          <w:rFonts w:ascii="Arial Unicode MS" w:eastAsia="Arial Unicode MS" w:hAnsi="Arial Unicode MS" w:cs="Arial Unicode MS"/>
        </w:rPr>
        <w:t> </w:t>
      </w:r>
      <w:r w:rsidR="0045354B" w:rsidRPr="006D2818">
        <w:t>The objective will be partly achieved within the timeframe of the strategy.</w:t>
      </w:r>
    </w:p>
    <w:p w:rsidR="00DA6D12" w:rsidRDefault="008558F6" w:rsidP="007C104E">
      <w:pPr>
        <w:pStyle w:val="Note"/>
        <w:spacing w:before="0" w:after="200"/>
      </w:pPr>
      <w:r>
        <w:rPr>
          <w:noProof/>
          <w:color w:val="FF0000"/>
          <w:sz w:val="18"/>
          <w:szCs w:val="18"/>
          <w:lang w:val="en-US"/>
        </w:rPr>
        <w:drawing>
          <wp:inline distT="0" distB="0" distL="0" distR="0">
            <wp:extent cx="108585" cy="108585"/>
            <wp:effectExtent l="0" t="0" r="5715" b="5715"/>
            <wp:docPr id="9" name="Picture 9" descr="R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d&#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r w:rsidR="0045354B">
        <w:rPr>
          <w:rFonts w:ascii="Arial Unicode MS" w:eastAsia="Arial Unicode MS" w:hAnsi="Arial Unicode MS" w:cs="Arial Unicode MS"/>
        </w:rPr>
        <w:t> </w:t>
      </w:r>
      <w:r w:rsidR="0045354B" w:rsidRPr="006D2818">
        <w:t>The objective is unlikely to be achieved within the timeframe of the strategy.</w:t>
      </w:r>
    </w:p>
    <w:p w:rsidR="0045354B" w:rsidRPr="00443894" w:rsidRDefault="0045354B" w:rsidP="00DA6D12">
      <w:pPr>
        <w:pStyle w:val="Heading2"/>
        <w:keepNext/>
        <w:tabs>
          <w:tab w:val="left" w:pos="1920"/>
        </w:tabs>
        <w:spacing w:before="0" w:after="120" w:line="320" w:lineRule="atLeast"/>
        <w:ind w:left="0"/>
      </w:pPr>
      <w:bookmarkStart w:id="5" w:name="_Toc360989279"/>
      <w:r w:rsidRPr="00DA6D12">
        <w:t>E</w:t>
      </w:r>
      <w:r w:rsidR="00431546">
        <w:t>ducation—</w:t>
      </w:r>
      <w:r w:rsidRPr="00DA6D12">
        <w:t xml:space="preserve">Lao PDR </w:t>
      </w:r>
      <w:r w:rsidR="00344326">
        <w:t>d</w:t>
      </w:r>
      <w:r w:rsidRPr="00DA6D12">
        <w:t xml:space="preserve">evelopment </w:t>
      </w:r>
      <w:r w:rsidR="00344326">
        <w:t>o</w:t>
      </w:r>
      <w:r w:rsidRPr="00DA6D12">
        <w:t xml:space="preserve">utcome: </w:t>
      </w:r>
      <w:r w:rsidRPr="00DA6D12">
        <w:br/>
      </w:r>
      <w:r>
        <w:t>All boys and girls complete a full course of primary education</w:t>
      </w:r>
      <w:bookmarkEnd w:id="5"/>
    </w:p>
    <w:p w:rsidR="007C104E" w:rsidRDefault="0045354B" w:rsidP="0045354B">
      <w:pPr>
        <w:pStyle w:val="BodyText"/>
      </w:pPr>
      <w:r>
        <w:t>E</w:t>
      </w:r>
      <w:r w:rsidRPr="0008636A">
        <w:t xml:space="preserve">nrolment </w:t>
      </w:r>
      <w:r>
        <w:t>in basic education</w:t>
      </w:r>
      <w:r w:rsidRPr="0008636A">
        <w:t xml:space="preserve"> continued to rise in 2010</w:t>
      </w:r>
      <w:r>
        <w:t>, including</w:t>
      </w:r>
      <w:r w:rsidRPr="0008636A">
        <w:t xml:space="preserve"> in the most disadvantaged </w:t>
      </w:r>
      <w:r>
        <w:t>areas</w:t>
      </w:r>
      <w:r w:rsidR="00AA7011">
        <w:t xml:space="preserve">. </w:t>
      </w:r>
      <w:r w:rsidRPr="0008636A">
        <w:t>The same cannot be said for survival</w:t>
      </w:r>
      <w:r>
        <w:rPr>
          <w:rStyle w:val="FootnoteReference"/>
        </w:rPr>
        <w:footnoteReference w:id="11"/>
      </w:r>
      <w:r w:rsidRPr="0008636A">
        <w:t xml:space="preserve"> rates to grade 5. </w:t>
      </w:r>
      <w:r>
        <w:t>Of the 93</w:t>
      </w:r>
      <w:r w:rsidR="00E35015">
        <w:t xml:space="preserve"> per cent</w:t>
      </w:r>
      <w:r>
        <w:t xml:space="preserve"> of children who currently enrol in primary school, only 71</w:t>
      </w:r>
      <w:r w:rsidR="00E35015">
        <w:t xml:space="preserve"> per cent</w:t>
      </w:r>
      <w:r>
        <w:t xml:space="preserve"> continue through to grade 5</w:t>
      </w:r>
      <w:r w:rsidR="00AA7011">
        <w:t xml:space="preserve">. </w:t>
      </w:r>
      <w:r>
        <w:t>On</w:t>
      </w:r>
      <w:r w:rsidR="00B72333">
        <w:t> </w:t>
      </w:r>
      <w:r>
        <w:t>current trends, this will increase to only 82</w:t>
      </w:r>
      <w:r w:rsidR="00E35015">
        <w:t xml:space="preserve"> per cent</w:t>
      </w:r>
      <w:r>
        <w:t xml:space="preserve"> by 2015, meaning Laos</w:t>
      </w:r>
      <w:r w:rsidRPr="0008636A">
        <w:t xml:space="preserve"> is unlikely to reach its MDG 2 targets. </w:t>
      </w:r>
    </w:p>
    <w:p w:rsidR="00130002" w:rsidRPr="0008636A" w:rsidRDefault="007C104E" w:rsidP="008558F6">
      <w:pPr>
        <w:pStyle w:val="BodyText"/>
        <w:spacing w:before="600"/>
      </w:pPr>
      <w:r>
        <w:br w:type="page"/>
      </w:r>
      <w:r w:rsidR="00344326">
        <w:lastRenderedPageBreak/>
        <w:t>S</w:t>
      </w:r>
      <w:r w:rsidR="0045354B">
        <w:t>urvival</w:t>
      </w:r>
      <w:r w:rsidR="0045354B" w:rsidRPr="0008636A">
        <w:t xml:space="preserve"> rates</w:t>
      </w:r>
      <w:r w:rsidR="0045354B">
        <w:t xml:space="preserve"> nationwide</w:t>
      </w:r>
      <w:r w:rsidR="0045354B" w:rsidRPr="0008636A">
        <w:t xml:space="preserve"> stagnated </w:t>
      </w:r>
      <w:r w:rsidR="0045354B">
        <w:t>between</w:t>
      </w:r>
      <w:r w:rsidR="0045354B" w:rsidRPr="0008636A">
        <w:t xml:space="preserve"> </w:t>
      </w:r>
      <w:r w:rsidR="0045354B">
        <w:t>20</w:t>
      </w:r>
      <w:r w:rsidR="0045354B" w:rsidRPr="0008636A">
        <w:t>05</w:t>
      </w:r>
      <w:r w:rsidR="00E35015">
        <w:t>–</w:t>
      </w:r>
      <w:r w:rsidR="0045354B">
        <w:t>06</w:t>
      </w:r>
      <w:r w:rsidR="0045354B" w:rsidRPr="0008636A">
        <w:t xml:space="preserve"> </w:t>
      </w:r>
      <w:r w:rsidR="0045354B">
        <w:t>and</w:t>
      </w:r>
      <w:r w:rsidR="0045354B" w:rsidRPr="0008636A">
        <w:t xml:space="preserve"> </w:t>
      </w:r>
      <w:r w:rsidR="0045354B">
        <w:t>20</w:t>
      </w:r>
      <w:r w:rsidR="0045354B" w:rsidRPr="0008636A">
        <w:t>09</w:t>
      </w:r>
      <w:r w:rsidR="00E35015">
        <w:t>–</w:t>
      </w:r>
      <w:r w:rsidR="0045354B" w:rsidRPr="0008636A">
        <w:t xml:space="preserve">10, </w:t>
      </w:r>
      <w:r w:rsidR="00344326">
        <w:t xml:space="preserve">but </w:t>
      </w:r>
      <w:r w:rsidR="0045354B">
        <w:t xml:space="preserve">increased </w:t>
      </w:r>
      <w:r w:rsidR="0045354B" w:rsidRPr="0008636A">
        <w:t xml:space="preserve">in districts targeted by </w:t>
      </w:r>
      <w:r w:rsidR="0045354B">
        <w:t xml:space="preserve">the </w:t>
      </w:r>
      <w:r w:rsidR="0045354B" w:rsidRPr="0008636A">
        <w:t>Australia</w:t>
      </w:r>
      <w:r w:rsidR="0045354B">
        <w:t>n-funded</w:t>
      </w:r>
      <w:r w:rsidR="0045354B" w:rsidRPr="0008636A">
        <w:t xml:space="preserve"> </w:t>
      </w:r>
      <w:r w:rsidR="0045354B">
        <w:t xml:space="preserve">Access to Basic Education in Laos (ABEL) program: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327"/>
        <w:gridCol w:w="1417"/>
        <w:gridCol w:w="1276"/>
      </w:tblGrid>
      <w:tr w:rsidR="0045354B" w:rsidRPr="0008636A" w:rsidTr="007C104E">
        <w:trPr>
          <w:cantSplit/>
          <w:tblHeader/>
        </w:trPr>
        <w:tc>
          <w:tcPr>
            <w:tcW w:w="1951" w:type="dxa"/>
            <w:tcBorders>
              <w:top w:val="single" w:sz="12" w:space="0" w:color="auto"/>
              <w:left w:val="nil"/>
              <w:bottom w:val="single" w:sz="4" w:space="0" w:color="auto"/>
              <w:right w:val="nil"/>
            </w:tcBorders>
            <w:shd w:val="clear" w:color="auto" w:fill="auto"/>
          </w:tcPr>
          <w:p w:rsidR="0045354B" w:rsidRPr="0008636A" w:rsidRDefault="0045354B" w:rsidP="00130002">
            <w:pPr>
              <w:pStyle w:val="TableTextColumnHeading"/>
            </w:pPr>
            <w:r w:rsidRPr="0008636A">
              <w:t>Districts</w:t>
            </w:r>
          </w:p>
        </w:tc>
        <w:tc>
          <w:tcPr>
            <w:tcW w:w="1327" w:type="dxa"/>
            <w:tcBorders>
              <w:top w:val="single" w:sz="12" w:space="0" w:color="auto"/>
              <w:left w:val="nil"/>
              <w:bottom w:val="single" w:sz="4" w:space="0" w:color="auto"/>
              <w:right w:val="nil"/>
            </w:tcBorders>
            <w:shd w:val="clear" w:color="auto" w:fill="auto"/>
          </w:tcPr>
          <w:p w:rsidR="0045354B" w:rsidRPr="0008636A" w:rsidRDefault="0045354B" w:rsidP="00130002">
            <w:pPr>
              <w:pStyle w:val="TableTextColumnHeading"/>
              <w:jc w:val="right"/>
            </w:pPr>
            <w:r w:rsidRPr="0008636A">
              <w:t>2005</w:t>
            </w:r>
            <w:r w:rsidR="00E35015">
              <w:t>–</w:t>
            </w:r>
            <w:r w:rsidRPr="0008636A">
              <w:t xml:space="preserve">06           </w:t>
            </w:r>
          </w:p>
        </w:tc>
        <w:tc>
          <w:tcPr>
            <w:tcW w:w="1417" w:type="dxa"/>
            <w:tcBorders>
              <w:top w:val="single" w:sz="12" w:space="0" w:color="auto"/>
              <w:left w:val="nil"/>
              <w:bottom w:val="single" w:sz="4" w:space="0" w:color="auto"/>
              <w:right w:val="nil"/>
            </w:tcBorders>
            <w:shd w:val="clear" w:color="auto" w:fill="auto"/>
          </w:tcPr>
          <w:p w:rsidR="0045354B" w:rsidRPr="0008636A" w:rsidRDefault="0045354B" w:rsidP="00130002">
            <w:pPr>
              <w:pStyle w:val="TableTextColumnHeading"/>
              <w:jc w:val="right"/>
            </w:pPr>
            <w:r w:rsidRPr="0008636A">
              <w:t>2009</w:t>
            </w:r>
            <w:r w:rsidR="00E35015">
              <w:t>–</w:t>
            </w:r>
            <w:r w:rsidRPr="0008636A">
              <w:t xml:space="preserve">10       </w:t>
            </w:r>
          </w:p>
        </w:tc>
        <w:tc>
          <w:tcPr>
            <w:tcW w:w="1276" w:type="dxa"/>
            <w:tcBorders>
              <w:top w:val="single" w:sz="12" w:space="0" w:color="auto"/>
              <w:left w:val="nil"/>
              <w:bottom w:val="single" w:sz="4" w:space="0" w:color="auto"/>
              <w:right w:val="nil"/>
            </w:tcBorders>
            <w:shd w:val="clear" w:color="auto" w:fill="auto"/>
          </w:tcPr>
          <w:p w:rsidR="0045354B" w:rsidRPr="0008636A" w:rsidRDefault="0045354B" w:rsidP="00130002">
            <w:pPr>
              <w:pStyle w:val="TableTextColumnHeading"/>
              <w:jc w:val="right"/>
            </w:pPr>
            <w:r w:rsidRPr="0008636A">
              <w:t>Difference</w:t>
            </w:r>
          </w:p>
        </w:tc>
      </w:tr>
      <w:tr w:rsidR="0045354B" w:rsidRPr="0008636A" w:rsidTr="007C104E">
        <w:trPr>
          <w:cantSplit/>
        </w:trPr>
        <w:tc>
          <w:tcPr>
            <w:tcW w:w="1951" w:type="dxa"/>
            <w:tcBorders>
              <w:top w:val="single" w:sz="4" w:space="0" w:color="auto"/>
              <w:left w:val="nil"/>
              <w:bottom w:val="nil"/>
              <w:right w:val="nil"/>
            </w:tcBorders>
            <w:shd w:val="clear" w:color="auto" w:fill="auto"/>
          </w:tcPr>
          <w:p w:rsidR="0045354B" w:rsidRPr="0008636A" w:rsidRDefault="0045354B" w:rsidP="001426FC">
            <w:pPr>
              <w:pStyle w:val="BodyText"/>
            </w:pPr>
            <w:r w:rsidRPr="0008636A">
              <w:t>ABEL male</w:t>
            </w:r>
          </w:p>
        </w:tc>
        <w:tc>
          <w:tcPr>
            <w:tcW w:w="1327" w:type="dxa"/>
            <w:tcBorders>
              <w:top w:val="single" w:sz="4" w:space="0" w:color="auto"/>
              <w:left w:val="nil"/>
              <w:bottom w:val="nil"/>
              <w:right w:val="nil"/>
            </w:tcBorders>
            <w:shd w:val="clear" w:color="auto" w:fill="auto"/>
          </w:tcPr>
          <w:p w:rsidR="0045354B" w:rsidRPr="0008636A" w:rsidRDefault="0045354B" w:rsidP="00130002">
            <w:pPr>
              <w:pStyle w:val="BodyText"/>
              <w:jc w:val="right"/>
            </w:pPr>
            <w:r w:rsidRPr="0008636A">
              <w:t>57.2</w:t>
            </w:r>
          </w:p>
        </w:tc>
        <w:tc>
          <w:tcPr>
            <w:tcW w:w="1417" w:type="dxa"/>
            <w:tcBorders>
              <w:top w:val="single" w:sz="4" w:space="0" w:color="auto"/>
              <w:left w:val="nil"/>
              <w:bottom w:val="nil"/>
              <w:right w:val="nil"/>
            </w:tcBorders>
            <w:shd w:val="clear" w:color="auto" w:fill="auto"/>
          </w:tcPr>
          <w:p w:rsidR="0045354B" w:rsidRPr="0008636A" w:rsidRDefault="0045354B" w:rsidP="00130002">
            <w:pPr>
              <w:pStyle w:val="BodyText"/>
              <w:jc w:val="right"/>
            </w:pPr>
            <w:r w:rsidRPr="0008636A">
              <w:t>63.1</w:t>
            </w:r>
          </w:p>
        </w:tc>
        <w:tc>
          <w:tcPr>
            <w:tcW w:w="1276" w:type="dxa"/>
            <w:tcBorders>
              <w:top w:val="single" w:sz="4" w:space="0" w:color="auto"/>
              <w:left w:val="nil"/>
              <w:bottom w:val="nil"/>
              <w:right w:val="nil"/>
            </w:tcBorders>
            <w:shd w:val="clear" w:color="auto" w:fill="auto"/>
          </w:tcPr>
          <w:p w:rsidR="0045354B" w:rsidRPr="0008636A" w:rsidRDefault="00130002" w:rsidP="00130002">
            <w:pPr>
              <w:pStyle w:val="BodyText"/>
              <w:jc w:val="right"/>
            </w:pPr>
            <w:r>
              <w:t xml:space="preserve">   </w:t>
            </w:r>
            <w:r w:rsidR="0045354B" w:rsidRPr="0008636A">
              <w:t>5.9</w:t>
            </w:r>
          </w:p>
        </w:tc>
      </w:tr>
      <w:tr w:rsidR="0045354B" w:rsidRPr="0008636A" w:rsidTr="007C104E">
        <w:trPr>
          <w:cantSplit/>
        </w:trPr>
        <w:tc>
          <w:tcPr>
            <w:tcW w:w="1951" w:type="dxa"/>
            <w:tcBorders>
              <w:top w:val="nil"/>
              <w:left w:val="nil"/>
              <w:bottom w:val="nil"/>
              <w:right w:val="nil"/>
            </w:tcBorders>
            <w:shd w:val="clear" w:color="auto" w:fill="auto"/>
          </w:tcPr>
          <w:p w:rsidR="0045354B" w:rsidRPr="0008636A" w:rsidRDefault="0045354B" w:rsidP="001426FC">
            <w:pPr>
              <w:pStyle w:val="BodyText"/>
            </w:pPr>
            <w:r w:rsidRPr="0008636A">
              <w:t>ABEL female</w:t>
            </w:r>
          </w:p>
        </w:tc>
        <w:tc>
          <w:tcPr>
            <w:tcW w:w="1327" w:type="dxa"/>
            <w:tcBorders>
              <w:top w:val="nil"/>
              <w:left w:val="nil"/>
              <w:bottom w:val="nil"/>
              <w:right w:val="nil"/>
            </w:tcBorders>
            <w:shd w:val="clear" w:color="auto" w:fill="auto"/>
          </w:tcPr>
          <w:p w:rsidR="0045354B" w:rsidRPr="0008636A" w:rsidRDefault="0045354B" w:rsidP="00130002">
            <w:pPr>
              <w:pStyle w:val="BodyText"/>
              <w:jc w:val="right"/>
            </w:pPr>
            <w:r w:rsidRPr="0008636A">
              <w:t>53.9</w:t>
            </w:r>
          </w:p>
        </w:tc>
        <w:tc>
          <w:tcPr>
            <w:tcW w:w="1417" w:type="dxa"/>
            <w:tcBorders>
              <w:top w:val="nil"/>
              <w:left w:val="nil"/>
              <w:bottom w:val="nil"/>
              <w:right w:val="nil"/>
            </w:tcBorders>
            <w:shd w:val="clear" w:color="auto" w:fill="auto"/>
          </w:tcPr>
          <w:p w:rsidR="0045354B" w:rsidRPr="0008636A" w:rsidRDefault="0045354B" w:rsidP="00130002">
            <w:pPr>
              <w:pStyle w:val="BodyText"/>
              <w:jc w:val="right"/>
            </w:pPr>
            <w:r w:rsidRPr="0008636A">
              <w:t>59.5</w:t>
            </w:r>
          </w:p>
        </w:tc>
        <w:tc>
          <w:tcPr>
            <w:tcW w:w="1276" w:type="dxa"/>
            <w:tcBorders>
              <w:top w:val="nil"/>
              <w:left w:val="nil"/>
              <w:bottom w:val="nil"/>
              <w:right w:val="nil"/>
            </w:tcBorders>
            <w:shd w:val="clear" w:color="auto" w:fill="auto"/>
          </w:tcPr>
          <w:p w:rsidR="0045354B" w:rsidRPr="0008636A" w:rsidRDefault="00130002" w:rsidP="00130002">
            <w:pPr>
              <w:pStyle w:val="BodyText"/>
              <w:jc w:val="right"/>
            </w:pPr>
            <w:r>
              <w:t xml:space="preserve">   </w:t>
            </w:r>
            <w:r w:rsidR="0045354B" w:rsidRPr="0008636A">
              <w:t>5.6</w:t>
            </w:r>
          </w:p>
        </w:tc>
      </w:tr>
      <w:tr w:rsidR="0045354B" w:rsidRPr="0008636A" w:rsidTr="007C104E">
        <w:trPr>
          <w:cantSplit/>
        </w:trPr>
        <w:tc>
          <w:tcPr>
            <w:tcW w:w="1951" w:type="dxa"/>
            <w:tcBorders>
              <w:top w:val="nil"/>
              <w:left w:val="nil"/>
              <w:bottom w:val="nil"/>
              <w:right w:val="nil"/>
            </w:tcBorders>
            <w:shd w:val="clear" w:color="auto" w:fill="auto"/>
          </w:tcPr>
          <w:p w:rsidR="0045354B" w:rsidRPr="0008636A" w:rsidRDefault="0045354B" w:rsidP="001426FC">
            <w:pPr>
              <w:pStyle w:val="BodyText"/>
            </w:pPr>
            <w:r w:rsidRPr="0008636A">
              <w:t>Non-ABE</w:t>
            </w:r>
            <w:r>
              <w:t>L</w:t>
            </w:r>
            <w:r w:rsidRPr="0008636A">
              <w:t xml:space="preserve"> male</w:t>
            </w:r>
          </w:p>
        </w:tc>
        <w:tc>
          <w:tcPr>
            <w:tcW w:w="1327" w:type="dxa"/>
            <w:tcBorders>
              <w:top w:val="nil"/>
              <w:left w:val="nil"/>
              <w:bottom w:val="nil"/>
              <w:right w:val="nil"/>
            </w:tcBorders>
            <w:shd w:val="clear" w:color="auto" w:fill="auto"/>
          </w:tcPr>
          <w:p w:rsidR="0045354B" w:rsidRPr="0008636A" w:rsidRDefault="0045354B" w:rsidP="00130002">
            <w:pPr>
              <w:pStyle w:val="BodyText"/>
              <w:jc w:val="right"/>
            </w:pPr>
            <w:r w:rsidRPr="0008636A">
              <w:t>72.9</w:t>
            </w:r>
          </w:p>
        </w:tc>
        <w:tc>
          <w:tcPr>
            <w:tcW w:w="1417" w:type="dxa"/>
            <w:tcBorders>
              <w:top w:val="nil"/>
              <w:left w:val="nil"/>
              <w:bottom w:val="nil"/>
              <w:right w:val="nil"/>
            </w:tcBorders>
            <w:shd w:val="clear" w:color="auto" w:fill="auto"/>
          </w:tcPr>
          <w:p w:rsidR="0045354B" w:rsidRPr="0008636A" w:rsidRDefault="0045354B" w:rsidP="00130002">
            <w:pPr>
              <w:pStyle w:val="BodyText"/>
              <w:jc w:val="right"/>
            </w:pPr>
            <w:r w:rsidRPr="0008636A">
              <w:t>72.7</w:t>
            </w:r>
          </w:p>
        </w:tc>
        <w:tc>
          <w:tcPr>
            <w:tcW w:w="1276" w:type="dxa"/>
            <w:tcBorders>
              <w:top w:val="nil"/>
              <w:left w:val="nil"/>
              <w:bottom w:val="nil"/>
              <w:right w:val="nil"/>
            </w:tcBorders>
            <w:shd w:val="clear" w:color="auto" w:fill="auto"/>
          </w:tcPr>
          <w:p w:rsidR="0045354B" w:rsidRPr="0008636A" w:rsidRDefault="00344326" w:rsidP="00130002">
            <w:pPr>
              <w:pStyle w:val="BodyText"/>
              <w:jc w:val="right"/>
            </w:pPr>
            <w:r>
              <w:t>–</w:t>
            </w:r>
            <w:r w:rsidR="0045354B" w:rsidRPr="0008636A">
              <w:t>0.2</w:t>
            </w:r>
          </w:p>
        </w:tc>
      </w:tr>
      <w:tr w:rsidR="0045354B" w:rsidRPr="0008636A" w:rsidTr="007C104E">
        <w:trPr>
          <w:cantSplit/>
        </w:trPr>
        <w:tc>
          <w:tcPr>
            <w:tcW w:w="1951" w:type="dxa"/>
            <w:tcBorders>
              <w:top w:val="nil"/>
              <w:left w:val="nil"/>
              <w:bottom w:val="single" w:sz="12" w:space="0" w:color="auto"/>
              <w:right w:val="nil"/>
            </w:tcBorders>
            <w:shd w:val="clear" w:color="auto" w:fill="auto"/>
          </w:tcPr>
          <w:p w:rsidR="0045354B" w:rsidRPr="0008636A" w:rsidRDefault="0045354B" w:rsidP="001426FC">
            <w:pPr>
              <w:pStyle w:val="BodyText"/>
            </w:pPr>
            <w:r w:rsidRPr="0008636A">
              <w:t>Non-ABEL female</w:t>
            </w:r>
          </w:p>
        </w:tc>
        <w:tc>
          <w:tcPr>
            <w:tcW w:w="1327" w:type="dxa"/>
            <w:tcBorders>
              <w:top w:val="nil"/>
              <w:left w:val="nil"/>
              <w:bottom w:val="single" w:sz="12" w:space="0" w:color="auto"/>
              <w:right w:val="nil"/>
            </w:tcBorders>
            <w:shd w:val="clear" w:color="auto" w:fill="auto"/>
          </w:tcPr>
          <w:p w:rsidR="0045354B" w:rsidRPr="0008636A" w:rsidRDefault="0045354B" w:rsidP="0043628F">
            <w:pPr>
              <w:pStyle w:val="BodyText"/>
              <w:jc w:val="right"/>
            </w:pPr>
            <w:r w:rsidRPr="0008636A">
              <w:t>69.7</w:t>
            </w:r>
          </w:p>
        </w:tc>
        <w:tc>
          <w:tcPr>
            <w:tcW w:w="1417" w:type="dxa"/>
            <w:tcBorders>
              <w:top w:val="nil"/>
              <w:left w:val="nil"/>
              <w:bottom w:val="single" w:sz="12" w:space="0" w:color="auto"/>
              <w:right w:val="nil"/>
            </w:tcBorders>
            <w:shd w:val="clear" w:color="auto" w:fill="auto"/>
          </w:tcPr>
          <w:p w:rsidR="0045354B" w:rsidRPr="0008636A" w:rsidRDefault="0045354B" w:rsidP="0043628F">
            <w:pPr>
              <w:pStyle w:val="BodyText"/>
              <w:jc w:val="right"/>
            </w:pPr>
            <w:r w:rsidRPr="0008636A">
              <w:t>72.4</w:t>
            </w:r>
          </w:p>
        </w:tc>
        <w:tc>
          <w:tcPr>
            <w:tcW w:w="1276" w:type="dxa"/>
            <w:tcBorders>
              <w:top w:val="nil"/>
              <w:left w:val="nil"/>
              <w:bottom w:val="single" w:sz="12" w:space="0" w:color="auto"/>
              <w:right w:val="nil"/>
            </w:tcBorders>
            <w:shd w:val="clear" w:color="auto" w:fill="auto"/>
          </w:tcPr>
          <w:p w:rsidR="0045354B" w:rsidRPr="0008636A" w:rsidRDefault="0045354B" w:rsidP="0043628F">
            <w:pPr>
              <w:pStyle w:val="BodyText"/>
              <w:jc w:val="right"/>
            </w:pPr>
            <w:r w:rsidRPr="0008636A">
              <w:t>2.7</w:t>
            </w:r>
          </w:p>
        </w:tc>
      </w:tr>
    </w:tbl>
    <w:p w:rsidR="0045354B" w:rsidRDefault="0045354B" w:rsidP="00427331">
      <w:pPr>
        <w:pStyle w:val="BodyText"/>
        <w:spacing w:before="360"/>
      </w:pPr>
      <w:proofErr w:type="gramStart"/>
      <w:r>
        <w:t>ABEL districts benefited from a combination of sch</w:t>
      </w:r>
      <w:bookmarkStart w:id="6" w:name="_GoBack"/>
      <w:bookmarkEnd w:id="6"/>
      <w:r>
        <w:t>ool feeding (World Food Programme) and the Child Friendly Schools/Schools of Quality approach (U</w:t>
      </w:r>
      <w:r w:rsidR="00344326">
        <w:t>nited Nations Children’s Fund—U</w:t>
      </w:r>
      <w:r>
        <w:t>NICEF)</w:t>
      </w:r>
      <w:r w:rsidR="00AA7011">
        <w:t>.</w:t>
      </w:r>
      <w:proofErr w:type="gramEnd"/>
      <w:r w:rsidR="00AA7011">
        <w:t xml:space="preserve"> </w:t>
      </w:r>
      <w:r>
        <w:t xml:space="preserve">School feeding provides parents and children with a practical incentive </w:t>
      </w:r>
      <w:r w:rsidR="00D10BC4">
        <w:t xml:space="preserve">for children to </w:t>
      </w:r>
      <w:r>
        <w:t>attend school</w:t>
      </w:r>
      <w:r w:rsidR="00AA7011">
        <w:t xml:space="preserve">. </w:t>
      </w:r>
      <w:r>
        <w:t>The Schools of Quality approach aims to ensure an inclusive and quality education by encouraging Village Education Development Committees to actively target all school-age children in a village (including girls), emphasising child-centred learning, improving the physical environment and equipment available, and improving the skills of teachers and principals</w:t>
      </w:r>
      <w:r w:rsidR="00AA7011">
        <w:t xml:space="preserve">. </w:t>
      </w:r>
    </w:p>
    <w:p w:rsidR="00DA6D12" w:rsidRPr="0008636A" w:rsidRDefault="0045354B" w:rsidP="00935429">
      <w:pPr>
        <w:pStyle w:val="BodyText"/>
        <w:spacing w:after="200"/>
      </w:pPr>
      <w:r>
        <w:t>The</w:t>
      </w:r>
      <w:r w:rsidRPr="0008636A">
        <w:t xml:space="preserve"> </w:t>
      </w:r>
      <w:r>
        <w:t xml:space="preserve">reasons for the </w:t>
      </w:r>
      <w:r w:rsidRPr="0008636A">
        <w:t xml:space="preserve">stagnation of </w:t>
      </w:r>
      <w:r>
        <w:t>survival rate</w:t>
      </w:r>
      <w:r w:rsidRPr="0008636A">
        <w:t>s nationwide are not clear</w:t>
      </w:r>
      <w:r>
        <w:t xml:space="preserve"> and </w:t>
      </w:r>
      <w:r w:rsidR="00652686">
        <w:t xml:space="preserve">AusAID </w:t>
      </w:r>
      <w:r>
        <w:t>propose</w:t>
      </w:r>
      <w:r w:rsidR="00652686">
        <w:t>s</w:t>
      </w:r>
      <w:r>
        <w:t xml:space="preserve"> to research this further in 2011</w:t>
      </w:r>
      <w:r w:rsidRPr="0008636A">
        <w:t xml:space="preserve">. Our </w:t>
      </w:r>
      <w:r>
        <w:t xml:space="preserve">early </w:t>
      </w:r>
      <w:r w:rsidRPr="0008636A">
        <w:t xml:space="preserve">analysis </w:t>
      </w:r>
      <w:r>
        <w:t xml:space="preserve">is that </w:t>
      </w:r>
      <w:r w:rsidRPr="0008636A">
        <w:t xml:space="preserve">enrolments </w:t>
      </w:r>
      <w:r>
        <w:t>in</w:t>
      </w:r>
      <w:r w:rsidRPr="0008636A">
        <w:t xml:space="preserve"> grade 1 </w:t>
      </w:r>
      <w:r>
        <w:t>are increasing without</w:t>
      </w:r>
      <w:r w:rsidRPr="0008636A">
        <w:t xml:space="preserve"> </w:t>
      </w:r>
      <w:r>
        <w:t>corresponding improvements</w:t>
      </w:r>
      <w:r w:rsidRPr="0008636A">
        <w:t xml:space="preserve"> in teacher standards </w:t>
      </w:r>
      <w:r>
        <w:t>and many schools still do</w:t>
      </w:r>
      <w:r w:rsidR="00D10BC4">
        <w:t xml:space="preserve"> not</w:t>
      </w:r>
      <w:r>
        <w:t xml:space="preserve"> offer classes to grade 5</w:t>
      </w:r>
      <w:r w:rsidRPr="0008636A">
        <w:t xml:space="preserve">. The fact that districts supported by Australia have gone against this trend </w:t>
      </w:r>
      <w:r>
        <w:t>suggests</w:t>
      </w:r>
      <w:r w:rsidRPr="0008636A">
        <w:t xml:space="preserve"> that quality inputs are making a difference in drop</w:t>
      </w:r>
      <w:r w:rsidR="00D10BC4">
        <w:t>-</w:t>
      </w:r>
      <w:r w:rsidRPr="0008636A">
        <w:t xml:space="preserve">out and repetition </w:t>
      </w:r>
      <w:r>
        <w:t>rates. The design of</w:t>
      </w:r>
      <w:r w:rsidRPr="0008636A">
        <w:t xml:space="preserve"> </w:t>
      </w:r>
      <w:r>
        <w:t>the new Education for All</w:t>
      </w:r>
      <w:r w:rsidR="00E35015">
        <w:t>-</w:t>
      </w:r>
      <w:r>
        <w:t>Fast Track Initiative (EFA</w:t>
      </w:r>
      <w:r w:rsidR="00E35015">
        <w:t>-</w:t>
      </w:r>
      <w:r>
        <w:t>FTI) program, incorporating quality inputs</w:t>
      </w:r>
      <w:r w:rsidRPr="00AD7C2A">
        <w:t xml:space="preserve"> </w:t>
      </w:r>
      <w:r>
        <w:t>and targeting educationally disadvantaged areas</w:t>
      </w:r>
      <w:r w:rsidR="00D10BC4">
        <w:t>,</w:t>
      </w:r>
      <w:r>
        <w:t xml:space="preserve"> including ethnic groups, is therefore appropriate</w:t>
      </w:r>
      <w:r w:rsidR="00AA7011">
        <w:t xml:space="preserve">. </w:t>
      </w:r>
      <w:r>
        <w:t>A recent focus on girls in projects supported by donors in the education sector, including the ABEL program, has led to a steady increase in gender parity in basic education</w:t>
      </w:r>
      <w:r w:rsidR="00AA7011">
        <w:t xml:space="preserve">. </w:t>
      </w:r>
      <w:r>
        <w:t xml:space="preserve">These improvements to gender equality at primary level are expected to continue with resources under the EFA-FTI program provided to the 56 districts </w:t>
      </w:r>
      <w:r w:rsidR="00B72333">
        <w:t>in which</w:t>
      </w:r>
      <w:r>
        <w:t xml:space="preserve"> female participation is below the national average.</w:t>
      </w:r>
    </w:p>
    <w:p w:rsidR="0045354B" w:rsidRPr="005C6B22" w:rsidRDefault="0045354B" w:rsidP="00DA6D12">
      <w:pPr>
        <w:pStyle w:val="Heading2"/>
        <w:keepNext/>
        <w:tabs>
          <w:tab w:val="left" w:pos="1920"/>
        </w:tabs>
        <w:spacing w:before="0" w:after="120" w:line="320" w:lineRule="atLeast"/>
        <w:ind w:left="0"/>
      </w:pPr>
      <w:bookmarkStart w:id="7" w:name="_Toc360989280"/>
      <w:r w:rsidRPr="005C6B22">
        <w:t>Objective 1</w:t>
      </w:r>
      <w:proofErr w:type="gramStart"/>
      <w:r w:rsidRPr="005C6B22">
        <w:t>:</w:t>
      </w:r>
      <w:proofErr w:type="gramEnd"/>
      <w:r w:rsidRPr="005C6B22">
        <w:br/>
        <w:t>Mitigation of key constraints to equitable access to a basic quality education in targeted poor geographic areas</w:t>
      </w:r>
      <w:bookmarkEnd w:id="7"/>
    </w:p>
    <w:p w:rsidR="0045354B" w:rsidRDefault="0045354B" w:rsidP="0045354B">
      <w:pPr>
        <w:pStyle w:val="BodyText"/>
      </w:pPr>
      <w:r>
        <w:t>Achieving this objective in the longer term requires</w:t>
      </w:r>
      <w:r w:rsidRPr="005C6B22">
        <w:t xml:space="preserve"> successful implementation of </w:t>
      </w:r>
      <w:r>
        <w:t xml:space="preserve">the Government of Laos’s </w:t>
      </w:r>
      <w:r w:rsidRPr="005C6B22">
        <w:t>E</w:t>
      </w:r>
      <w:r>
        <w:t xml:space="preserve">ducation </w:t>
      </w:r>
      <w:r w:rsidRPr="005C6B22">
        <w:t>S</w:t>
      </w:r>
      <w:r>
        <w:t xml:space="preserve">ector </w:t>
      </w:r>
      <w:r w:rsidRPr="005C6B22">
        <w:t>D</w:t>
      </w:r>
      <w:r>
        <w:t xml:space="preserve">evelopment </w:t>
      </w:r>
      <w:r w:rsidRPr="005C6B22">
        <w:t>F</w:t>
      </w:r>
      <w:r>
        <w:t>ramework (ESDF) as it relates to basic education</w:t>
      </w:r>
      <w:r w:rsidRPr="005C6B22">
        <w:t xml:space="preserve">. </w:t>
      </w:r>
      <w:r>
        <w:t>The EFA</w:t>
      </w:r>
      <w:r w:rsidR="00E35015">
        <w:t>-</w:t>
      </w:r>
      <w:r>
        <w:t xml:space="preserve">FTI program, co-financed by Australia, the World Bank and the </w:t>
      </w:r>
      <w:r w:rsidR="005D3277">
        <w:t xml:space="preserve">global </w:t>
      </w:r>
      <w:r>
        <w:t xml:space="preserve">Education for All Fast Track Initiative, and implemented by the Ministry of Education, is one of main vehicle for </w:t>
      </w:r>
      <w:proofErr w:type="gramStart"/>
      <w:r>
        <w:t>progressing</w:t>
      </w:r>
      <w:proofErr w:type="gramEnd"/>
      <w:r>
        <w:t xml:space="preserve"> this work</w:t>
      </w:r>
      <w:r w:rsidR="00AA7011">
        <w:t xml:space="preserve">. </w:t>
      </w:r>
      <w:r w:rsidRPr="005C6B22">
        <w:t>In 2010</w:t>
      </w:r>
      <w:r>
        <w:t xml:space="preserve"> progress was slow</w:t>
      </w:r>
      <w:r w:rsidR="00AA7011">
        <w:t xml:space="preserve">. </w:t>
      </w:r>
      <w:r w:rsidRPr="005C6B22">
        <w:t>Issues</w:t>
      </w:r>
      <w:r w:rsidR="004D0FAF">
        <w:t xml:space="preserve"> for this </w:t>
      </w:r>
      <w:r w:rsidRPr="005C6B22">
        <w:t xml:space="preserve">included the level of institutional change </w:t>
      </w:r>
      <w:r>
        <w:t>requir</w:t>
      </w:r>
      <w:r w:rsidRPr="005C6B22">
        <w:t>ed a</w:t>
      </w:r>
      <w:r>
        <w:t>s well as the time needed to establish systems</w:t>
      </w:r>
      <w:r w:rsidRPr="005C6B22">
        <w:t xml:space="preserve"> for disbursement of </w:t>
      </w:r>
      <w:r>
        <w:t>EFA-FTI</w:t>
      </w:r>
      <w:r w:rsidRPr="005C6B22">
        <w:t xml:space="preserve"> funding</w:t>
      </w:r>
      <w:r>
        <w:t xml:space="preserve"> at national and sub-national levels</w:t>
      </w:r>
      <w:r w:rsidR="00AA7011">
        <w:t xml:space="preserve">. </w:t>
      </w:r>
      <w:r>
        <w:t>AusAID</w:t>
      </w:r>
      <w:r w:rsidRPr="005C6B22">
        <w:t xml:space="preserve"> </w:t>
      </w:r>
      <w:r>
        <w:t xml:space="preserve">provided bridging funds through the </w:t>
      </w:r>
      <w:r w:rsidR="0062706C" w:rsidRPr="00DD35EA">
        <w:rPr>
          <w:rFonts w:cs="Arial"/>
          <w:color w:val="000000"/>
        </w:rPr>
        <w:t xml:space="preserve">World Food </w:t>
      </w:r>
      <w:r w:rsidR="0062706C" w:rsidRPr="004D0FAF">
        <w:rPr>
          <w:rFonts w:cs="Arial"/>
          <w:color w:val="000000"/>
        </w:rPr>
        <w:t>Programme</w:t>
      </w:r>
      <w:r w:rsidR="0062706C" w:rsidRPr="006876B7">
        <w:t xml:space="preserve"> </w:t>
      </w:r>
      <w:r w:rsidR="0062706C" w:rsidRPr="004D0FAF">
        <w:t>(</w:t>
      </w:r>
      <w:r w:rsidRPr="004D0FAF">
        <w:t>WFP</w:t>
      </w:r>
      <w:r w:rsidR="0062706C" w:rsidRPr="004D0FAF">
        <w:t>)</w:t>
      </w:r>
      <w:r w:rsidRPr="004D0FAF">
        <w:t>,</w:t>
      </w:r>
      <w:r>
        <w:t xml:space="preserve"> </w:t>
      </w:r>
      <w:r w:rsidRPr="005C6B22">
        <w:t>UNICEF</w:t>
      </w:r>
      <w:r>
        <w:t xml:space="preserve"> and </w:t>
      </w:r>
      <w:r w:rsidR="003E4FC7" w:rsidRPr="003E4FC7">
        <w:t xml:space="preserve">United Nations Educational Scientific and Cultural Organisation </w:t>
      </w:r>
      <w:r w:rsidR="003E4FC7">
        <w:t>(</w:t>
      </w:r>
      <w:r w:rsidRPr="003E4FC7">
        <w:t>UNESCO</w:t>
      </w:r>
      <w:r w:rsidR="003E4FC7">
        <w:t>)</w:t>
      </w:r>
      <w:r w:rsidRPr="00D96158">
        <w:t xml:space="preserve"> </w:t>
      </w:r>
      <w:r w:rsidRPr="005C6B22">
        <w:t>in 2010 to maintain momentum</w:t>
      </w:r>
      <w:r>
        <w:t xml:space="preserve"> and</w:t>
      </w:r>
      <w:r w:rsidRPr="005C6B22">
        <w:t xml:space="preserve"> </w:t>
      </w:r>
      <w:r>
        <w:t>avoid expected delays in implementation.</w:t>
      </w:r>
      <w:r w:rsidRPr="005C6B22">
        <w:t xml:space="preserve"> </w:t>
      </w:r>
    </w:p>
    <w:p w:rsidR="0045354B" w:rsidRDefault="0045354B" w:rsidP="0045354B">
      <w:pPr>
        <w:pStyle w:val="BodyText"/>
      </w:pPr>
      <w:r>
        <w:lastRenderedPageBreak/>
        <w:t>This slow start does not necessarily flag problems in meeting the objective</w:t>
      </w:r>
      <w:r w:rsidR="00AA7011">
        <w:t xml:space="preserve">. </w:t>
      </w:r>
      <w:r>
        <w:t>The Ministry</w:t>
      </w:r>
      <w:r w:rsidR="004D0FAF">
        <w:t xml:space="preserve"> of Education</w:t>
      </w:r>
      <w:r>
        <w:t xml:space="preserve"> has full ownership of the EFA</w:t>
      </w:r>
      <w:r w:rsidR="00E35015">
        <w:t>-</w:t>
      </w:r>
      <w:r>
        <w:t xml:space="preserve">FTI and has taken time to plan and roll out necessary training to </w:t>
      </w:r>
      <w:r w:rsidR="004D0FAF">
        <w:t xml:space="preserve">those </w:t>
      </w:r>
      <w:r>
        <w:t>who will implement at provincial and district levels</w:t>
      </w:r>
      <w:r w:rsidR="00AA7011">
        <w:t xml:space="preserve">. </w:t>
      </w:r>
      <w:r>
        <w:t xml:space="preserve">We see this as being important to the </w:t>
      </w:r>
      <w:r w:rsidR="004D0FAF">
        <w:t xml:space="preserve">program </w:t>
      </w:r>
      <w:r>
        <w:t>success</w:t>
      </w:r>
      <w:r w:rsidR="00AA7011">
        <w:t xml:space="preserve">. </w:t>
      </w:r>
    </w:p>
    <w:p w:rsidR="0045354B" w:rsidRDefault="0045354B" w:rsidP="0045354B">
      <w:pPr>
        <w:pStyle w:val="BodyText"/>
      </w:pPr>
      <w:r>
        <w:t xml:space="preserve">Two of the three 2010 milestones under this objective were achieved and work is continuing on the third (safety audit of schools). For more detail </w:t>
      </w:r>
      <w:r w:rsidR="005D3277">
        <w:t xml:space="preserve">on milestones and their progress </w:t>
      </w:r>
      <w:r>
        <w:t xml:space="preserve">refer to the Performance Assessment Framework but milestones mainly relate to </w:t>
      </w:r>
      <w:r w:rsidR="004D0FAF">
        <w:t>providing</w:t>
      </w:r>
      <w:r>
        <w:t xml:space="preserve"> quality inputs to schools in target areas and </w:t>
      </w:r>
      <w:r w:rsidR="004D0FAF">
        <w:t>piloting</w:t>
      </w:r>
      <w:r>
        <w:t xml:space="preserve"> the use of mobile teachers in remote villages where children, particularly those from ethnic groups, do not attend school</w:t>
      </w:r>
      <w:r w:rsidR="00AA7011">
        <w:t xml:space="preserve">. </w:t>
      </w:r>
    </w:p>
    <w:p w:rsidR="0045354B" w:rsidRPr="005C6B22" w:rsidRDefault="0045354B" w:rsidP="0045354B">
      <w:pPr>
        <w:pStyle w:val="BodyText"/>
      </w:pPr>
      <w:r w:rsidRPr="005C6B22">
        <w:t>Key results for 2010 included:</w:t>
      </w:r>
    </w:p>
    <w:p w:rsidR="0045354B" w:rsidRPr="005C6B22" w:rsidRDefault="0045354B" w:rsidP="00DA6D12">
      <w:pPr>
        <w:pStyle w:val="BodyText"/>
        <w:numPr>
          <w:ilvl w:val="0"/>
          <w:numId w:val="18"/>
        </w:numPr>
      </w:pPr>
      <w:r w:rsidRPr="005C6B22">
        <w:t xml:space="preserve">the number of primary schools </w:t>
      </w:r>
      <w:r>
        <w:t xml:space="preserve">upgrading quality standards to become Schools of Quality </w:t>
      </w:r>
      <w:r w:rsidRPr="005C6B22">
        <w:t>more than doubled to 953</w:t>
      </w:r>
      <w:r>
        <w:t xml:space="preserve"> (79</w:t>
      </w:r>
      <w:r w:rsidR="00E35015">
        <w:t xml:space="preserve"> per cent</w:t>
      </w:r>
      <w:r>
        <w:t xml:space="preserve"> of targeted schools)</w:t>
      </w:r>
    </w:p>
    <w:p w:rsidR="0045354B" w:rsidRDefault="0045354B" w:rsidP="00DA6D12">
      <w:pPr>
        <w:pStyle w:val="BodyText"/>
        <w:numPr>
          <w:ilvl w:val="0"/>
          <w:numId w:val="18"/>
        </w:numPr>
      </w:pPr>
      <w:r>
        <w:t xml:space="preserve">the Ministry of Education developed an implementation plan identifying preferred </w:t>
      </w:r>
      <w:r w:rsidR="004D0FAF">
        <w:t xml:space="preserve">methods </w:t>
      </w:r>
      <w:r>
        <w:t>for school feeding: a fortified school</w:t>
      </w:r>
      <w:r w:rsidR="004D0FAF">
        <w:t>-</w:t>
      </w:r>
      <w:r>
        <w:t>based lunch combined with home</w:t>
      </w:r>
      <w:r w:rsidR="004D0FAF">
        <w:t>-</w:t>
      </w:r>
      <w:r>
        <w:t>grown school feeding and cash transfer to schools</w:t>
      </w:r>
    </w:p>
    <w:p w:rsidR="0045354B" w:rsidRPr="005C6B22" w:rsidRDefault="0045354B" w:rsidP="00DA6D12">
      <w:pPr>
        <w:pStyle w:val="BodyText"/>
        <w:numPr>
          <w:ilvl w:val="0"/>
          <w:numId w:val="18"/>
        </w:numPr>
      </w:pPr>
      <w:proofErr w:type="gramStart"/>
      <w:r>
        <w:t>a</w:t>
      </w:r>
      <w:proofErr w:type="gramEnd"/>
      <w:r>
        <w:t xml:space="preserve"> framework for a </w:t>
      </w:r>
      <w:r w:rsidRPr="005C6B22">
        <w:t>non-formal primary education equivalency</w:t>
      </w:r>
      <w:r>
        <w:t xml:space="preserve"> program in remote villages using</w:t>
      </w:r>
      <w:r w:rsidRPr="005C6B22">
        <w:t xml:space="preserve"> </w:t>
      </w:r>
      <w:r>
        <w:t xml:space="preserve">mobile teachers was developed following a sample survey of </w:t>
      </w:r>
      <w:r w:rsidR="004D0FAF">
        <w:br/>
      </w:r>
      <w:r>
        <w:t>6</w:t>
      </w:r>
      <w:r w:rsidR="00E35015">
        <w:t>–</w:t>
      </w:r>
      <w:r>
        <w:t>14</w:t>
      </w:r>
      <w:r w:rsidR="004D0FAF">
        <w:t> </w:t>
      </w:r>
      <w:r>
        <w:t>year olds not enrolled in school and a rapid assessment of learning needs among out-of-school</w:t>
      </w:r>
      <w:r w:rsidR="00C838E9">
        <w:t xml:space="preserve"> children</w:t>
      </w:r>
      <w:r>
        <w:t>.</w:t>
      </w:r>
    </w:p>
    <w:p w:rsidR="0045354B" w:rsidRDefault="0045354B" w:rsidP="00935429">
      <w:pPr>
        <w:pStyle w:val="BodyText"/>
        <w:spacing w:after="400"/>
      </w:pPr>
      <w:r>
        <w:t>School construction under an AusAID</w:t>
      </w:r>
      <w:r w:rsidR="004D0FAF">
        <w:t xml:space="preserve"> – </w:t>
      </w:r>
      <w:r>
        <w:t>World Bank</w:t>
      </w:r>
      <w:r w:rsidR="004D0FAF">
        <w:t xml:space="preserve"> – </w:t>
      </w:r>
      <w:r>
        <w:t>Ministry of Education partnership showed strong evidence of increased enrolments in target provinces</w:t>
      </w:r>
      <w:r w:rsidR="00AA7011">
        <w:t xml:space="preserve">. </w:t>
      </w:r>
      <w:r>
        <w:t xml:space="preserve">However, an AusAID review of </w:t>
      </w:r>
      <w:r w:rsidRPr="005C6B22">
        <w:t>community</w:t>
      </w:r>
      <w:r>
        <w:t>-</w:t>
      </w:r>
      <w:r w:rsidRPr="005C6B22">
        <w:t>based</w:t>
      </w:r>
      <w:r w:rsidR="005F4685">
        <w:t xml:space="preserve"> </w:t>
      </w:r>
      <w:r>
        <w:t>contracting</w:t>
      </w:r>
      <w:r w:rsidRPr="005C6B22">
        <w:t xml:space="preserve"> </w:t>
      </w:r>
      <w:r>
        <w:t xml:space="preserve">under the program exposed some problems, mostly related to school safety and longevity, which AusAID </w:t>
      </w:r>
      <w:r w:rsidR="005F4685">
        <w:t xml:space="preserve">required </w:t>
      </w:r>
      <w:r>
        <w:t>partners</w:t>
      </w:r>
      <w:r w:rsidR="005F4685">
        <w:t xml:space="preserve"> to</w:t>
      </w:r>
      <w:r>
        <w:t xml:space="preserve"> address immediately</w:t>
      </w:r>
      <w:r w:rsidR="00AA7011">
        <w:t xml:space="preserve">. </w:t>
      </w:r>
      <w:r>
        <w:t>Community-based</w:t>
      </w:r>
      <w:r w:rsidR="005F4685">
        <w:t xml:space="preserve"> </w:t>
      </w:r>
      <w:r>
        <w:t xml:space="preserve">contracting will be significantly scaled up under the EFA-FTI so the </w:t>
      </w:r>
      <w:r w:rsidRPr="005C6B22">
        <w:t>program manual</w:t>
      </w:r>
      <w:r>
        <w:t xml:space="preserve"> has been amended to address review findings.</w:t>
      </w:r>
    </w:p>
    <w:p w:rsidR="0045354B" w:rsidRPr="005C6B22" w:rsidRDefault="0045354B" w:rsidP="00935429">
      <w:pPr>
        <w:pStyle w:val="Heading2"/>
        <w:keepNext/>
        <w:numPr>
          <w:ilvl w:val="0"/>
          <w:numId w:val="0"/>
        </w:numPr>
        <w:tabs>
          <w:tab w:val="left" w:pos="1920"/>
        </w:tabs>
        <w:spacing w:before="0" w:after="120" w:line="320" w:lineRule="atLeast"/>
      </w:pPr>
      <w:bookmarkStart w:id="8" w:name="_Toc360989281"/>
      <w:r w:rsidRPr="005C6B22">
        <w:t>Objective 2</w:t>
      </w:r>
      <w:proofErr w:type="gramStart"/>
      <w:r w:rsidRPr="005C6B22">
        <w:t>:</w:t>
      </w:r>
      <w:proofErr w:type="gramEnd"/>
      <w:r w:rsidRPr="005C6B22">
        <w:br/>
        <w:t>Better management of Government of Laos and donor resources available to the education sector through implementation of a jointly agreed 10-year education sector framework</w:t>
      </w:r>
      <w:bookmarkEnd w:id="8"/>
    </w:p>
    <w:p w:rsidR="0045354B" w:rsidRPr="0008636A" w:rsidRDefault="0045354B" w:rsidP="0045354B">
      <w:pPr>
        <w:pStyle w:val="BodyText"/>
      </w:pPr>
      <w:r>
        <w:t xml:space="preserve">All five milestones under this objective were met in </w:t>
      </w:r>
      <w:r w:rsidRPr="0008636A">
        <w:t>201</w:t>
      </w:r>
      <w:r>
        <w:t>0 (refer</w:t>
      </w:r>
      <w:r w:rsidR="005F4685">
        <w:t xml:space="preserve"> to the</w:t>
      </w:r>
      <w:r>
        <w:t xml:space="preserve"> Performance Assessment Framework</w:t>
      </w:r>
      <w:r w:rsidR="005F4685">
        <w:t>,</w:t>
      </w:r>
      <w:r>
        <w:t xml:space="preserve"> p</w:t>
      </w:r>
      <w:r w:rsidR="003E45EE">
        <w:t>. 15</w:t>
      </w:r>
      <w:r w:rsidR="005F4685">
        <w:t>,</w:t>
      </w:r>
      <w:r>
        <w:t xml:space="preserve"> for more detail)</w:t>
      </w:r>
      <w:r w:rsidR="00AA7011">
        <w:t xml:space="preserve">. </w:t>
      </w:r>
      <w:r w:rsidRPr="0008636A">
        <w:t>Australia (</w:t>
      </w:r>
      <w:r>
        <w:t>with</w:t>
      </w:r>
      <w:r w:rsidRPr="0008636A">
        <w:t xml:space="preserve"> other donors</w:t>
      </w:r>
      <w:r>
        <w:t xml:space="preserve"> in the Education Sector Working Group)</w:t>
      </w:r>
      <w:r w:rsidRPr="0008636A">
        <w:t xml:space="preserve"> </w:t>
      </w:r>
      <w:r>
        <w:t>played</w:t>
      </w:r>
      <w:r w:rsidRPr="0008636A">
        <w:t xml:space="preserve"> a leading role in leveraging reform</w:t>
      </w:r>
      <w:r w:rsidR="00AA7011">
        <w:t xml:space="preserve">. </w:t>
      </w:r>
      <w:r w:rsidRPr="0008636A">
        <w:t xml:space="preserve">This </w:t>
      </w:r>
      <w:r>
        <w:t xml:space="preserve">mainly occurred through the joint </w:t>
      </w:r>
      <w:r w:rsidRPr="0008636A">
        <w:t xml:space="preserve">process </w:t>
      </w:r>
      <w:r>
        <w:t>of finalising the EFA</w:t>
      </w:r>
      <w:r w:rsidR="00E35015">
        <w:t>-</w:t>
      </w:r>
      <w:r>
        <w:t>FTI program</w:t>
      </w:r>
      <w:r w:rsidR="00AA7011">
        <w:t xml:space="preserve">. </w:t>
      </w:r>
    </w:p>
    <w:p w:rsidR="0045354B" w:rsidRDefault="0045354B" w:rsidP="0045354B">
      <w:pPr>
        <w:pStyle w:val="BodyText"/>
      </w:pPr>
      <w:r>
        <w:t xml:space="preserve">Government of </w:t>
      </w:r>
      <w:proofErr w:type="gramStart"/>
      <w:r>
        <w:t>Laos</w:t>
      </w:r>
      <w:proofErr w:type="gramEnd"/>
      <w:r w:rsidRPr="0008636A">
        <w:t xml:space="preserve"> ownership of and commitment </w:t>
      </w:r>
      <w:r>
        <w:t>to</w:t>
      </w:r>
      <w:r w:rsidRPr="0008636A">
        <w:t xml:space="preserve"> full implementation of the </w:t>
      </w:r>
      <w:r>
        <w:t>ESDF has been commendable</w:t>
      </w:r>
      <w:r w:rsidRPr="0008636A">
        <w:t xml:space="preserve">. </w:t>
      </w:r>
      <w:r>
        <w:t xml:space="preserve">A </w:t>
      </w:r>
      <w:r w:rsidR="005F4685">
        <w:t>d</w:t>
      </w:r>
      <w:r>
        <w:t>ecree on ESDF implementation was signed in January</w:t>
      </w:r>
      <w:r w:rsidR="005F4685">
        <w:t> </w:t>
      </w:r>
      <w:r>
        <w:t xml:space="preserve">2010, assigning Ministry of Education departments responsibility for implementation and establishing focal groups for (i) basic education, (ii) post-basic education, (iii) financing and planning and </w:t>
      </w:r>
      <w:proofErr w:type="gramStart"/>
      <w:r>
        <w:t>(iv)</w:t>
      </w:r>
      <w:r w:rsidR="00B72333">
        <w:t> </w:t>
      </w:r>
      <w:r>
        <w:t>research</w:t>
      </w:r>
      <w:proofErr w:type="gramEnd"/>
      <w:r w:rsidR="00AA7011">
        <w:t xml:space="preserve">. </w:t>
      </w:r>
      <w:r>
        <w:t>There have been delays in getting the focal groups underway; a</w:t>
      </w:r>
      <w:r w:rsidR="005F4685">
        <w:t>nd a</w:t>
      </w:r>
      <w:r>
        <w:t xml:space="preserve"> deeper understanding of their purpose and added value needs to be developed in the Ministry of Education</w:t>
      </w:r>
      <w:r w:rsidR="00AA7011">
        <w:t xml:space="preserve">. </w:t>
      </w:r>
      <w:r>
        <w:t xml:space="preserve">A </w:t>
      </w:r>
      <w:r w:rsidRPr="0008636A">
        <w:t xml:space="preserve">comprehensive </w:t>
      </w:r>
      <w:r>
        <w:t xml:space="preserve">ESDF </w:t>
      </w:r>
      <w:r w:rsidRPr="0008636A">
        <w:t>dissemination program</w:t>
      </w:r>
      <w:r>
        <w:t xml:space="preserve"> was rolled out from July</w:t>
      </w:r>
      <w:r w:rsidR="005F4685">
        <w:t> </w:t>
      </w:r>
      <w:r>
        <w:t xml:space="preserve">2010 with funding from Australia and the </w:t>
      </w:r>
      <w:r w:rsidR="0062706C" w:rsidRPr="00DD35EA">
        <w:rPr>
          <w:rFonts w:cs="Arial"/>
          <w:color w:val="000000"/>
        </w:rPr>
        <w:t xml:space="preserve">European </w:t>
      </w:r>
      <w:r w:rsidR="0062706C" w:rsidRPr="0062706C">
        <w:rPr>
          <w:rFonts w:cs="Arial"/>
          <w:color w:val="000000"/>
        </w:rPr>
        <w:t>Community</w:t>
      </w:r>
      <w:r w:rsidRPr="003E4FC7">
        <w:t>,</w:t>
      </w:r>
      <w:r>
        <w:t xml:space="preserve"> informing </w:t>
      </w:r>
      <w:r w:rsidR="00C838E9">
        <w:t>central,</w:t>
      </w:r>
      <w:r w:rsidR="003E45EE">
        <w:t xml:space="preserve"> </w:t>
      </w:r>
      <w:r w:rsidRPr="0008636A">
        <w:t>provincial</w:t>
      </w:r>
      <w:r w:rsidR="00C838E9">
        <w:t xml:space="preserve"> and </w:t>
      </w:r>
      <w:r w:rsidRPr="0008636A">
        <w:t xml:space="preserve">district stakeholders </w:t>
      </w:r>
      <w:r>
        <w:t>about ESDF and how it will be implemented.</w:t>
      </w:r>
      <w:r w:rsidRPr="0008636A">
        <w:t xml:space="preserve"> </w:t>
      </w:r>
    </w:p>
    <w:p w:rsidR="0045354B" w:rsidRPr="0008636A" w:rsidRDefault="0045354B" w:rsidP="0045354B">
      <w:pPr>
        <w:pStyle w:val="BodyText"/>
      </w:pPr>
      <w:r>
        <w:lastRenderedPageBreak/>
        <w:t xml:space="preserve">An </w:t>
      </w:r>
      <w:r w:rsidRPr="0008636A">
        <w:t xml:space="preserve">ESDF </w:t>
      </w:r>
      <w:r w:rsidR="005F4685">
        <w:t>p</w:t>
      </w:r>
      <w:r w:rsidRPr="0008636A">
        <w:t xml:space="preserve">lanning </w:t>
      </w:r>
      <w:r w:rsidR="005F4685">
        <w:t>m</w:t>
      </w:r>
      <w:r w:rsidRPr="0008636A">
        <w:t>atrix has been developed</w:t>
      </w:r>
      <w:r w:rsidR="005F4685">
        <w:t>,</w:t>
      </w:r>
      <w:r>
        <w:t xml:space="preserve"> identif</w:t>
      </w:r>
      <w:r w:rsidR="005F4685">
        <w:t>ying</w:t>
      </w:r>
      <w:r>
        <w:t xml:space="preserve"> pillars, targets and legislative requirements needed through Ministerial and Inter-Ministerial decrees and instructions.</w:t>
      </w:r>
    </w:p>
    <w:p w:rsidR="0045354B" w:rsidRPr="0008636A" w:rsidRDefault="0045354B" w:rsidP="0045354B">
      <w:pPr>
        <w:pStyle w:val="BodyText"/>
      </w:pPr>
      <w:r w:rsidRPr="0008636A">
        <w:t>The annual sector</w:t>
      </w:r>
      <w:r w:rsidR="005F4685">
        <w:t>-</w:t>
      </w:r>
      <w:r w:rsidRPr="0008636A">
        <w:t>costed plan for 2010</w:t>
      </w:r>
      <w:r w:rsidR="00E35015">
        <w:t>–</w:t>
      </w:r>
      <w:r w:rsidRPr="0008636A">
        <w:t xml:space="preserve">11 aligned with the ESDF </w:t>
      </w:r>
      <w:r>
        <w:t xml:space="preserve">and </w:t>
      </w:r>
      <w:r w:rsidRPr="0008636A">
        <w:t>showed considerable improvement from the previous year in scope and quality</w:t>
      </w:r>
      <w:r w:rsidR="00AA7011">
        <w:t xml:space="preserve">. </w:t>
      </w:r>
      <w:r w:rsidRPr="0008636A">
        <w:t xml:space="preserve">For the first time </w:t>
      </w:r>
      <w:r>
        <w:t xml:space="preserve">the </w:t>
      </w:r>
      <w:r w:rsidRPr="0008636A">
        <w:t>sector plan incorporated aligned provincial plans</w:t>
      </w:r>
      <w:r w:rsidR="00AA7011">
        <w:t xml:space="preserve">. </w:t>
      </w:r>
      <w:r>
        <w:t>T</w:t>
      </w:r>
      <w:r w:rsidRPr="0008636A">
        <w:t>he</w:t>
      </w:r>
      <w:r>
        <w:t xml:space="preserve">re are </w:t>
      </w:r>
      <w:r w:rsidRPr="0008636A">
        <w:t>early sign</w:t>
      </w:r>
      <w:r>
        <w:t>s</w:t>
      </w:r>
      <w:r w:rsidRPr="0008636A">
        <w:t xml:space="preserve"> that the </w:t>
      </w:r>
      <w:r>
        <w:t>Government of Laos</w:t>
      </w:r>
      <w:r w:rsidRPr="0008636A">
        <w:t xml:space="preserve"> is </w:t>
      </w:r>
      <w:r>
        <w:t xml:space="preserve">increasing </w:t>
      </w:r>
      <w:r w:rsidRPr="0008636A">
        <w:t xml:space="preserve">recurrent funding </w:t>
      </w:r>
      <w:r>
        <w:t>t</w:t>
      </w:r>
      <w:r w:rsidRPr="0008636A">
        <w:t>o meet the ESDF funding requirements</w:t>
      </w:r>
      <w:r w:rsidR="00E35015">
        <w:t>—</w:t>
      </w:r>
      <w:r w:rsidRPr="0008636A">
        <w:t>from around 12</w:t>
      </w:r>
      <w:r w:rsidR="005F4685">
        <w:t> </w:t>
      </w:r>
      <w:r w:rsidRPr="0008636A">
        <w:t>per</w:t>
      </w:r>
      <w:r w:rsidR="005F4685">
        <w:t> </w:t>
      </w:r>
      <w:r w:rsidRPr="0008636A">
        <w:t xml:space="preserve">cent in </w:t>
      </w:r>
      <w:r>
        <w:t>20</w:t>
      </w:r>
      <w:r w:rsidRPr="0008636A">
        <w:t>07</w:t>
      </w:r>
      <w:r w:rsidR="005F4685">
        <w:t>–</w:t>
      </w:r>
      <w:r w:rsidRPr="0008636A">
        <w:t xml:space="preserve">08 to </w:t>
      </w:r>
      <w:r w:rsidRPr="007A0B42">
        <w:t>1</w:t>
      </w:r>
      <w:r>
        <w:t>4</w:t>
      </w:r>
      <w:r w:rsidRPr="007A0B42">
        <w:t xml:space="preserve"> per</w:t>
      </w:r>
      <w:r w:rsidR="00E35015">
        <w:t xml:space="preserve"> </w:t>
      </w:r>
      <w:r w:rsidRPr="007A0B42">
        <w:t>cent in 200</w:t>
      </w:r>
      <w:r>
        <w:t>9</w:t>
      </w:r>
      <w:r w:rsidR="005F4685">
        <w:t>–</w:t>
      </w:r>
      <w:r>
        <w:t>10</w:t>
      </w:r>
      <w:r w:rsidR="00AA7011">
        <w:t xml:space="preserve">. </w:t>
      </w:r>
      <w:r>
        <w:t>Our involvement in the Poverty Reduction Support Operation (PRSO) provided an ongoing forum to advocate with the Ministry of Finance for increased education funding and to focus on financing mechanisms.</w:t>
      </w:r>
    </w:p>
    <w:p w:rsidR="0045354B" w:rsidRPr="0008636A" w:rsidRDefault="0045354B" w:rsidP="0045354B">
      <w:pPr>
        <w:pStyle w:val="BodyText"/>
      </w:pPr>
      <w:r w:rsidRPr="0008636A">
        <w:t xml:space="preserve">The transparency and quality of education data has improved dramatically </w:t>
      </w:r>
      <w:r>
        <w:t>and there</w:t>
      </w:r>
      <w:r w:rsidRPr="0008636A">
        <w:t xml:space="preserve"> have been important steps </w:t>
      </w:r>
      <w:r>
        <w:t>towards</w:t>
      </w:r>
      <w:r w:rsidRPr="0008636A">
        <w:t xml:space="preserve"> improving auditing and quality appraisal system</w:t>
      </w:r>
      <w:r>
        <w:t>s</w:t>
      </w:r>
      <w:r w:rsidRPr="0008636A">
        <w:t xml:space="preserve">. </w:t>
      </w:r>
      <w:r w:rsidR="00913598">
        <w:t xml:space="preserve">AusAID is </w:t>
      </w:r>
      <w:r w:rsidRPr="0008636A">
        <w:t>concerned that there are no credible statistic</w:t>
      </w:r>
      <w:r>
        <w:t>s</w:t>
      </w:r>
      <w:r w:rsidR="005F4685">
        <w:t xml:space="preserve"> on people with disability</w:t>
      </w:r>
      <w:r w:rsidRPr="0008636A">
        <w:t xml:space="preserve">, though this </w:t>
      </w:r>
      <w:proofErr w:type="gramStart"/>
      <w:r w:rsidR="009A1F7C" w:rsidRPr="0008636A">
        <w:t>Should</w:t>
      </w:r>
      <w:proofErr w:type="gramEnd"/>
      <w:r w:rsidR="009A1F7C" w:rsidRPr="0008636A">
        <w:t xml:space="preserve"> </w:t>
      </w:r>
      <w:r w:rsidRPr="0008636A">
        <w:t xml:space="preserve">be </w:t>
      </w:r>
      <w:r w:rsidR="00913598">
        <w:t xml:space="preserve">addressed </w:t>
      </w:r>
      <w:r w:rsidRPr="0008636A">
        <w:t xml:space="preserve">in 2011. </w:t>
      </w:r>
    </w:p>
    <w:p w:rsidR="0045354B" w:rsidRDefault="0045354B" w:rsidP="00935429">
      <w:pPr>
        <w:pStyle w:val="BodyText"/>
        <w:spacing w:after="300"/>
      </w:pPr>
      <w:r>
        <w:t xml:space="preserve">The Australian-funded senior </w:t>
      </w:r>
      <w:r w:rsidRPr="00EC4F52">
        <w:t>education adviser</w:t>
      </w:r>
      <w:r>
        <w:t xml:space="preserve"> was </w:t>
      </w:r>
      <w:r w:rsidRPr="00EC4F52">
        <w:t xml:space="preserve">instrumental in supporting development of </w:t>
      </w:r>
      <w:r>
        <w:t>the</w:t>
      </w:r>
      <w:r w:rsidRPr="00EC4F52">
        <w:t xml:space="preserve"> </w:t>
      </w:r>
      <w:r>
        <w:t>EFA</w:t>
      </w:r>
      <w:r w:rsidR="00E35015">
        <w:t>-</w:t>
      </w:r>
      <w:r>
        <w:t>FTI program</w:t>
      </w:r>
      <w:r w:rsidR="00AA7011">
        <w:t xml:space="preserve">. </w:t>
      </w:r>
      <w:r w:rsidR="005F4685">
        <w:t>The adviser</w:t>
      </w:r>
      <w:r w:rsidR="005F4685" w:rsidRPr="00EC4F52">
        <w:t xml:space="preserve"> </w:t>
      </w:r>
      <w:r w:rsidRPr="00EC4F52">
        <w:t xml:space="preserve">helped the </w:t>
      </w:r>
      <w:r>
        <w:t>Government of Laos</w:t>
      </w:r>
      <w:r w:rsidRPr="00EC4F52">
        <w:t xml:space="preserve"> to secure </w:t>
      </w:r>
      <w:r>
        <w:t>substantial new funding</w:t>
      </w:r>
      <w:r w:rsidRPr="00EC4F52">
        <w:t xml:space="preserve"> and support</w:t>
      </w:r>
      <w:r>
        <w:t>ed</w:t>
      </w:r>
      <w:r w:rsidRPr="00EC4F52">
        <w:t xml:space="preserve"> </w:t>
      </w:r>
      <w:r>
        <w:t xml:space="preserve">preparation of the annual </w:t>
      </w:r>
      <w:r w:rsidRPr="00EC4F52">
        <w:t>costed</w:t>
      </w:r>
      <w:r w:rsidR="005F4685">
        <w:t>-</w:t>
      </w:r>
      <w:r w:rsidRPr="00EC4F52">
        <w:t>sector plan</w:t>
      </w:r>
      <w:r>
        <w:t>s</w:t>
      </w:r>
      <w:r w:rsidR="00AA7011">
        <w:t xml:space="preserve">. </w:t>
      </w:r>
      <w:r>
        <w:t xml:space="preserve">In 2010 </w:t>
      </w:r>
      <w:r w:rsidR="005F4685">
        <w:t xml:space="preserve">the adviser, who is highly regarded by the Ministry and stakeholders in the sector, </w:t>
      </w:r>
      <w:r>
        <w:t>also assisted the Ministry of Education</w:t>
      </w:r>
      <w:r w:rsidRPr="00EC4F52">
        <w:t xml:space="preserve"> to roll out new planning, budgeting and monitoring procedures to </w:t>
      </w:r>
      <w:r>
        <w:t>central and sub-national</w:t>
      </w:r>
      <w:r w:rsidRPr="00EC4F52">
        <w:t xml:space="preserve"> officials</w:t>
      </w:r>
      <w:r w:rsidR="00AA7011">
        <w:t xml:space="preserve">. </w:t>
      </w:r>
    </w:p>
    <w:p w:rsidR="0045354B" w:rsidRDefault="0045354B" w:rsidP="00935429">
      <w:pPr>
        <w:pStyle w:val="Heading2"/>
        <w:keepNext/>
        <w:numPr>
          <w:ilvl w:val="0"/>
          <w:numId w:val="0"/>
        </w:numPr>
        <w:tabs>
          <w:tab w:val="left" w:pos="1920"/>
        </w:tabs>
        <w:spacing w:before="0" w:after="120" w:line="320" w:lineRule="atLeast"/>
      </w:pPr>
      <w:bookmarkStart w:id="9" w:name="_Toc360989282"/>
      <w:r w:rsidRPr="00DA6D12">
        <w:t>T</w:t>
      </w:r>
      <w:r w:rsidR="00431546">
        <w:t>rade and investment—</w:t>
      </w:r>
      <w:r w:rsidRPr="00DA6D12">
        <w:t xml:space="preserve">Lao PDR </w:t>
      </w:r>
      <w:r w:rsidR="005F4685">
        <w:t>d</w:t>
      </w:r>
      <w:r w:rsidRPr="00DA6D12">
        <w:t xml:space="preserve">evelopment </w:t>
      </w:r>
      <w:r w:rsidR="005F4685">
        <w:t>o</w:t>
      </w:r>
      <w:r w:rsidRPr="00DA6D12">
        <w:t xml:space="preserve">utcome: </w:t>
      </w:r>
      <w:r w:rsidRPr="00DA6D12">
        <w:br/>
      </w:r>
      <w:r>
        <w:t>Increased trade and investment in sectors which support poverty reduction</w:t>
      </w:r>
      <w:bookmarkEnd w:id="9"/>
    </w:p>
    <w:p w:rsidR="0045354B" w:rsidRDefault="0045354B" w:rsidP="0045354B">
      <w:pPr>
        <w:pStyle w:val="BodyText"/>
      </w:pPr>
      <w:r>
        <w:t>The resources sector remained the dominant feature of the Laos economy in 2010, contributing 3.9</w:t>
      </w:r>
      <w:r w:rsidR="00E35015">
        <w:t xml:space="preserve"> per cent</w:t>
      </w:r>
      <w:r>
        <w:t xml:space="preserve"> to the estimated 8.4</w:t>
      </w:r>
      <w:r w:rsidR="00E35015">
        <w:t xml:space="preserve"> per cent</w:t>
      </w:r>
      <w:r>
        <w:t xml:space="preserve"> growth</w:t>
      </w:r>
      <w:r w:rsidR="00AA7011">
        <w:t xml:space="preserve">. </w:t>
      </w:r>
      <w:r>
        <w:t>Growth in non-resource sectors dropped slightly to 4.6</w:t>
      </w:r>
      <w:r w:rsidR="00E35015">
        <w:t xml:space="preserve"> per cent</w:t>
      </w:r>
      <w:r>
        <w:t xml:space="preserve"> (from an average of 6</w:t>
      </w:r>
      <w:r w:rsidR="00E35015">
        <w:t xml:space="preserve"> per cent</w:t>
      </w:r>
      <w:r>
        <w:t xml:space="preserve"> over the previous four years)</w:t>
      </w:r>
      <w:r w:rsidR="000B555E">
        <w:t>.</w:t>
      </w:r>
      <w:r>
        <w:rPr>
          <w:rStyle w:val="FootnoteReference"/>
        </w:rPr>
        <w:footnoteReference w:id="12"/>
      </w:r>
      <w:r>
        <w:t xml:space="preserve"> The resources sectors are also expected to contribute an increasing share to revenue in the coming years</w:t>
      </w:r>
      <w:r w:rsidR="00AA7011">
        <w:t xml:space="preserve">. </w:t>
      </w:r>
    </w:p>
    <w:p w:rsidR="0045354B" w:rsidRDefault="0045354B" w:rsidP="0045354B">
      <w:pPr>
        <w:pStyle w:val="BodyText"/>
      </w:pPr>
      <w:r>
        <w:t>This heavy reliance on resources, particularly mining, leaves Laos exposed to fluctuations in mineral prices and points to an urgent need to expand the economic base</w:t>
      </w:r>
      <w:r w:rsidR="00AA7011">
        <w:t xml:space="preserve">. </w:t>
      </w:r>
      <w:r>
        <w:t>The Government recognises this and is starting to promote investment in other sectors, particularly those that will create employment</w:t>
      </w:r>
      <w:r w:rsidR="00AA7011">
        <w:t xml:space="preserve">. </w:t>
      </w:r>
      <w:r>
        <w:t>Between October 2010 and March 2011, most investment approved was in the services and agriculture sectors.</w:t>
      </w:r>
      <w:r>
        <w:rPr>
          <w:rStyle w:val="FootnoteReference"/>
        </w:rPr>
        <w:footnoteReference w:id="13"/>
      </w:r>
      <w:r>
        <w:t xml:space="preserve"> But policy and institutional impediments continue to hinder increased private sector investment</w:t>
      </w:r>
      <w:r w:rsidR="00AA7011">
        <w:t xml:space="preserve">. </w:t>
      </w:r>
      <w:r>
        <w:t>Laos fell two places (to 171</w:t>
      </w:r>
      <w:r w:rsidRPr="00A1205B">
        <w:rPr>
          <w:vertAlign w:val="superscript"/>
        </w:rPr>
        <w:t>st</w:t>
      </w:r>
      <w:r>
        <w:t xml:space="preserve">) in the World Bank’s 2011 Ease of Doing Business </w:t>
      </w:r>
      <w:r w:rsidR="009A1F7C">
        <w:t>Report</w:t>
      </w:r>
      <w:r w:rsidR="000B555E">
        <w:t>.</w:t>
      </w:r>
      <w:r>
        <w:rPr>
          <w:rStyle w:val="FootnoteReference"/>
        </w:rPr>
        <w:footnoteReference w:id="14"/>
      </w:r>
      <w:r w:rsidR="00AA7011">
        <w:t xml:space="preserve"> </w:t>
      </w:r>
      <w:r>
        <w:t>Key issues relate to starting a business (time to obtain import licenses), paying taxes (rates and administration) and obtaining credit (amount of collateral)</w:t>
      </w:r>
      <w:r w:rsidR="00AA7011">
        <w:t xml:space="preserve">. </w:t>
      </w:r>
    </w:p>
    <w:p w:rsidR="0045354B" w:rsidRDefault="0045354B" w:rsidP="0045354B">
      <w:pPr>
        <w:pStyle w:val="BodyText"/>
      </w:pPr>
      <w:r>
        <w:t xml:space="preserve">The Lao Government is pursuing a range of trade and investment reforms, inter alia to support its bid to join the World Trade Organization and to meet the </w:t>
      </w:r>
      <w:r w:rsidRPr="0062706C">
        <w:t>ASEAN</w:t>
      </w:r>
      <w:r>
        <w:t xml:space="preserve"> targets for an </w:t>
      </w:r>
      <w:r w:rsidR="005352D2">
        <w:t>e</w:t>
      </w:r>
      <w:r>
        <w:t xml:space="preserve">conomic </w:t>
      </w:r>
      <w:r w:rsidR="005352D2">
        <w:t>c</w:t>
      </w:r>
      <w:r>
        <w:t>ommunity by 2015</w:t>
      </w:r>
      <w:r w:rsidR="00AA7011">
        <w:t xml:space="preserve">. </w:t>
      </w:r>
      <w:r>
        <w:t>Some of these reforms</w:t>
      </w:r>
      <w:r w:rsidR="00872591">
        <w:t>—</w:t>
      </w:r>
      <w:r>
        <w:t>particularly the legislative and policy reforms discussed below</w:t>
      </w:r>
      <w:r w:rsidR="00872591">
        <w:t>—</w:t>
      </w:r>
      <w:r>
        <w:t>are expected to improve the business environment in time</w:t>
      </w:r>
      <w:r w:rsidR="005352D2">
        <w:t>,</w:t>
      </w:r>
      <w:r>
        <w:t xml:space="preserve"> but </w:t>
      </w:r>
      <w:r w:rsidR="005352D2">
        <w:t xml:space="preserve">they </w:t>
      </w:r>
      <w:r>
        <w:t xml:space="preserve">depend </w:t>
      </w:r>
      <w:r>
        <w:lastRenderedPageBreak/>
        <w:t>on full and consistent implementation across ministries and at different levels of government</w:t>
      </w:r>
      <w:r w:rsidR="00AA7011">
        <w:t xml:space="preserve">. </w:t>
      </w:r>
      <w:r>
        <w:t xml:space="preserve">Tracking this implementation is a critical task for AusAID if we are to show results. </w:t>
      </w:r>
    </w:p>
    <w:p w:rsidR="0045354B" w:rsidRDefault="0045354B" w:rsidP="0045354B">
      <w:pPr>
        <w:pStyle w:val="BodyText"/>
      </w:pPr>
      <w:r>
        <w:t>Preparations started in 2010 for work on an update of the Diagnostic Trade Integration Study which should be completed in 2011</w:t>
      </w:r>
      <w:r w:rsidR="00AA7011">
        <w:t xml:space="preserve">. </w:t>
      </w:r>
      <w:r>
        <w:t xml:space="preserve">This </w:t>
      </w:r>
      <w:r w:rsidR="005352D2">
        <w:t xml:space="preserve">study </w:t>
      </w:r>
      <w:r>
        <w:t>will outline the priorities for work in the trade sector under the period of the 7</w:t>
      </w:r>
      <w:r w:rsidRPr="00A1205B">
        <w:rPr>
          <w:vertAlign w:val="superscript"/>
        </w:rPr>
        <w:t>th</w:t>
      </w:r>
      <w:r>
        <w:t xml:space="preserve"> NSEDP and will be </w:t>
      </w:r>
      <w:proofErr w:type="gramStart"/>
      <w:r>
        <w:t>key</w:t>
      </w:r>
      <w:proofErr w:type="gramEnd"/>
      <w:r>
        <w:t xml:space="preserve"> to inform</w:t>
      </w:r>
      <w:r w:rsidR="005352D2">
        <w:t>ing</w:t>
      </w:r>
      <w:r w:rsidR="009A1F7C">
        <w:t xml:space="preserve"> </w:t>
      </w:r>
      <w:r>
        <w:t>future donor support</w:t>
      </w:r>
      <w:r w:rsidR="00AA7011">
        <w:t xml:space="preserve">. </w:t>
      </w:r>
      <w:r>
        <w:t xml:space="preserve">The Australian-funded trade adviser is providing important support for </w:t>
      </w:r>
      <w:r w:rsidR="003E45EE">
        <w:t xml:space="preserve">Laos Trade Integration Study </w:t>
      </w:r>
      <w:r>
        <w:t>preparations.</w:t>
      </w:r>
    </w:p>
    <w:p w:rsidR="0045354B" w:rsidRPr="005C6B22" w:rsidRDefault="0045354B" w:rsidP="00DA6D12">
      <w:pPr>
        <w:pStyle w:val="Heading2"/>
        <w:keepNext/>
        <w:tabs>
          <w:tab w:val="left" w:pos="1920"/>
        </w:tabs>
        <w:spacing w:before="0" w:after="120" w:line="320" w:lineRule="atLeast"/>
        <w:ind w:left="0"/>
      </w:pPr>
      <w:bookmarkStart w:id="10" w:name="_Toc360989283"/>
      <w:r w:rsidRPr="005C6B22">
        <w:t>Objective 3</w:t>
      </w:r>
      <w:proofErr w:type="gramStart"/>
      <w:r w:rsidRPr="005C6B22">
        <w:t>:</w:t>
      </w:r>
      <w:proofErr w:type="gramEnd"/>
      <w:r w:rsidRPr="005C6B22">
        <w:br/>
        <w:t>Policy and institutional impediments to trade and investment addressed in sectors that contribute to inclusive growth</w:t>
      </w:r>
      <w:bookmarkEnd w:id="10"/>
    </w:p>
    <w:p w:rsidR="0045354B" w:rsidRDefault="0045354B" w:rsidP="0045354B">
      <w:pPr>
        <w:pStyle w:val="BodyText"/>
      </w:pPr>
      <w:r>
        <w:t>All four milestones identified for 2010</w:t>
      </w:r>
      <w:r w:rsidR="00872591">
        <w:t>—</w:t>
      </w:r>
      <w:r>
        <w:t>relating to trade facilitation, technical barriers to trade, investment licenses and gender analysis</w:t>
      </w:r>
      <w:r w:rsidR="00872591">
        <w:t>—</w:t>
      </w:r>
      <w:r>
        <w:t>were achieved</w:t>
      </w:r>
      <w:r w:rsidR="00AA7011">
        <w:t xml:space="preserve"> </w:t>
      </w:r>
      <w:r>
        <w:t>(</w:t>
      </w:r>
      <w:r w:rsidR="005352D2">
        <w:t>r</w:t>
      </w:r>
      <w:r>
        <w:t xml:space="preserve">efer </w:t>
      </w:r>
      <w:r w:rsidR="005352D2">
        <w:t xml:space="preserve">to the </w:t>
      </w:r>
      <w:r>
        <w:t>Performance Assessment Framework</w:t>
      </w:r>
      <w:r w:rsidR="005352D2">
        <w:t>,</w:t>
      </w:r>
      <w:r>
        <w:t xml:space="preserve"> p. 24</w:t>
      </w:r>
      <w:r w:rsidR="005352D2">
        <w:t>,</w:t>
      </w:r>
      <w:r>
        <w:t xml:space="preserve"> for </w:t>
      </w:r>
      <w:r w:rsidR="005352D2">
        <w:t xml:space="preserve">more </w:t>
      </w:r>
      <w:r>
        <w:t xml:space="preserve">detail.)  </w:t>
      </w:r>
    </w:p>
    <w:p w:rsidR="0045354B" w:rsidRDefault="0045354B" w:rsidP="0045354B">
      <w:pPr>
        <w:pStyle w:val="BodyText"/>
      </w:pPr>
      <w:r w:rsidRPr="005C6B22">
        <w:t xml:space="preserve">In 2010 the </w:t>
      </w:r>
      <w:r>
        <w:t>Government of Laos</w:t>
      </w:r>
      <w:r w:rsidRPr="005C6B22">
        <w:t xml:space="preserve"> </w:t>
      </w:r>
      <w:r>
        <w:t>agre</w:t>
      </w:r>
      <w:r w:rsidRPr="005C6B22">
        <w:t xml:space="preserve">ed to establish a trade facilitation secretariat </w:t>
      </w:r>
      <w:r>
        <w:t>with</w:t>
      </w:r>
      <w:r w:rsidRPr="005C6B22">
        <w:t xml:space="preserve"> authority to coordinate </w:t>
      </w:r>
      <w:r w:rsidR="00075DD8">
        <w:t>its</w:t>
      </w:r>
      <w:r w:rsidR="00075DD8" w:rsidRPr="005C6B22">
        <w:t xml:space="preserve"> </w:t>
      </w:r>
      <w:r>
        <w:t xml:space="preserve">trade </w:t>
      </w:r>
      <w:r w:rsidRPr="005C6B22">
        <w:t xml:space="preserve">facilitation reform agenda across </w:t>
      </w:r>
      <w:r>
        <w:t>government</w:t>
      </w:r>
      <w:r w:rsidR="00AA7011">
        <w:t xml:space="preserve">. </w:t>
      </w:r>
      <w:r w:rsidRPr="005C6B22">
        <w:t xml:space="preserve">Its first major task </w:t>
      </w:r>
      <w:r>
        <w:t xml:space="preserve">will be to operationalise the </w:t>
      </w:r>
      <w:r w:rsidRPr="005C6B22">
        <w:t>Trade Facilitation Strategy and Action Plan (2011</w:t>
      </w:r>
      <w:r w:rsidR="00872591">
        <w:t>–</w:t>
      </w:r>
      <w:r w:rsidRPr="005C6B22">
        <w:t>15)</w:t>
      </w:r>
      <w:r w:rsidR="00075DD8">
        <w:t>,</w:t>
      </w:r>
      <w:r>
        <w:t xml:space="preserve"> approved by</w:t>
      </w:r>
      <w:r w:rsidRPr="005C6B22">
        <w:t xml:space="preserve"> </w:t>
      </w:r>
      <w:r>
        <w:t xml:space="preserve">the Government </w:t>
      </w:r>
      <w:r w:rsidRPr="005C6B22">
        <w:t xml:space="preserve">in </w:t>
      </w:r>
      <w:r>
        <w:t>early</w:t>
      </w:r>
      <w:r w:rsidRPr="005C6B22">
        <w:t xml:space="preserve"> 2011</w:t>
      </w:r>
      <w:r w:rsidR="00AA7011">
        <w:t xml:space="preserve">. </w:t>
      </w:r>
      <w:r>
        <w:t>Making international trade and customs procedures simple and easy is expected to substantially reduce the costs of trading for Lao-based businesses.</w:t>
      </w:r>
    </w:p>
    <w:p w:rsidR="0045354B" w:rsidRPr="00117410" w:rsidRDefault="0045354B" w:rsidP="0045354B">
      <w:pPr>
        <w:pStyle w:val="BodyText"/>
      </w:pPr>
      <w:r w:rsidRPr="005C6B22">
        <w:t xml:space="preserve">The </w:t>
      </w:r>
      <w:r>
        <w:t xml:space="preserve">Government </w:t>
      </w:r>
      <w:r w:rsidRPr="005C6B22">
        <w:t xml:space="preserve">also </w:t>
      </w:r>
      <w:r>
        <w:t>began</w:t>
      </w:r>
      <w:r w:rsidRPr="005C6B22">
        <w:t xml:space="preserve"> </w:t>
      </w:r>
      <w:r w:rsidR="00075DD8">
        <w:t>to</w:t>
      </w:r>
      <w:r w:rsidR="00075DD8" w:rsidRPr="005C6B22">
        <w:t xml:space="preserve"> </w:t>
      </w:r>
      <w:r w:rsidRPr="005C6B22">
        <w:t xml:space="preserve">assess technical barriers to trade which will lead to a similar program of reform. </w:t>
      </w:r>
      <w:r w:rsidRPr="00117410">
        <w:t>Use of an international standard will facilitate trade by enabling economies of scale in production and permitting greater product acceptance across countries.</w:t>
      </w:r>
    </w:p>
    <w:p w:rsidR="0045354B" w:rsidRDefault="0045354B" w:rsidP="0045354B">
      <w:pPr>
        <w:pStyle w:val="BodyText"/>
      </w:pPr>
      <w:r w:rsidRPr="005C6B22">
        <w:t xml:space="preserve">In both </w:t>
      </w:r>
      <w:r>
        <w:t>cas</w:t>
      </w:r>
      <w:r w:rsidRPr="005C6B22">
        <w:t xml:space="preserve">es, </w:t>
      </w:r>
      <w:r w:rsidR="00075DD8">
        <w:t>g</w:t>
      </w:r>
      <w:r>
        <w:t xml:space="preserve">overnment </w:t>
      </w:r>
      <w:r w:rsidRPr="005C6B22">
        <w:t xml:space="preserve">efforts have been </w:t>
      </w:r>
      <w:r>
        <w:t>supported by</w:t>
      </w:r>
      <w:r w:rsidRPr="005C6B22">
        <w:t xml:space="preserve"> the </w:t>
      </w:r>
      <w:r w:rsidR="00811EBB">
        <w:t xml:space="preserve">Lao </w:t>
      </w:r>
      <w:r w:rsidRPr="005C6B22">
        <w:t xml:space="preserve">Trade Development Facility funded in part by Australia. </w:t>
      </w:r>
      <w:r>
        <w:t>A</w:t>
      </w:r>
      <w:r w:rsidRPr="005C6B22">
        <w:t xml:space="preserve"> </w:t>
      </w:r>
      <w:r>
        <w:t>mid</w:t>
      </w:r>
      <w:r w:rsidR="00075DD8">
        <w:t>-</w:t>
      </w:r>
      <w:r>
        <w:t>term review</w:t>
      </w:r>
      <w:r w:rsidRPr="005C6B22">
        <w:t xml:space="preserve"> in December 2010 </w:t>
      </w:r>
      <w:r>
        <w:t xml:space="preserve">found that </w:t>
      </w:r>
      <w:r w:rsidRPr="005C6B22">
        <w:t xml:space="preserve">the </w:t>
      </w:r>
      <w:r w:rsidR="00075DD8">
        <w:t>f</w:t>
      </w:r>
      <w:r w:rsidR="00872591">
        <w:t>acility</w:t>
      </w:r>
      <w:r w:rsidRPr="005C6B22">
        <w:t xml:space="preserve"> is </w:t>
      </w:r>
      <w:r>
        <w:t>making good</w:t>
      </w:r>
      <w:r w:rsidRPr="005C6B22">
        <w:t xml:space="preserve"> progress with </w:t>
      </w:r>
      <w:r>
        <w:t xml:space="preserve">the Government </w:t>
      </w:r>
      <w:r w:rsidRPr="005C6B22">
        <w:t xml:space="preserve">recognising its value in supporting </w:t>
      </w:r>
      <w:r>
        <w:t>reforms</w:t>
      </w:r>
      <w:r w:rsidR="00AA7011">
        <w:t xml:space="preserve">. </w:t>
      </w:r>
    </w:p>
    <w:p w:rsidR="0045354B" w:rsidRPr="005C6B22" w:rsidRDefault="0045354B" w:rsidP="0045354B">
      <w:pPr>
        <w:pStyle w:val="BodyText"/>
      </w:pPr>
      <w:r w:rsidRPr="005C6B22">
        <w:t>Donor</w:t>
      </w:r>
      <w:r w:rsidR="00075DD8">
        <w:t xml:space="preserve"> – </w:t>
      </w:r>
      <w:r>
        <w:t xml:space="preserve">Government of </w:t>
      </w:r>
      <w:proofErr w:type="gramStart"/>
      <w:r>
        <w:t>Laos</w:t>
      </w:r>
      <w:proofErr w:type="gramEnd"/>
      <w:r w:rsidRPr="005C6B22">
        <w:t xml:space="preserve"> trade policy </w:t>
      </w:r>
      <w:r w:rsidR="00075DD8">
        <w:t>discussion</w:t>
      </w:r>
      <w:r w:rsidR="00075DD8" w:rsidRPr="005C6B22">
        <w:t xml:space="preserve"> </w:t>
      </w:r>
      <w:r w:rsidRPr="005C6B22">
        <w:t xml:space="preserve">through the PRSO played an important role in </w:t>
      </w:r>
      <w:r w:rsidR="00075DD8">
        <w:t>gaining</w:t>
      </w:r>
      <w:r w:rsidR="00075DD8" w:rsidRPr="005C6B22">
        <w:t xml:space="preserve"> </w:t>
      </w:r>
      <w:r w:rsidRPr="005C6B22">
        <w:t>momentum</w:t>
      </w:r>
      <w:r>
        <w:t xml:space="preserve"> on key items</w:t>
      </w:r>
      <w:r w:rsidR="00AA7011">
        <w:t xml:space="preserve">. </w:t>
      </w:r>
      <w:r>
        <w:t xml:space="preserve">During 2010 </w:t>
      </w:r>
      <w:r w:rsidR="00075DD8">
        <w:t xml:space="preserve">more </w:t>
      </w:r>
      <w:r>
        <w:t xml:space="preserve">progress was made on the regulatory framework for </w:t>
      </w:r>
      <w:r w:rsidR="003E4FC7" w:rsidRPr="003E4FC7">
        <w:t>World Trade Organisation</w:t>
      </w:r>
      <w:r>
        <w:t xml:space="preserve"> with Prime Ministerial </w:t>
      </w:r>
      <w:r w:rsidR="00075DD8">
        <w:t>d</w:t>
      </w:r>
      <w:r>
        <w:t>ecrees approved on Rules of Origin and the Import and Export of Goods</w:t>
      </w:r>
      <w:r w:rsidR="00AA7011">
        <w:t xml:space="preserve">. </w:t>
      </w:r>
      <w:r>
        <w:t xml:space="preserve">Australia has consistently advocated for PRSO partners to focus on the quality of legislative and policy reforms progressed through </w:t>
      </w:r>
      <w:r w:rsidR="00FF3DB2">
        <w:t xml:space="preserve">the </w:t>
      </w:r>
      <w:r>
        <w:t>PRSO, and their subsequent implementation</w:t>
      </w:r>
      <w:r w:rsidR="00AA7011">
        <w:t xml:space="preserve">. </w:t>
      </w:r>
      <w:proofErr w:type="gramStart"/>
      <w:r w:rsidR="00832E32">
        <w:t xml:space="preserve">AusAID </w:t>
      </w:r>
      <w:r>
        <w:t xml:space="preserve"> </w:t>
      </w:r>
      <w:r w:rsidR="00832E32">
        <w:t>will</w:t>
      </w:r>
      <w:proofErr w:type="gramEnd"/>
      <w:r w:rsidR="00832E32">
        <w:t xml:space="preserve"> </w:t>
      </w:r>
      <w:r>
        <w:t xml:space="preserve">monitor this through </w:t>
      </w:r>
      <w:r w:rsidR="00832E32">
        <w:t xml:space="preserve">its </w:t>
      </w:r>
      <w:r>
        <w:t>engagement in a new PRSO series to be developed in 2011</w:t>
      </w:r>
      <w:r w:rsidR="00AA7011">
        <w:t xml:space="preserve">. </w:t>
      </w:r>
    </w:p>
    <w:p w:rsidR="0045354B" w:rsidRPr="005C6B22" w:rsidRDefault="00832E32" w:rsidP="0045354B">
      <w:pPr>
        <w:pStyle w:val="BodyText"/>
      </w:pPr>
      <w:r>
        <w:t xml:space="preserve">AusAID </w:t>
      </w:r>
      <w:r w:rsidR="0045354B">
        <w:t xml:space="preserve">continued to </w:t>
      </w:r>
      <w:r w:rsidR="0045354B" w:rsidRPr="005C6B22">
        <w:t>support World Bank gender sensitive analysis of firm characteristics and performance in Laos</w:t>
      </w:r>
      <w:r w:rsidR="0045354B">
        <w:t xml:space="preserve"> and will follow up dissemination of results in 2011.</w:t>
      </w:r>
    </w:p>
    <w:p w:rsidR="0045354B" w:rsidRDefault="0045354B" w:rsidP="00935429">
      <w:pPr>
        <w:pStyle w:val="BodyText"/>
        <w:spacing w:after="300"/>
      </w:pPr>
      <w:r w:rsidRPr="005C6B22">
        <w:t>Donor</w:t>
      </w:r>
      <w:r>
        <w:t xml:space="preserve"> coordination efforts</w:t>
      </w:r>
      <w:r w:rsidRPr="005C6B22">
        <w:t xml:space="preserve"> were </w:t>
      </w:r>
      <w:r w:rsidR="00832E32">
        <w:t>strengthened</w:t>
      </w:r>
      <w:r w:rsidR="0003681F" w:rsidRPr="005C6B22">
        <w:t xml:space="preserve"> </w:t>
      </w:r>
      <w:r w:rsidRPr="005C6B22">
        <w:t xml:space="preserve">by the </w:t>
      </w:r>
      <w:r>
        <w:t>Government</w:t>
      </w:r>
      <w:r w:rsidR="0003681F">
        <w:t>’s</w:t>
      </w:r>
      <w:r w:rsidRPr="005C6B22">
        <w:t xml:space="preserve"> decision in 2010 to upgrade the National Implementation Unit </w:t>
      </w:r>
      <w:r>
        <w:t xml:space="preserve">of </w:t>
      </w:r>
      <w:r w:rsidRPr="005C6B22">
        <w:t xml:space="preserve">Ministry of Industry and Commerce to </w:t>
      </w:r>
      <w:r>
        <w:t xml:space="preserve">a division mandated to </w:t>
      </w:r>
      <w:r w:rsidRPr="005C6B22">
        <w:t>coordinate all trade</w:t>
      </w:r>
      <w:r>
        <w:t>-related assistance</w:t>
      </w:r>
      <w:r w:rsidRPr="005C6B22">
        <w:t xml:space="preserve"> provided by donors across government</w:t>
      </w:r>
      <w:r w:rsidR="00AA7011">
        <w:t xml:space="preserve">. </w:t>
      </w:r>
    </w:p>
    <w:p w:rsidR="0045354B" w:rsidRDefault="0045354B" w:rsidP="00935429">
      <w:pPr>
        <w:pStyle w:val="Heading2"/>
        <w:keepNext/>
        <w:numPr>
          <w:ilvl w:val="0"/>
          <w:numId w:val="0"/>
        </w:numPr>
        <w:tabs>
          <w:tab w:val="left" w:pos="1920"/>
        </w:tabs>
        <w:spacing w:before="0" w:after="120" w:line="320" w:lineRule="atLeast"/>
      </w:pPr>
      <w:bookmarkStart w:id="11" w:name="_Toc360989284"/>
      <w:r>
        <w:lastRenderedPageBreak/>
        <w:t>R</w:t>
      </w:r>
      <w:r w:rsidR="00431546">
        <w:t>ural development—</w:t>
      </w:r>
      <w:r>
        <w:t xml:space="preserve">Lao PDR </w:t>
      </w:r>
      <w:r w:rsidR="0003681F">
        <w:t>d</w:t>
      </w:r>
      <w:r>
        <w:t xml:space="preserve">evelopment </w:t>
      </w:r>
      <w:r w:rsidR="0003681F">
        <w:t>o</w:t>
      </w:r>
      <w:r>
        <w:t xml:space="preserve">utcome: </w:t>
      </w:r>
      <w:r>
        <w:br/>
        <w:t>Less than one quarter of the population living below the poverty line</w:t>
      </w:r>
      <w:bookmarkEnd w:id="11"/>
    </w:p>
    <w:p w:rsidR="0045354B" w:rsidRDefault="0045354B" w:rsidP="0045354B">
      <w:pPr>
        <w:pStyle w:val="BodyText"/>
      </w:pPr>
      <w:r>
        <w:t>The latest</w:t>
      </w:r>
      <w:r w:rsidRPr="005C6B22">
        <w:t xml:space="preserve"> data </w:t>
      </w:r>
      <w:r>
        <w:t>confirms that poverty in Laos decreased to 27.6</w:t>
      </w:r>
      <w:r w:rsidR="00872591">
        <w:t xml:space="preserve"> per cent</w:t>
      </w:r>
      <w:r>
        <w:t xml:space="preserve"> in 2007</w:t>
      </w:r>
      <w:r w:rsidR="00872591">
        <w:t>–</w:t>
      </w:r>
      <w:r>
        <w:t>08</w:t>
      </w:r>
      <w:r>
        <w:rPr>
          <w:rStyle w:val="FootnoteReference"/>
        </w:rPr>
        <w:footnoteReference w:id="15"/>
      </w:r>
      <w:r>
        <w:t xml:space="preserve"> and the Government of Laos estimates that this fell to 25</w:t>
      </w:r>
      <w:r w:rsidR="00872591">
        <w:t xml:space="preserve"> per ce</w:t>
      </w:r>
      <w:r w:rsidR="004B572A">
        <w:t>n</w:t>
      </w:r>
      <w:r w:rsidR="00872591">
        <w:t>t</w:t>
      </w:r>
      <w:r>
        <w:t xml:space="preserve"> in 2010</w:t>
      </w:r>
      <w:r w:rsidR="00AA7011">
        <w:t xml:space="preserve">. </w:t>
      </w:r>
      <w:r>
        <w:t>The poverty gap and severity of poverty also f</w:t>
      </w:r>
      <w:r w:rsidR="0003681F">
        <w:t>ell</w:t>
      </w:r>
      <w:r>
        <w:t xml:space="preserve"> but inequality increased and a large part of the rural population remains vulnerable to natural or human-made hazards</w:t>
      </w:r>
      <w:r w:rsidR="00AA7011">
        <w:t xml:space="preserve">. </w:t>
      </w:r>
    </w:p>
    <w:p w:rsidR="0045354B" w:rsidRPr="00C2776E" w:rsidRDefault="0045354B" w:rsidP="0045354B">
      <w:pPr>
        <w:pStyle w:val="BodyText"/>
      </w:pPr>
      <w:r>
        <w:t>During 2010 flash flooding occurred in some northern areas during the wet season, damaging infrastructure and crops</w:t>
      </w:r>
      <w:r w:rsidR="00AA7011">
        <w:t xml:space="preserve">. </w:t>
      </w:r>
      <w:r>
        <w:t>Disease outbreaks among livestock, including foot and mouth disease, occurred throughout the year</w:t>
      </w:r>
      <w:r w:rsidR="00AA7011">
        <w:t xml:space="preserve">. </w:t>
      </w:r>
      <w:r>
        <w:t>In</w:t>
      </w:r>
      <w:r w:rsidRPr="00C2776E">
        <w:t xml:space="preserve"> June 2010</w:t>
      </w:r>
      <w:r>
        <w:t xml:space="preserve">, UNICEF and the Ministry of Health conducted an assessment in </w:t>
      </w:r>
      <w:r w:rsidRPr="00C2776E">
        <w:t xml:space="preserve">southern Laos </w:t>
      </w:r>
      <w:r>
        <w:t xml:space="preserve">and </w:t>
      </w:r>
      <w:r w:rsidRPr="00C2776E">
        <w:t>found alarming levels of malnutrition as a combined result of crop losses from Typhoon Ketsana in 2009</w:t>
      </w:r>
      <w:r w:rsidR="0003681F">
        <w:t>, which was</w:t>
      </w:r>
      <w:r w:rsidRPr="00C2776E">
        <w:t xml:space="preserve"> followed by prolonged drought in 2010</w:t>
      </w:r>
      <w:r w:rsidR="00AA7011">
        <w:t xml:space="preserve">. </w:t>
      </w:r>
      <w:r>
        <w:t>It is estimated</w:t>
      </w:r>
      <w:r>
        <w:rPr>
          <w:rStyle w:val="FootnoteReference"/>
        </w:rPr>
        <w:footnoteReference w:id="16"/>
      </w:r>
      <w:r>
        <w:t xml:space="preserve"> that around 110</w:t>
      </w:r>
      <w:r w:rsidR="0003681F">
        <w:t xml:space="preserve"> </w:t>
      </w:r>
      <w:r>
        <w:t>000 people, mostly in central and southern Laos, will require food aid up until October 2011.</w:t>
      </w:r>
    </w:p>
    <w:p w:rsidR="0045354B" w:rsidRDefault="0045354B" w:rsidP="00935429">
      <w:pPr>
        <w:pStyle w:val="BodyText"/>
        <w:spacing w:after="300"/>
      </w:pPr>
      <w:r>
        <w:t>The resettlement of communities</w:t>
      </w:r>
      <w:r w:rsidR="00872591">
        <w:t>—</w:t>
      </w:r>
      <w:r>
        <w:t xml:space="preserve">as the result of development activities or for improved </w:t>
      </w:r>
      <w:r w:rsidRPr="005C6B22">
        <w:t>service provision</w:t>
      </w:r>
      <w:r w:rsidR="00872591">
        <w:t>—</w:t>
      </w:r>
      <w:r>
        <w:t>can contribute to vulnerability</w:t>
      </w:r>
      <w:r w:rsidR="00AA7011">
        <w:t xml:space="preserve">. </w:t>
      </w:r>
      <w:r>
        <w:t>It can decrease livelihood opportunities if communities cannot access natural resources or find other employment</w:t>
      </w:r>
      <w:r w:rsidR="00AA7011">
        <w:t xml:space="preserve">. </w:t>
      </w:r>
      <w:r>
        <w:t>There are social and cultural implications for ethnic people resettled from their traditional lands or among other ethnic groups</w:t>
      </w:r>
      <w:r w:rsidR="00AA7011">
        <w:t xml:space="preserve">. </w:t>
      </w:r>
      <w:r>
        <w:t xml:space="preserve">We propose to undertake targeted research about resettlement in late 2011 to inform policy </w:t>
      </w:r>
      <w:r w:rsidR="0003681F">
        <w:t xml:space="preserve">discussion </w:t>
      </w:r>
      <w:r>
        <w:t xml:space="preserve">with Government of Laos and other partners and to inform new programming under the rural development pillar. </w:t>
      </w:r>
    </w:p>
    <w:p w:rsidR="0045354B" w:rsidRPr="005C6B22" w:rsidRDefault="0045354B" w:rsidP="00935429">
      <w:pPr>
        <w:pStyle w:val="Heading2"/>
        <w:keepNext/>
        <w:numPr>
          <w:ilvl w:val="0"/>
          <w:numId w:val="0"/>
        </w:numPr>
        <w:tabs>
          <w:tab w:val="left" w:pos="1920"/>
        </w:tabs>
        <w:spacing w:before="0" w:after="120" w:line="320" w:lineRule="atLeast"/>
      </w:pPr>
      <w:bookmarkStart w:id="12" w:name="_Toc360989285"/>
      <w:r w:rsidRPr="005C6B22">
        <w:t>Objective 4</w:t>
      </w:r>
      <w:proofErr w:type="gramStart"/>
      <w:r w:rsidRPr="005C6B22">
        <w:t>:</w:t>
      </w:r>
      <w:proofErr w:type="gramEnd"/>
      <w:r w:rsidRPr="005C6B22">
        <w:br/>
        <w:t xml:space="preserve">Delivery and modelling of effective programs </w:t>
      </w:r>
      <w:r w:rsidR="00FD1E7A">
        <w:t xml:space="preserve">that </w:t>
      </w:r>
      <w:r w:rsidRPr="005C6B22">
        <w:t>result in equitable and sustainable improvements to livelihoods in targeted geographic areas</w:t>
      </w:r>
      <w:bookmarkEnd w:id="12"/>
    </w:p>
    <w:p w:rsidR="0045354B" w:rsidRDefault="0045354B" w:rsidP="0045354B">
      <w:pPr>
        <w:pStyle w:val="BodyText"/>
      </w:pPr>
      <w:r>
        <w:t>The Government of Laos is aware of the need to improve rural livelihoods</w:t>
      </w:r>
      <w:r w:rsidR="00AA7011">
        <w:t xml:space="preserve">. </w:t>
      </w:r>
      <w:r>
        <w:t xml:space="preserve">Measures </w:t>
      </w:r>
      <w:r w:rsidR="0003681F">
        <w:t xml:space="preserve">for this </w:t>
      </w:r>
      <w:r>
        <w:t>outlined in the 7</w:t>
      </w:r>
      <w:r w:rsidRPr="00530ECC">
        <w:rPr>
          <w:vertAlign w:val="superscript"/>
        </w:rPr>
        <w:t>th</w:t>
      </w:r>
      <w:r>
        <w:t xml:space="preserve"> NSEDP are resettlement, improved agricultural productivity and better linking of producers to processors and service industries</w:t>
      </w:r>
      <w:r w:rsidR="00AA7011">
        <w:t xml:space="preserve">. </w:t>
      </w:r>
      <w:r>
        <w:t>Both AusAID and ACIAR support work on rural livelihoods.</w:t>
      </w:r>
    </w:p>
    <w:p w:rsidR="0045354B" w:rsidRPr="00FF5FD1" w:rsidRDefault="0045354B" w:rsidP="0045354B">
      <w:pPr>
        <w:pStyle w:val="BodyText"/>
      </w:pPr>
      <w:r>
        <w:t xml:space="preserve">With limited funds available, </w:t>
      </w:r>
      <w:r w:rsidRPr="00FF5FD1">
        <w:t>Aus</w:t>
      </w:r>
      <w:r>
        <w:t>AID support has been confined to</w:t>
      </w:r>
      <w:r w:rsidRPr="00FF5FD1">
        <w:t xml:space="preserve"> a program of </w:t>
      </w:r>
      <w:r w:rsidR="0003681F">
        <w:t>n</w:t>
      </w:r>
      <w:r w:rsidR="0062706C" w:rsidRPr="00DD35EA">
        <w:rPr>
          <w:rFonts w:cs="Arial"/>
          <w:color w:val="000000"/>
        </w:rPr>
        <w:t>on-</w:t>
      </w:r>
      <w:r w:rsidR="0003681F">
        <w:rPr>
          <w:rFonts w:cs="Arial"/>
          <w:color w:val="000000"/>
        </w:rPr>
        <w:t>g</w:t>
      </w:r>
      <w:r w:rsidR="0062706C" w:rsidRPr="00DD35EA">
        <w:rPr>
          <w:rFonts w:cs="Arial"/>
          <w:color w:val="000000"/>
        </w:rPr>
        <w:t xml:space="preserve">overnment </w:t>
      </w:r>
      <w:r w:rsidR="0003681F">
        <w:rPr>
          <w:rFonts w:cs="Arial"/>
          <w:color w:val="000000"/>
        </w:rPr>
        <w:t>o</w:t>
      </w:r>
      <w:r w:rsidR="0062706C" w:rsidRPr="0062706C">
        <w:rPr>
          <w:rFonts w:cs="Arial"/>
          <w:color w:val="000000"/>
        </w:rPr>
        <w:t>rganisation</w:t>
      </w:r>
      <w:r w:rsidR="0062706C" w:rsidRPr="0062706C">
        <w:t xml:space="preserve"> </w:t>
      </w:r>
      <w:r w:rsidR="0062706C">
        <w:t>(</w:t>
      </w:r>
      <w:r w:rsidRPr="0062706C">
        <w:t>NGO</w:t>
      </w:r>
      <w:r w:rsidR="0062706C">
        <w:t>)</w:t>
      </w:r>
      <w:r w:rsidRPr="00FF5FD1">
        <w:t xml:space="preserve"> interventions</w:t>
      </w:r>
      <w:r>
        <w:t xml:space="preserve"> in rural communities in </w:t>
      </w:r>
      <w:r w:rsidR="0003681F">
        <w:t>the nine</w:t>
      </w:r>
      <w:r w:rsidRPr="00FF5FD1">
        <w:t xml:space="preserve"> poorest districts</w:t>
      </w:r>
      <w:r>
        <w:t xml:space="preserve"> in Laos which are modelling approaches to improve livelihoods</w:t>
      </w:r>
      <w:r w:rsidR="00AA7011">
        <w:t xml:space="preserve">. </w:t>
      </w:r>
      <w:r w:rsidRPr="00FF5FD1">
        <w:t>The</w:t>
      </w:r>
      <w:r>
        <w:t>se</w:t>
      </w:r>
      <w:r w:rsidRPr="00FF5FD1">
        <w:t xml:space="preserve"> projects </w:t>
      </w:r>
      <w:r>
        <w:t xml:space="preserve">combine livelihood activities with disaster risk management approaches or </w:t>
      </w:r>
      <w:r w:rsidR="0062706C">
        <w:t>unexploded ordnance (</w:t>
      </w:r>
      <w:r w:rsidRPr="0062706C">
        <w:t>UXO</w:t>
      </w:r>
      <w:r w:rsidR="0062706C">
        <w:t>)</w:t>
      </w:r>
      <w:r>
        <w:t xml:space="preserve"> clearance.</w:t>
      </w:r>
      <w:r w:rsidRPr="00FF5FD1">
        <w:t xml:space="preserve"> </w:t>
      </w:r>
      <w:r>
        <w:t>I</w:t>
      </w:r>
      <w:r w:rsidRPr="00FF5FD1">
        <w:t xml:space="preserve">ndications are promising that support will </w:t>
      </w:r>
      <w:r w:rsidR="0003681F">
        <w:t>improve</w:t>
      </w:r>
      <w:r w:rsidRPr="00FF5FD1">
        <w:t xml:space="preserve"> livelihoods</w:t>
      </w:r>
      <w:r w:rsidR="00AA7011">
        <w:t xml:space="preserve">. </w:t>
      </w:r>
      <w:r w:rsidRPr="00FF5FD1">
        <w:t>Key milestones reached in 2010 include</w:t>
      </w:r>
      <w:r w:rsidR="0003681F">
        <w:t>:</w:t>
      </w:r>
    </w:p>
    <w:p w:rsidR="0045354B" w:rsidRPr="00FF5FD1" w:rsidRDefault="0045354B" w:rsidP="0045354B">
      <w:pPr>
        <w:pStyle w:val="ListBullet"/>
      </w:pPr>
      <w:r w:rsidRPr="00FF5FD1">
        <w:t>800 households participated in livelihood activities (</w:t>
      </w:r>
      <w:r w:rsidR="00872591">
        <w:t>for example,</w:t>
      </w:r>
      <w:r w:rsidRPr="00FF5FD1">
        <w:t xml:space="preserve"> </w:t>
      </w:r>
      <w:r>
        <w:t xml:space="preserve">building </w:t>
      </w:r>
      <w:r w:rsidRPr="00FF5FD1">
        <w:t>rice stocks,</w:t>
      </w:r>
      <w:r>
        <w:t xml:space="preserve"> distributing</w:t>
      </w:r>
      <w:r w:rsidRPr="00FF5FD1">
        <w:t xml:space="preserve"> seed</w:t>
      </w:r>
      <w:r>
        <w:t>s</w:t>
      </w:r>
      <w:r w:rsidRPr="00FF5FD1">
        <w:t xml:space="preserve">, </w:t>
      </w:r>
      <w:r>
        <w:t xml:space="preserve">establishing </w:t>
      </w:r>
      <w:r w:rsidRPr="00FF5FD1">
        <w:t>home gardens</w:t>
      </w:r>
      <w:r w:rsidR="0003681F">
        <w:t>)</w:t>
      </w:r>
      <w:r>
        <w:t>.</w:t>
      </w:r>
    </w:p>
    <w:p w:rsidR="0045354B" w:rsidRPr="00FF5FD1" w:rsidRDefault="0045354B" w:rsidP="0045354B">
      <w:pPr>
        <w:pStyle w:val="ListBullet"/>
      </w:pPr>
      <w:r w:rsidRPr="00FF5FD1">
        <w:t xml:space="preserve">110 hectares of land in 31 sites was cleared </w:t>
      </w:r>
      <w:r>
        <w:t>of UXO</w:t>
      </w:r>
      <w:r w:rsidRPr="00FF5FD1">
        <w:t xml:space="preserve"> </w:t>
      </w:r>
      <w:r>
        <w:t xml:space="preserve">and will be put to productive use, </w:t>
      </w:r>
      <w:r w:rsidRPr="00FF5FD1">
        <w:t>benefiting almost 7000 individual</w:t>
      </w:r>
      <w:r>
        <w:t>s.</w:t>
      </w:r>
    </w:p>
    <w:p w:rsidR="0045354B" w:rsidRPr="00FF5FD1" w:rsidRDefault="0045354B" w:rsidP="0045354B">
      <w:pPr>
        <w:pStyle w:val="ListBullet"/>
      </w:pPr>
      <w:r>
        <w:t>D</w:t>
      </w:r>
      <w:r w:rsidRPr="00FF5FD1">
        <w:t xml:space="preserve">isaster management plans </w:t>
      </w:r>
      <w:r>
        <w:t>were</w:t>
      </w:r>
      <w:r w:rsidRPr="00FF5FD1">
        <w:t xml:space="preserve"> developed and endorsed </w:t>
      </w:r>
      <w:r>
        <w:t>by</w:t>
      </w:r>
      <w:r w:rsidRPr="00FF5FD1">
        <w:t xml:space="preserve"> communities. In 2010 there was evidence that plan </w:t>
      </w:r>
      <w:r w:rsidR="0003681F">
        <w:t>use</w:t>
      </w:r>
      <w:r w:rsidR="0003681F" w:rsidRPr="00FF5FD1">
        <w:t xml:space="preserve"> </w:t>
      </w:r>
      <w:r w:rsidRPr="00FF5FD1">
        <w:t>(</w:t>
      </w:r>
      <w:r w:rsidR="0003681F">
        <w:t>in response</w:t>
      </w:r>
      <w:r w:rsidR="0003681F" w:rsidRPr="00FF5FD1">
        <w:t xml:space="preserve"> </w:t>
      </w:r>
      <w:r w:rsidRPr="00FF5FD1">
        <w:t>to flash floods</w:t>
      </w:r>
      <w:r w:rsidR="0003681F">
        <w:t xml:space="preserve"> and</w:t>
      </w:r>
      <w:r w:rsidRPr="00FF5FD1">
        <w:t xml:space="preserve"> livestock disease) </w:t>
      </w:r>
      <w:r w:rsidR="0003681F">
        <w:t>helped</w:t>
      </w:r>
      <w:r w:rsidRPr="00FF5FD1">
        <w:t xml:space="preserve"> affected communities</w:t>
      </w:r>
      <w:r>
        <w:t xml:space="preserve"> by mitigating the impact (</w:t>
      </w:r>
      <w:r w:rsidR="00872591">
        <w:t>for example,</w:t>
      </w:r>
      <w:r>
        <w:t xml:space="preserve"> immunisation of livestock) or </w:t>
      </w:r>
      <w:r>
        <w:lastRenderedPageBreak/>
        <w:t>reducing the damage and mobilising a faster response</w:t>
      </w:r>
      <w:r w:rsidR="00AA7011">
        <w:t xml:space="preserve">. </w:t>
      </w:r>
      <w:r>
        <w:t>A</w:t>
      </w:r>
      <w:r w:rsidRPr="00FF5FD1">
        <w:t xml:space="preserve">n inventory of past disasters has been established </w:t>
      </w:r>
      <w:r>
        <w:t>a</w:t>
      </w:r>
      <w:r w:rsidRPr="00FF5FD1">
        <w:t>t</w:t>
      </w:r>
      <w:r>
        <w:t xml:space="preserve"> </w:t>
      </w:r>
      <w:r w:rsidRPr="00FF5FD1">
        <w:t>national level to inform future disaster mitigation plans</w:t>
      </w:r>
      <w:r>
        <w:t>.</w:t>
      </w:r>
    </w:p>
    <w:p w:rsidR="0045354B" w:rsidRPr="00FF5FD1" w:rsidRDefault="007D2E99" w:rsidP="0045354B">
      <w:pPr>
        <w:pStyle w:val="ListBullet"/>
      </w:pPr>
      <w:r>
        <w:t>More than</w:t>
      </w:r>
      <w:r w:rsidRPr="00FF5FD1">
        <w:t xml:space="preserve"> </w:t>
      </w:r>
      <w:r w:rsidR="0045354B" w:rsidRPr="00FF5FD1">
        <w:t xml:space="preserve">3000 women benefited from gender activities aimed at </w:t>
      </w:r>
      <w:r w:rsidR="0045354B">
        <w:t xml:space="preserve">their </w:t>
      </w:r>
      <w:r w:rsidR="0045354B" w:rsidRPr="00FF5FD1">
        <w:t>reducing workload</w:t>
      </w:r>
      <w:r w:rsidR="0045354B">
        <w:t>.</w:t>
      </w:r>
    </w:p>
    <w:p w:rsidR="0045354B" w:rsidRPr="00FF5FD1" w:rsidRDefault="0045354B" w:rsidP="0045354B">
      <w:pPr>
        <w:pStyle w:val="BodyText"/>
      </w:pPr>
      <w:r>
        <w:t>The NGO program includes an annual process for identifying lessons learned and sharing these with external stakeholders</w:t>
      </w:r>
      <w:r w:rsidR="00AA7011">
        <w:t xml:space="preserve">. </w:t>
      </w:r>
      <w:r w:rsidR="007D2E99">
        <w:t>S</w:t>
      </w:r>
      <w:r w:rsidRPr="00FF5FD1">
        <w:t xml:space="preserve">ome </w:t>
      </w:r>
      <w:r>
        <w:t>evidence</w:t>
      </w:r>
      <w:r w:rsidRPr="00FF5FD1">
        <w:t xml:space="preserve"> </w:t>
      </w:r>
      <w:r w:rsidR="007D2E99">
        <w:t>suggests that</w:t>
      </w:r>
      <w:r w:rsidR="007D2E99" w:rsidRPr="00FF5FD1">
        <w:t xml:space="preserve"> </w:t>
      </w:r>
      <w:r w:rsidRPr="00FF5FD1">
        <w:t xml:space="preserve">the success of some interventions </w:t>
      </w:r>
      <w:r>
        <w:t xml:space="preserve">is </w:t>
      </w:r>
      <w:r w:rsidRPr="00FF5FD1">
        <w:t xml:space="preserve">leading to </w:t>
      </w:r>
      <w:r>
        <w:t xml:space="preserve">their </w:t>
      </w:r>
      <w:r w:rsidRPr="00FF5FD1">
        <w:t>adoption on a wider scale</w:t>
      </w:r>
      <w:r w:rsidR="00AA7011">
        <w:t xml:space="preserve">. </w:t>
      </w:r>
      <w:r>
        <w:t>For example,</w:t>
      </w:r>
      <w:r>
        <w:rPr>
          <w:rStyle w:val="ListBulletChar"/>
        </w:rPr>
        <w:t xml:space="preserve"> </w:t>
      </w:r>
      <w:r w:rsidRPr="00FF5FD1">
        <w:t>Australian</w:t>
      </w:r>
      <w:r w:rsidR="007D2E99">
        <w:t>-</w:t>
      </w:r>
      <w:r w:rsidRPr="00FF5FD1">
        <w:t xml:space="preserve">supported interventions </w:t>
      </w:r>
      <w:r>
        <w:t>are used</w:t>
      </w:r>
      <w:r w:rsidRPr="00FF5FD1">
        <w:t xml:space="preserve"> as an example</w:t>
      </w:r>
      <w:r>
        <w:t xml:space="preserve"> in the UXO sector strategy</w:t>
      </w:r>
      <w:r w:rsidR="00872591">
        <w:t>—</w:t>
      </w:r>
      <w:r w:rsidRPr="006876B7">
        <w:t>Safe Path Forward 2</w:t>
      </w:r>
      <w:r w:rsidR="00872591">
        <w:rPr>
          <w:i/>
        </w:rPr>
        <w:t>—</w:t>
      </w:r>
      <w:r>
        <w:t xml:space="preserve">showing </w:t>
      </w:r>
      <w:r w:rsidRPr="00325353">
        <w:rPr>
          <w:rStyle w:val="ListBulletChar"/>
        </w:rPr>
        <w:t xml:space="preserve">the benefit of establishing a link between </w:t>
      </w:r>
      <w:r>
        <w:rPr>
          <w:rStyle w:val="ListBulletChar"/>
        </w:rPr>
        <w:t>UXO</w:t>
      </w:r>
      <w:r w:rsidRPr="00325353">
        <w:rPr>
          <w:rStyle w:val="ListBulletChar"/>
        </w:rPr>
        <w:t xml:space="preserve"> clearance and community </w:t>
      </w:r>
      <w:r>
        <w:rPr>
          <w:rStyle w:val="ListBulletChar"/>
        </w:rPr>
        <w:t>livelihoods.</w:t>
      </w:r>
    </w:p>
    <w:p w:rsidR="0045354B" w:rsidRDefault="0045354B" w:rsidP="0045354B">
      <w:pPr>
        <w:pStyle w:val="BodyText"/>
      </w:pPr>
      <w:r w:rsidRPr="00F454D6">
        <w:t xml:space="preserve">ACIAR </w:t>
      </w:r>
      <w:r>
        <w:t xml:space="preserve">is working closely with multilateral partners to </w:t>
      </w:r>
      <w:r w:rsidRPr="00F454D6">
        <w:t xml:space="preserve">improve the productivity and profitability of </w:t>
      </w:r>
      <w:r>
        <w:t xml:space="preserve">Laos’ </w:t>
      </w:r>
      <w:r w:rsidRPr="00F454D6">
        <w:t xml:space="preserve">lowland rice-based cropping system, and to pursue diversification in suitable locations by adding non-rice crops under irrigation in the dry season. </w:t>
      </w:r>
      <w:r>
        <w:t>Livestock also plays an important role in rural livelihoods</w:t>
      </w:r>
      <w:r w:rsidR="00AA7011">
        <w:t xml:space="preserve">. </w:t>
      </w:r>
      <w:r>
        <w:t>ACIAR</w:t>
      </w:r>
      <w:r w:rsidRPr="00F454D6">
        <w:t xml:space="preserve"> </w:t>
      </w:r>
      <w:r>
        <w:t>aims to increase</w:t>
      </w:r>
      <w:r w:rsidRPr="00F454D6">
        <w:t xml:space="preserve"> cattle productivity and </w:t>
      </w:r>
      <w:r>
        <w:t>the</w:t>
      </w:r>
      <w:r w:rsidRPr="00F454D6">
        <w:t xml:space="preserve"> adoption of forage</w:t>
      </w:r>
      <w:r w:rsidR="007D2E99">
        <w:t>-</w:t>
      </w:r>
      <w:r w:rsidRPr="00F454D6">
        <w:t xml:space="preserve">fodder banks </w:t>
      </w:r>
      <w:r>
        <w:t>(</w:t>
      </w:r>
      <w:r w:rsidRPr="00F454D6">
        <w:t xml:space="preserve">to improve feed quality and availability </w:t>
      </w:r>
      <w:r>
        <w:t>and reduce</w:t>
      </w:r>
      <w:r w:rsidRPr="00F454D6">
        <w:t xml:space="preserve"> the time </w:t>
      </w:r>
      <w:r>
        <w:t>spent on</w:t>
      </w:r>
      <w:r w:rsidRPr="00F454D6">
        <w:t xml:space="preserve"> feeding cattle</w:t>
      </w:r>
      <w:r>
        <w:t>)</w:t>
      </w:r>
      <w:r w:rsidRPr="00F454D6">
        <w:t xml:space="preserve">. </w:t>
      </w:r>
      <w:r>
        <w:t>Results have</w:t>
      </w:r>
      <w:r w:rsidRPr="00F454D6">
        <w:t xml:space="preserve"> exceeded expectations</w:t>
      </w:r>
      <w:r>
        <w:t>: the average</w:t>
      </w:r>
      <w:r w:rsidRPr="00F454D6">
        <w:t xml:space="preserve"> time sav</w:t>
      </w:r>
      <w:r>
        <w:t>ed</w:t>
      </w:r>
      <w:r w:rsidRPr="00F454D6">
        <w:t xml:space="preserve"> is </w:t>
      </w:r>
      <w:r w:rsidR="007D2E99">
        <w:t>two</w:t>
      </w:r>
      <w:r w:rsidRPr="00F454D6">
        <w:t xml:space="preserve"> hours</w:t>
      </w:r>
      <w:r w:rsidR="007D2E99">
        <w:t xml:space="preserve"> a </w:t>
      </w:r>
      <w:r w:rsidRPr="00F454D6">
        <w:t xml:space="preserve">day and can be up to </w:t>
      </w:r>
      <w:r w:rsidR="007D2E99">
        <w:t>eight</w:t>
      </w:r>
      <w:r w:rsidRPr="00F454D6">
        <w:t xml:space="preserve"> hours</w:t>
      </w:r>
      <w:r w:rsidR="007D2E99">
        <w:t xml:space="preserve"> a </w:t>
      </w:r>
      <w:r w:rsidRPr="00F454D6">
        <w:t xml:space="preserve">day. </w:t>
      </w:r>
    </w:p>
    <w:p w:rsidR="0045354B" w:rsidRPr="00F454D6" w:rsidRDefault="0045354B" w:rsidP="0045354B">
      <w:pPr>
        <w:pStyle w:val="BodyText"/>
      </w:pPr>
      <w:r>
        <w:t>T</w:t>
      </w:r>
      <w:r w:rsidRPr="00F454D6">
        <w:t>he management of zoonotic diseases associated with pig production and pork consumption in Laos</w:t>
      </w:r>
      <w:r>
        <w:t xml:space="preserve"> is another area of focus</w:t>
      </w:r>
      <w:r w:rsidRPr="00F454D6">
        <w:t xml:space="preserve">. Meat and slaughterhouse surveys were undertaken </w:t>
      </w:r>
      <w:r>
        <w:t>in 2009</w:t>
      </w:r>
      <w:r w:rsidR="00872591">
        <w:t>–</w:t>
      </w:r>
      <w:r>
        <w:t xml:space="preserve">10 </w:t>
      </w:r>
      <w:r w:rsidRPr="00F454D6">
        <w:t>and local staff trained to take over the task. The survey</w:t>
      </w:r>
      <w:r>
        <w:t>s</w:t>
      </w:r>
      <w:r w:rsidRPr="00F454D6">
        <w:t xml:space="preserve"> identified a number of parasitic worms, some of which can cause serious human disease.</w:t>
      </w:r>
    </w:p>
    <w:p w:rsidR="0045354B" w:rsidRDefault="0045354B" w:rsidP="00935429">
      <w:pPr>
        <w:pStyle w:val="BodyText"/>
        <w:spacing w:after="300"/>
      </w:pPr>
      <w:r>
        <w:t>ACIAR’s work on</w:t>
      </w:r>
      <w:r w:rsidRPr="00F454D6">
        <w:t xml:space="preserve"> culture-based fisheries </w:t>
      </w:r>
      <w:r>
        <w:t xml:space="preserve">in </w:t>
      </w:r>
      <w:r w:rsidRPr="00F454D6">
        <w:t xml:space="preserve">seasonal water bodies </w:t>
      </w:r>
      <w:r>
        <w:t>(</w:t>
      </w:r>
      <w:r w:rsidR="00872591">
        <w:t>that is,</w:t>
      </w:r>
      <w:r>
        <w:t xml:space="preserve"> </w:t>
      </w:r>
      <w:r w:rsidRPr="00F454D6">
        <w:t>floodplain depressions and reservoirs</w:t>
      </w:r>
      <w:r>
        <w:t xml:space="preserve">) </w:t>
      </w:r>
      <w:r w:rsidRPr="00F454D6">
        <w:t>is improving the culture of species favoured by communities</w:t>
      </w:r>
      <w:r>
        <w:t xml:space="preserve"> and </w:t>
      </w:r>
      <w:r w:rsidRPr="00F454D6">
        <w:t xml:space="preserve">developing best practice approaches and models to improve yields and lift economic benefits. </w:t>
      </w:r>
      <w:r>
        <w:t>F</w:t>
      </w:r>
      <w:r w:rsidRPr="00F454D6">
        <w:t xml:space="preserve">isheries at the project site are </w:t>
      </w:r>
      <w:r>
        <w:t>showing</w:t>
      </w:r>
      <w:r w:rsidRPr="00F454D6">
        <w:t xml:space="preserve"> excellent results and creating </w:t>
      </w:r>
      <w:r>
        <w:t>high</w:t>
      </w:r>
      <w:r w:rsidRPr="00F454D6">
        <w:t xml:space="preserve"> local interest</w:t>
      </w:r>
      <w:r w:rsidR="00AA7011">
        <w:t xml:space="preserve">. </w:t>
      </w:r>
      <w:r>
        <w:t>C</w:t>
      </w:r>
      <w:r w:rsidRPr="00F454D6">
        <w:t xml:space="preserve">ommunities from two other provinces </w:t>
      </w:r>
      <w:r>
        <w:t>have adopted similar activities.</w:t>
      </w:r>
    </w:p>
    <w:p w:rsidR="0045354B" w:rsidRPr="00FF5FD1" w:rsidRDefault="0045354B" w:rsidP="00935429">
      <w:pPr>
        <w:pStyle w:val="Heading2"/>
        <w:keepNext/>
        <w:numPr>
          <w:ilvl w:val="0"/>
          <w:numId w:val="0"/>
        </w:numPr>
        <w:tabs>
          <w:tab w:val="left" w:pos="1920"/>
        </w:tabs>
        <w:spacing w:before="0" w:after="120" w:line="320" w:lineRule="atLeast"/>
      </w:pPr>
      <w:bookmarkStart w:id="13" w:name="_Toc360989286"/>
      <w:r w:rsidRPr="00FF5FD1">
        <w:t>Objective 5</w:t>
      </w:r>
      <w:proofErr w:type="gramStart"/>
      <w:r w:rsidRPr="00FF5FD1">
        <w:t>:</w:t>
      </w:r>
      <w:proofErr w:type="gramEnd"/>
      <w:r w:rsidRPr="00FF5FD1">
        <w:br/>
        <w:t>Improved prioritisation of mine action activities, delivery efficiency, and coordination of mine action activities</w:t>
      </w:r>
      <w:bookmarkEnd w:id="13"/>
      <w:r w:rsidRPr="00FF5FD1">
        <w:t xml:space="preserve"> </w:t>
      </w:r>
    </w:p>
    <w:p w:rsidR="0045354B" w:rsidRDefault="0045354B" w:rsidP="0045354B">
      <w:pPr>
        <w:pStyle w:val="BodyText"/>
      </w:pPr>
      <w:r>
        <w:t>The scale of the challenge posed by</w:t>
      </w:r>
      <w:r w:rsidR="007D2E99">
        <w:t xml:space="preserve"> </w:t>
      </w:r>
      <w:r>
        <w:t xml:space="preserve">UXO in Laos is enormous. </w:t>
      </w:r>
      <w:r w:rsidR="007D2E99">
        <w:t xml:space="preserve">The </w:t>
      </w:r>
      <w:r w:rsidR="0062706C" w:rsidRPr="00DD35EA">
        <w:rPr>
          <w:rFonts w:cs="Arial"/>
          <w:color w:val="000000"/>
        </w:rPr>
        <w:t xml:space="preserve">United Nations Development Program </w:t>
      </w:r>
      <w:r>
        <w:t xml:space="preserve">estimates that </w:t>
      </w:r>
      <w:r w:rsidR="007D2E99">
        <w:t xml:space="preserve">more than </w:t>
      </w:r>
      <w:r>
        <w:t>US$30 million</w:t>
      </w:r>
      <w:r w:rsidR="007D2E99">
        <w:t xml:space="preserve"> a </w:t>
      </w:r>
      <w:r>
        <w:t>year is needed if Laos is to clear priority land and meet its international treaty obligations</w:t>
      </w:r>
      <w:r w:rsidR="000B555E">
        <w:t>.</w:t>
      </w:r>
      <w:r>
        <w:rPr>
          <w:rStyle w:val="FootnoteReference"/>
        </w:rPr>
        <w:footnoteReference w:id="17"/>
      </w:r>
      <w:r w:rsidR="00AA7011">
        <w:t xml:space="preserve"> </w:t>
      </w:r>
      <w:r>
        <w:t>This is why Australian support aims to help Government of Laos better define priorities for clearance, mine risk education and victim assistance</w:t>
      </w:r>
      <w:r w:rsidR="007D2E99">
        <w:t>, as well as</w:t>
      </w:r>
      <w:r>
        <w:t xml:space="preserve"> make</w:t>
      </w:r>
      <w:r w:rsidR="007D2E99">
        <w:t xml:space="preserve"> the</w:t>
      </w:r>
      <w:r>
        <w:t xml:space="preserve"> most efficient use of scarce resources for clearance. During 2010 three key events occurred:</w:t>
      </w:r>
    </w:p>
    <w:p w:rsidR="0045354B" w:rsidRDefault="0045354B" w:rsidP="0045354B">
      <w:pPr>
        <w:pStyle w:val="ListBullet"/>
      </w:pPr>
      <w:r>
        <w:t>Laos assumed the Presidency of the UN Convention on Cluster Munitions and hosted the First Meeting of State Parties to the Convention in October 2010</w:t>
      </w:r>
    </w:p>
    <w:p w:rsidR="0045354B" w:rsidRDefault="0045354B" w:rsidP="0045354B">
      <w:pPr>
        <w:pStyle w:val="ListBullet"/>
      </w:pPr>
      <w:r>
        <w:t>the UXO sector strategy 2010</w:t>
      </w:r>
      <w:r w:rsidR="00872591">
        <w:t>–</w:t>
      </w:r>
      <w:r>
        <w:t>20</w:t>
      </w:r>
      <w:r w:rsidR="00872591">
        <w:t>—</w:t>
      </w:r>
      <w:r w:rsidRPr="006876B7">
        <w:t>Safe Path Forward 2</w:t>
      </w:r>
      <w:r w:rsidR="00872591">
        <w:rPr>
          <w:i/>
        </w:rPr>
        <w:t>—</w:t>
      </w:r>
      <w:r>
        <w:t>was finalised and submitted to Government for approval</w:t>
      </w:r>
    </w:p>
    <w:p w:rsidR="0045354B" w:rsidRDefault="0045354B" w:rsidP="0045354B">
      <w:pPr>
        <w:pStyle w:val="ListBullet"/>
      </w:pPr>
      <w:r>
        <w:t xml:space="preserve">Laos established its own </w:t>
      </w:r>
      <w:r w:rsidR="007D2E99">
        <w:t>‘</w:t>
      </w:r>
      <w:r>
        <w:t>MDG 9</w:t>
      </w:r>
      <w:r w:rsidR="00872591">
        <w:t>’</w:t>
      </w:r>
      <w:r>
        <w:t xml:space="preserve"> on UXO action, with associated targets, and obtained endorsement from most development partners during the </w:t>
      </w:r>
      <w:r w:rsidR="00832E32">
        <w:t xml:space="preserve">donor – </w:t>
      </w:r>
      <w:r w:rsidR="00832E32">
        <w:rPr>
          <w:lang w:val="en-GB"/>
        </w:rPr>
        <w:t>Government of Laos</w:t>
      </w:r>
      <w:r w:rsidR="00832E32">
        <w:t xml:space="preserve"> </w:t>
      </w:r>
      <w:r>
        <w:t>Round Table Meeting in November 2010.</w:t>
      </w:r>
    </w:p>
    <w:p w:rsidR="0045354B" w:rsidRPr="00F702CC" w:rsidRDefault="0045354B" w:rsidP="0045354B">
      <w:pPr>
        <w:pStyle w:val="BodyText"/>
      </w:pPr>
      <w:r>
        <w:lastRenderedPageBreak/>
        <w:t xml:space="preserve">Australia provided significant support to Government of </w:t>
      </w:r>
      <w:r w:rsidR="000C7B21">
        <w:t xml:space="preserve">Laos’ hosting of </w:t>
      </w:r>
      <w:r>
        <w:t xml:space="preserve">the </w:t>
      </w:r>
      <w:r w:rsidR="000C7B21">
        <w:t xml:space="preserve">first international </w:t>
      </w:r>
      <w:r>
        <w:t xml:space="preserve">Cluster Munitions Meeting in recognition that we had encouraged Laos to take a lead on the </w:t>
      </w:r>
      <w:r w:rsidR="007D2E99">
        <w:t>UN c</w:t>
      </w:r>
      <w:r>
        <w:t>onvention</w:t>
      </w:r>
      <w:r w:rsidR="00AA7011">
        <w:t xml:space="preserve">. </w:t>
      </w:r>
      <w:r>
        <w:t xml:space="preserve">AusAID’s long-term support for the sector has underpinned </w:t>
      </w:r>
      <w:r w:rsidR="007D2E99">
        <w:t>w</w:t>
      </w:r>
      <w:r>
        <w:t>hole</w:t>
      </w:r>
      <w:r w:rsidR="007D2E99">
        <w:t>-</w:t>
      </w:r>
      <w:r>
        <w:t>of</w:t>
      </w:r>
      <w:r w:rsidR="007D2E99">
        <w:t>-g</w:t>
      </w:r>
      <w:r>
        <w:t>overnment advocacy efforts on cluster munitions</w:t>
      </w:r>
      <w:r w:rsidR="00AA7011">
        <w:t xml:space="preserve">. </w:t>
      </w:r>
      <w:r>
        <w:t>While Laos is not yet a signatory to the Mine Ban Convention, Australia has been active in its advocacy on the issue</w:t>
      </w:r>
      <w:r w:rsidR="00AA7011">
        <w:t xml:space="preserve">. </w:t>
      </w:r>
    </w:p>
    <w:p w:rsidR="0045354B" w:rsidRPr="00F702CC" w:rsidRDefault="0045354B" w:rsidP="0045354B">
      <w:pPr>
        <w:pStyle w:val="BodyText"/>
      </w:pPr>
      <w:r w:rsidRPr="00F702CC">
        <w:t xml:space="preserve">Milestones identified for 2010 were </w:t>
      </w:r>
      <w:proofErr w:type="gramStart"/>
      <w:r w:rsidRPr="00F702CC">
        <w:t>met,</w:t>
      </w:r>
      <w:proofErr w:type="gramEnd"/>
      <w:r w:rsidRPr="00F702CC">
        <w:t xml:space="preserve"> focusing </w:t>
      </w:r>
      <w:r w:rsidR="007D2E99">
        <w:t>efforts</w:t>
      </w:r>
      <w:r w:rsidR="007D2E99" w:rsidRPr="00F702CC">
        <w:t xml:space="preserve"> </w:t>
      </w:r>
      <w:r w:rsidRPr="00F702CC">
        <w:t>largely on post clearance impact assessment, quality improvements and gender information</w:t>
      </w:r>
      <w:r w:rsidR="007D2E99">
        <w:t xml:space="preserve"> collection</w:t>
      </w:r>
      <w:r w:rsidRPr="00F702CC">
        <w:t xml:space="preserve"> (refer</w:t>
      </w:r>
      <w:r w:rsidR="007D2E99">
        <w:t xml:space="preserve"> to the</w:t>
      </w:r>
      <w:r w:rsidRPr="00F702CC">
        <w:t xml:space="preserve"> Performance Assessment Framework</w:t>
      </w:r>
      <w:r w:rsidR="007D2E99">
        <w:t>,</w:t>
      </w:r>
      <w:r w:rsidRPr="00F702CC">
        <w:t xml:space="preserve"> pp. 28</w:t>
      </w:r>
      <w:r w:rsidR="00872591">
        <w:t>–</w:t>
      </w:r>
      <w:r w:rsidRPr="00F702CC">
        <w:t>29</w:t>
      </w:r>
      <w:r w:rsidR="007D2E99">
        <w:t>, for more details</w:t>
      </w:r>
      <w:r w:rsidRPr="00F702CC">
        <w:t>).</w:t>
      </w:r>
    </w:p>
    <w:p w:rsidR="0045354B" w:rsidRPr="00F702CC" w:rsidRDefault="0045354B" w:rsidP="0045354B">
      <w:pPr>
        <w:pStyle w:val="BodyText"/>
      </w:pPr>
      <w:r w:rsidRPr="00F702CC">
        <w:t xml:space="preserve">During 2010 the National Regulatory Authority (NRA), with Australian funding, finalised the first post clearance impact assessment (PCIA) undertaken in Laos. The assessment looked at how, and by whom, land was being used after clearance and what impact this </w:t>
      </w:r>
      <w:r w:rsidR="00BB2B46">
        <w:t xml:space="preserve">has </w:t>
      </w:r>
      <w:r w:rsidRPr="00F702CC">
        <w:t>had on incomes or livelihoods of beneficiaries</w:t>
      </w:r>
      <w:r w:rsidR="00AA7011">
        <w:t xml:space="preserve">. </w:t>
      </w:r>
      <w:r w:rsidRPr="00F702CC">
        <w:t xml:space="preserve">The </w:t>
      </w:r>
      <w:r w:rsidR="00BB2B46">
        <w:t xml:space="preserve">assessment </w:t>
      </w:r>
      <w:r w:rsidRPr="00F702CC">
        <w:t>report highlighted the importance of linking UXO clearance with local socio-economic development plans to gain full economic benefits</w:t>
      </w:r>
      <w:r w:rsidR="00AA7011">
        <w:t xml:space="preserve">. </w:t>
      </w:r>
      <w:r w:rsidRPr="00F702CC">
        <w:t xml:space="preserve">Findings are being disseminated and we have encouraged the NRA to ensure recommendations are considered </w:t>
      </w:r>
      <w:r w:rsidR="00BB2B46">
        <w:t>during</w:t>
      </w:r>
      <w:r w:rsidR="00BB2B46" w:rsidRPr="00F702CC">
        <w:t xml:space="preserve"> </w:t>
      </w:r>
      <w:r w:rsidRPr="00F702CC">
        <w:t xml:space="preserve">preparation of the 2012 sector </w:t>
      </w:r>
      <w:r w:rsidR="0038409F">
        <w:t>work plan</w:t>
      </w:r>
      <w:r w:rsidRPr="00F702CC">
        <w:t>.</w:t>
      </w:r>
    </w:p>
    <w:p w:rsidR="0045354B" w:rsidRDefault="0045354B" w:rsidP="00935429">
      <w:pPr>
        <w:pStyle w:val="BodyText"/>
        <w:spacing w:after="300"/>
      </w:pPr>
      <w:r w:rsidRPr="00F702CC">
        <w:t>Quality assurance teams were established in the NRA and UXO Lao with Australian support</w:t>
      </w:r>
      <w:r w:rsidR="00AA7011">
        <w:t xml:space="preserve">. </w:t>
      </w:r>
      <w:r w:rsidRPr="00F702CC">
        <w:t xml:space="preserve">These teams will monitor operator compliance with </w:t>
      </w:r>
      <w:r w:rsidR="00BB2B46">
        <w:t>n</w:t>
      </w:r>
      <w:r w:rsidRPr="00F702CC">
        <w:t xml:space="preserve">ational </w:t>
      </w:r>
      <w:r w:rsidR="00BB2B46">
        <w:t>s</w:t>
      </w:r>
      <w:r w:rsidRPr="00F702CC">
        <w:t>tandards and ensure clearance is undertaken safely and efficiently.</w:t>
      </w:r>
    </w:p>
    <w:p w:rsidR="0045354B" w:rsidRPr="00FF5FD1" w:rsidRDefault="0045354B" w:rsidP="00935429">
      <w:pPr>
        <w:pStyle w:val="Heading2"/>
        <w:keepNext/>
        <w:numPr>
          <w:ilvl w:val="0"/>
          <w:numId w:val="0"/>
        </w:numPr>
        <w:tabs>
          <w:tab w:val="left" w:pos="1920"/>
        </w:tabs>
        <w:spacing w:before="0" w:after="120" w:line="320" w:lineRule="atLeast"/>
      </w:pPr>
      <w:bookmarkStart w:id="14" w:name="_Toc360989287"/>
      <w:r w:rsidRPr="00FF5FD1">
        <w:t>Objective 6</w:t>
      </w:r>
      <w:proofErr w:type="gramStart"/>
      <w:r w:rsidRPr="00FF5FD1">
        <w:t>:</w:t>
      </w:r>
      <w:proofErr w:type="gramEnd"/>
      <w:r w:rsidRPr="00FF5FD1">
        <w:br/>
        <w:t>Improved rural infrastructure, particularly road and electrification</w:t>
      </w:r>
      <w:bookmarkEnd w:id="14"/>
    </w:p>
    <w:p w:rsidR="0045354B" w:rsidRDefault="0045354B" w:rsidP="0045354B">
      <w:pPr>
        <w:pStyle w:val="BodyText"/>
      </w:pPr>
      <w:r>
        <w:t>Improved infrastructure, including roads (to provide access to markets and services) and electrification, is fundamental to broad-based development</w:t>
      </w:r>
      <w:r w:rsidR="00AA7011">
        <w:t xml:space="preserve">. </w:t>
      </w:r>
      <w:r>
        <w:t>Other development partners, including China, Thailand, Korea and Japan, are already contributing major national infrastructure (such as airports, railway and roads) and private sector investment is increasing</w:t>
      </w:r>
      <w:r w:rsidR="00AA7011">
        <w:t xml:space="preserve">. </w:t>
      </w:r>
      <w:r>
        <w:t>Australia cannot match the scale of funding and does not have in-house capacity to directly manage major infrastructure projects</w:t>
      </w:r>
      <w:r w:rsidR="00AA7011">
        <w:t xml:space="preserve">. </w:t>
      </w:r>
      <w:r>
        <w:t>It therefore seems most appropriate for Australia to focus on the lower profile, but more poverty-oriented, sub-national and community-based infrastructure, and to continue working through multilateral partners</w:t>
      </w:r>
      <w:r w:rsidR="00AA7011">
        <w:t xml:space="preserve">. </w:t>
      </w:r>
      <w:r>
        <w:t>This also allows for joint advocacy efforts on social safeguards.</w:t>
      </w:r>
    </w:p>
    <w:p w:rsidR="0045354B" w:rsidRDefault="0045354B" w:rsidP="0045354B">
      <w:pPr>
        <w:pStyle w:val="BodyText"/>
      </w:pPr>
      <w:r>
        <w:t xml:space="preserve">Australia’s two existing initiatives under this objective were originally supported </w:t>
      </w:r>
      <w:r w:rsidR="00BB2B46">
        <w:t>to improve</w:t>
      </w:r>
      <w:r>
        <w:t xml:space="preserve"> connectivity in the Greater Mekong sub-region so the design focus was on regional connectivity rather than on direct poverty impact</w:t>
      </w:r>
      <w:r w:rsidR="00AA7011">
        <w:t xml:space="preserve">. </w:t>
      </w:r>
      <w:proofErr w:type="gramStart"/>
      <w:r>
        <w:t>Measuring contribution to poverty reduction therefore remains challenging and staff resource-intensive</w:t>
      </w:r>
      <w:r w:rsidR="00BB2B46">
        <w:t>.</w:t>
      </w:r>
      <w:proofErr w:type="gramEnd"/>
      <w:r w:rsidR="00AA7011">
        <w:t xml:space="preserve"> </w:t>
      </w:r>
      <w:r>
        <w:t>Achievement of milestones and overall performance under this objective was mixed.</w:t>
      </w:r>
    </w:p>
    <w:p w:rsidR="0045354B" w:rsidRDefault="0045354B" w:rsidP="0045354B">
      <w:pPr>
        <w:pStyle w:val="BodyText"/>
      </w:pPr>
      <w:r>
        <w:t xml:space="preserve">Completion of the </w:t>
      </w:r>
      <w:r w:rsidRPr="006876B7">
        <w:t xml:space="preserve">upgrade of </w:t>
      </w:r>
      <w:r w:rsidRPr="006876B7">
        <w:rPr>
          <w:b/>
        </w:rPr>
        <w:t>National Route 4</w:t>
      </w:r>
      <w:r w:rsidRPr="00AB5BC0">
        <w:t xml:space="preserve"> from Luang Prabang to Thailand</w:t>
      </w:r>
      <w:r>
        <w:t xml:space="preserve"> is important for opening up remote and disadvantaged parts of rural Laos</w:t>
      </w:r>
      <w:r w:rsidR="00AA7011">
        <w:t xml:space="preserve">. </w:t>
      </w:r>
      <w:r>
        <w:t xml:space="preserve">Australia, with a consortium of donors, is supporting </w:t>
      </w:r>
      <w:r w:rsidR="00BB2B46">
        <w:t xml:space="preserve">the </w:t>
      </w:r>
      <w:r>
        <w:t>construction of a section of this road network under a US$118</w:t>
      </w:r>
      <w:r w:rsidR="00BB2B46">
        <w:t> </w:t>
      </w:r>
      <w:r>
        <w:t>million project managed by the</w:t>
      </w:r>
      <w:r w:rsidR="0062706C">
        <w:t xml:space="preserve"> </w:t>
      </w:r>
      <w:r w:rsidR="0062706C" w:rsidRPr="00DD35EA">
        <w:rPr>
          <w:rFonts w:cs="Arial"/>
          <w:color w:val="000000"/>
        </w:rPr>
        <w:t xml:space="preserve">Asian Development </w:t>
      </w:r>
      <w:r w:rsidR="0062706C" w:rsidRPr="0062706C">
        <w:rPr>
          <w:rFonts w:cs="Arial"/>
          <w:color w:val="000000"/>
        </w:rPr>
        <w:t>Bank</w:t>
      </w:r>
      <w:r w:rsidRPr="003E4FC7">
        <w:t>.</w:t>
      </w:r>
      <w:r>
        <w:t xml:space="preserve"> The project comprises several sections which have different funding</w:t>
      </w:r>
      <w:r w:rsidR="00BB2B46">
        <w:t xml:space="preserve"> and </w:t>
      </w:r>
      <w:r>
        <w:t xml:space="preserve">management arrangements. Slow progress on one section funded by another donor, </w:t>
      </w:r>
      <w:proofErr w:type="gramStart"/>
      <w:r>
        <w:t>which</w:t>
      </w:r>
      <w:proofErr w:type="gramEnd"/>
      <w:r>
        <w:t xml:space="preserve"> includes a bridge over the Mekong River, means the full expected economic benefits will not be realised until 2019 at the earliest (the project official end date is 2014).</w:t>
      </w:r>
    </w:p>
    <w:p w:rsidR="0045354B" w:rsidRDefault="0045354B" w:rsidP="0045354B">
      <w:pPr>
        <w:pStyle w:val="BodyText"/>
      </w:pPr>
      <w:r>
        <w:t>Progress on the Australian</w:t>
      </w:r>
      <w:r w:rsidR="00BB2B46">
        <w:t>-</w:t>
      </w:r>
      <w:r>
        <w:t>funded component was mixed in 2010</w:t>
      </w:r>
      <w:r w:rsidR="00AA7011">
        <w:t xml:space="preserve">. </w:t>
      </w:r>
      <w:r>
        <w:t>Construction of 83</w:t>
      </w:r>
      <w:r w:rsidR="00BB2B46">
        <w:t> </w:t>
      </w:r>
      <w:r>
        <w:t>km of the main road funded by AusAID was ahead of schedule with 56</w:t>
      </w:r>
      <w:r w:rsidR="00BB2B46">
        <w:t> </w:t>
      </w:r>
      <w:r w:rsidR="00872591">
        <w:t>per cent</w:t>
      </w:r>
      <w:r>
        <w:t xml:space="preserve"> of works completed. The remainder is expected to be finished on schedule by the end of 2012</w:t>
      </w:r>
      <w:r w:rsidR="00AA7011">
        <w:t xml:space="preserve">. </w:t>
      </w:r>
    </w:p>
    <w:p w:rsidR="0045354B" w:rsidRDefault="0045354B" w:rsidP="0045354B">
      <w:pPr>
        <w:pStyle w:val="BodyText"/>
      </w:pPr>
      <w:r>
        <w:lastRenderedPageBreak/>
        <w:t>For the project overall, social issues remain of concern</w:t>
      </w:r>
      <w:r w:rsidR="00731F6A">
        <w:t>.</w:t>
      </w:r>
      <w:r>
        <w:t xml:space="preserve"> Activities on HIV</w:t>
      </w:r>
      <w:r w:rsidR="00BB2B46">
        <w:t>/AIDs</w:t>
      </w:r>
      <w:r>
        <w:t>, human trafficking and road safety are yet to begin and remain at risk</w:t>
      </w:r>
      <w:r w:rsidR="00AA7011">
        <w:t xml:space="preserve">. </w:t>
      </w:r>
      <w:r>
        <w:t>Construction of rural feeder roads has been postponed until better progress can be made on these important issues</w:t>
      </w:r>
      <w:r w:rsidR="00AA7011">
        <w:t xml:space="preserve">. </w:t>
      </w:r>
      <w:r>
        <w:t>Information on social safeguards (resettlement, grievances, HIV</w:t>
      </w:r>
      <w:r w:rsidR="00BB2B46">
        <w:t>/AIDs</w:t>
      </w:r>
      <w:r>
        <w:t>, gender</w:t>
      </w:r>
      <w:r w:rsidR="00BB2B46">
        <w:t xml:space="preserve"> and</w:t>
      </w:r>
      <w:r>
        <w:t xml:space="preserve"> road safety) remains weak.</w:t>
      </w:r>
    </w:p>
    <w:p w:rsidR="0045354B" w:rsidRDefault="0045354B" w:rsidP="0045354B">
      <w:pPr>
        <w:pStyle w:val="BodyText"/>
      </w:pPr>
      <w:r w:rsidRPr="00775C53">
        <w:t>Rural electrification</w:t>
      </w:r>
      <w:r>
        <w:t xml:space="preserve"> rates are increasingly steadily off </w:t>
      </w:r>
      <w:r w:rsidR="00BB2B46">
        <w:t xml:space="preserve">of </w:t>
      </w:r>
      <w:r>
        <w:t>a low base: b</w:t>
      </w:r>
      <w:r w:rsidRPr="00775C53">
        <w:t>etween 1995 and September 2010, electricity access across Lao</w:t>
      </w:r>
      <w:r w:rsidR="00902821">
        <w:t>s</w:t>
      </w:r>
      <w:r w:rsidRPr="00775C53">
        <w:t xml:space="preserve"> has steadily increased to 71</w:t>
      </w:r>
      <w:r w:rsidR="00BB2B46">
        <w:t> </w:t>
      </w:r>
      <w:r w:rsidR="00872591">
        <w:t>per cent</w:t>
      </w:r>
      <w:r w:rsidRPr="00775C53">
        <w:t xml:space="preserve"> from 16</w:t>
      </w:r>
      <w:r w:rsidR="00BB2B46">
        <w:t> </w:t>
      </w:r>
      <w:r w:rsidR="00872591">
        <w:t>per cent</w:t>
      </w:r>
      <w:r w:rsidRPr="00775C53">
        <w:t>, reaching 730</w:t>
      </w:r>
      <w:r w:rsidR="00872591">
        <w:t> </w:t>
      </w:r>
      <w:r w:rsidRPr="00775C53">
        <w:t>000 households.</w:t>
      </w:r>
      <w:r>
        <w:t xml:space="preserve"> Government of Laos’s 7</w:t>
      </w:r>
      <w:r w:rsidRPr="00775C53">
        <w:rPr>
          <w:vertAlign w:val="superscript"/>
        </w:rPr>
        <w:t>th</w:t>
      </w:r>
      <w:r>
        <w:t xml:space="preserve"> NSEDP aims to increase access to electricity to 90</w:t>
      </w:r>
      <w:r w:rsidR="00BB2B46">
        <w:t> </w:t>
      </w:r>
      <w:r w:rsidR="00872591">
        <w:t>per cent</w:t>
      </w:r>
      <w:r>
        <w:t xml:space="preserve"> by 2020. A consortium of donors</w:t>
      </w:r>
      <w:r w:rsidR="00664CBF">
        <w:t xml:space="preserve">, </w:t>
      </w:r>
      <w:r>
        <w:t>including Australia</w:t>
      </w:r>
      <w:proofErr w:type="gramStart"/>
      <w:r w:rsidR="00664CBF">
        <w:t xml:space="preserve">, </w:t>
      </w:r>
      <w:r>
        <w:t xml:space="preserve"> is</w:t>
      </w:r>
      <w:proofErr w:type="gramEnd"/>
      <w:r>
        <w:t xml:space="preserve"> supporting Government of Laos to expand rural electricity connectivity in seven central and southern provinces of Laos.</w:t>
      </w:r>
    </w:p>
    <w:p w:rsidR="0045354B" w:rsidRDefault="00902821" w:rsidP="00935429">
      <w:pPr>
        <w:pStyle w:val="BodyText"/>
        <w:spacing w:after="300"/>
      </w:pPr>
      <w:r>
        <w:t xml:space="preserve">This </w:t>
      </w:r>
      <w:r w:rsidR="0045354B">
        <w:t>US$85</w:t>
      </w:r>
      <w:r w:rsidR="00664CBF">
        <w:t> </w:t>
      </w:r>
      <w:r w:rsidR="0045354B">
        <w:t xml:space="preserve">million </w:t>
      </w:r>
      <w:r>
        <w:t xml:space="preserve">rural electrification project </w:t>
      </w:r>
      <w:r w:rsidR="0045354B">
        <w:t>has suffered serious delays (the project end date is now 2013). Outstanding issues related to funding agreements were resolved in 2010 and activities began</w:t>
      </w:r>
      <w:r w:rsidR="00AA7011">
        <w:t xml:space="preserve">. </w:t>
      </w:r>
      <w:r w:rsidR="0045354B">
        <w:t>2011 will be the first full year of implementation of the Australian</w:t>
      </w:r>
      <w:r w:rsidR="00664CBF">
        <w:t>-</w:t>
      </w:r>
      <w:r w:rsidR="0045354B">
        <w:t>funded components.</w:t>
      </w:r>
      <w:r w:rsidR="00664CBF">
        <w:t xml:space="preserve"> A total of</w:t>
      </w:r>
      <w:r w:rsidR="0045354B">
        <w:t xml:space="preserve"> 19</w:t>
      </w:r>
      <w:r w:rsidR="00872591">
        <w:t> </w:t>
      </w:r>
      <w:r w:rsidR="0045354B">
        <w:t>500 rural household should access main grid and off-grid electricity in 2011.</w:t>
      </w:r>
    </w:p>
    <w:p w:rsidR="0045354B" w:rsidRDefault="0045354B" w:rsidP="00935429">
      <w:pPr>
        <w:pStyle w:val="Heading2"/>
        <w:keepNext/>
        <w:numPr>
          <w:ilvl w:val="0"/>
          <w:numId w:val="0"/>
        </w:numPr>
        <w:tabs>
          <w:tab w:val="left" w:pos="1920"/>
        </w:tabs>
        <w:spacing w:before="0" w:after="120" w:line="320" w:lineRule="atLeast"/>
      </w:pPr>
      <w:bookmarkStart w:id="15" w:name="_Toc360989288"/>
      <w:r>
        <w:t>Strategy</w:t>
      </w:r>
      <w:r w:rsidR="00664CBF">
        <w:t>-</w:t>
      </w:r>
      <w:r>
        <w:t>wide initiatives</w:t>
      </w:r>
      <w:bookmarkEnd w:id="15"/>
    </w:p>
    <w:p w:rsidR="0045354B" w:rsidRDefault="0045354B" w:rsidP="0045354B">
      <w:pPr>
        <w:pStyle w:val="BodyText"/>
      </w:pPr>
      <w:r w:rsidRPr="006876B7">
        <w:rPr>
          <w:b/>
        </w:rPr>
        <w:t xml:space="preserve">Australian </w:t>
      </w:r>
      <w:r w:rsidR="003E03E2">
        <w:rPr>
          <w:b/>
        </w:rPr>
        <w:t xml:space="preserve">Development </w:t>
      </w:r>
      <w:r w:rsidRPr="006876B7">
        <w:rPr>
          <w:b/>
        </w:rPr>
        <w:t>scholarships</w:t>
      </w:r>
      <w:r>
        <w:t xml:space="preserve"> underpin each of the strategic objectives </w:t>
      </w:r>
      <w:r w:rsidR="00664CBF">
        <w:t xml:space="preserve">outlined </w:t>
      </w:r>
      <w:r>
        <w:t>above</w:t>
      </w:r>
      <w:r w:rsidR="00AA7011">
        <w:t xml:space="preserve">. </w:t>
      </w:r>
      <w:r>
        <w:t>Candidates from our partner ministries are targeted for at least 75</w:t>
      </w:r>
      <w:r w:rsidR="00872591">
        <w:t xml:space="preserve"> per cent</w:t>
      </w:r>
      <w:r>
        <w:t xml:space="preserve"> of the </w:t>
      </w:r>
      <w:r w:rsidR="00664CBF">
        <w:t xml:space="preserve">20 </w:t>
      </w:r>
      <w:r>
        <w:t>awards given for the public sector each year</w:t>
      </w:r>
      <w:r w:rsidR="00AA7011">
        <w:t xml:space="preserve">. </w:t>
      </w:r>
      <w:r>
        <w:t>So far the target has not been met as there are usually not enough competitive candidates from these ministries</w:t>
      </w:r>
      <w:r w:rsidR="00AA7011">
        <w:t xml:space="preserve">. </w:t>
      </w:r>
      <w:r>
        <w:t xml:space="preserve">Regular tracer and impact studies are </w:t>
      </w:r>
      <w:r w:rsidR="00664CBF">
        <w:t>underway</w:t>
      </w:r>
      <w:r>
        <w:t xml:space="preserve"> but it will be several more years before there is a body of evidence to indicate whether scholarships are making a specific contribution to the strategic objectives</w:t>
      </w:r>
      <w:r w:rsidR="00AA7011">
        <w:t xml:space="preserve">. </w:t>
      </w:r>
    </w:p>
    <w:p w:rsidR="0045354B" w:rsidRDefault="00664CBF" w:rsidP="0045354B">
      <w:pPr>
        <w:pStyle w:val="BodyText"/>
        <w:rPr>
          <w:szCs w:val="16"/>
        </w:rPr>
      </w:pPr>
      <w:r>
        <w:t>However, a</w:t>
      </w:r>
      <w:r w:rsidR="0045354B">
        <w:t>n impact study undertaken in 2010 revealed that</w:t>
      </w:r>
      <w:r>
        <w:t>:</w:t>
      </w:r>
      <w:r w:rsidR="0045354B">
        <w:t xml:space="preserve"> (i) the programs and courses taken by graduates were relevant and in </w:t>
      </w:r>
      <w:r>
        <w:t xml:space="preserve">line </w:t>
      </w:r>
      <w:r w:rsidR="0045354B">
        <w:t xml:space="preserve">with the human resource development strategies of their organisations; (ii) </w:t>
      </w:r>
      <w:r w:rsidR="0045354B">
        <w:rPr>
          <w:szCs w:val="16"/>
        </w:rPr>
        <w:t xml:space="preserve">the </w:t>
      </w:r>
      <w:r>
        <w:rPr>
          <w:szCs w:val="16"/>
        </w:rPr>
        <w:t xml:space="preserve">vast </w:t>
      </w:r>
      <w:r w:rsidR="0045354B">
        <w:rPr>
          <w:szCs w:val="16"/>
        </w:rPr>
        <w:t>majority (93</w:t>
      </w:r>
      <w:r w:rsidR="00872591">
        <w:rPr>
          <w:szCs w:val="16"/>
        </w:rPr>
        <w:t xml:space="preserve"> per cent</w:t>
      </w:r>
      <w:r w:rsidR="0045354B">
        <w:rPr>
          <w:szCs w:val="16"/>
        </w:rPr>
        <w:t>) of public sector awardees returned to their original work place after completing study in Australia; (iii)</w:t>
      </w:r>
      <w:r w:rsidR="0045354B">
        <w:t xml:space="preserve"> </w:t>
      </w:r>
      <w:r w:rsidR="0045354B">
        <w:rPr>
          <w:szCs w:val="16"/>
        </w:rPr>
        <w:t>graduates’ involvement in policy making ‘to a great extent’ increased from 5</w:t>
      </w:r>
      <w:r w:rsidR="00872591">
        <w:rPr>
          <w:szCs w:val="16"/>
        </w:rPr>
        <w:t xml:space="preserve"> per cent</w:t>
      </w:r>
      <w:r w:rsidR="0045354B">
        <w:rPr>
          <w:szCs w:val="16"/>
        </w:rPr>
        <w:t xml:space="preserve"> before receiving </w:t>
      </w:r>
      <w:r w:rsidR="003E4FC7" w:rsidRPr="00DD35EA">
        <w:rPr>
          <w:rFonts w:cs="Arial"/>
          <w:color w:val="000000"/>
        </w:rPr>
        <w:t xml:space="preserve">Australian Development </w:t>
      </w:r>
      <w:r w:rsidR="003E4FC7" w:rsidRPr="003E4FC7">
        <w:rPr>
          <w:rFonts w:cs="Arial"/>
          <w:color w:val="000000"/>
        </w:rPr>
        <w:t>Scholarship</w:t>
      </w:r>
      <w:r w:rsidR="0045354B" w:rsidRPr="003E4FC7">
        <w:rPr>
          <w:szCs w:val="16"/>
        </w:rPr>
        <w:t xml:space="preserve"> t</w:t>
      </w:r>
      <w:r w:rsidR="0045354B">
        <w:rPr>
          <w:szCs w:val="16"/>
        </w:rPr>
        <w:t>o 28</w:t>
      </w:r>
      <w:r w:rsidR="00872591">
        <w:rPr>
          <w:szCs w:val="16"/>
        </w:rPr>
        <w:t xml:space="preserve"> per cent</w:t>
      </w:r>
      <w:r w:rsidR="0045354B">
        <w:rPr>
          <w:szCs w:val="16"/>
        </w:rPr>
        <w:t xml:space="preserve"> after graduating; (iv)</w:t>
      </w:r>
      <w:r>
        <w:rPr>
          <w:szCs w:val="16"/>
        </w:rPr>
        <w:t> </w:t>
      </w:r>
      <w:r w:rsidR="0045354B">
        <w:rPr>
          <w:szCs w:val="16"/>
        </w:rPr>
        <w:t>their involvement in management and supervisory roles increased by around 30</w:t>
      </w:r>
      <w:r w:rsidR="00872591">
        <w:rPr>
          <w:szCs w:val="16"/>
        </w:rPr>
        <w:t xml:space="preserve"> per cent</w:t>
      </w:r>
      <w:r w:rsidR="0045354B">
        <w:rPr>
          <w:szCs w:val="16"/>
        </w:rPr>
        <w:t>; and (v)</w:t>
      </w:r>
      <w:r>
        <w:rPr>
          <w:szCs w:val="16"/>
        </w:rPr>
        <w:t> </w:t>
      </w:r>
      <w:r w:rsidR="0045354B">
        <w:rPr>
          <w:szCs w:val="16"/>
        </w:rPr>
        <w:t>supervisors acknowledged that graduates had gained new knowledge, new skills and new ways of thinking which effectively contributed to the development of their organisations.</w:t>
      </w:r>
    </w:p>
    <w:p w:rsidR="0045354B" w:rsidRPr="00884293" w:rsidRDefault="0045354B" w:rsidP="00935429">
      <w:pPr>
        <w:pStyle w:val="BodyText"/>
        <w:spacing w:after="400"/>
        <w:rPr>
          <w:u w:val="single"/>
        </w:rPr>
      </w:pPr>
      <w:r>
        <w:rPr>
          <w:szCs w:val="16"/>
        </w:rPr>
        <w:t xml:space="preserve">The </w:t>
      </w:r>
      <w:r w:rsidRPr="006876B7">
        <w:rPr>
          <w:b/>
          <w:szCs w:val="16"/>
        </w:rPr>
        <w:t xml:space="preserve">PRSO </w:t>
      </w:r>
      <w:r>
        <w:rPr>
          <w:szCs w:val="16"/>
        </w:rPr>
        <w:t xml:space="preserve">and </w:t>
      </w:r>
      <w:r w:rsidRPr="006876B7">
        <w:rPr>
          <w:b/>
          <w:szCs w:val="16"/>
        </w:rPr>
        <w:t>Public Finance Management Strengthening Program</w:t>
      </w:r>
      <w:r w:rsidRPr="006876B7">
        <w:rPr>
          <w:szCs w:val="16"/>
        </w:rPr>
        <w:t xml:space="preserve"> (PFMSP)</w:t>
      </w:r>
      <w:r>
        <w:rPr>
          <w:szCs w:val="16"/>
          <w:u w:val="single"/>
        </w:rPr>
        <w:t xml:space="preserve"> </w:t>
      </w:r>
      <w:r w:rsidRPr="00884293">
        <w:rPr>
          <w:szCs w:val="16"/>
        </w:rPr>
        <w:t>underpin work in other sectors</w:t>
      </w:r>
      <w:r w:rsidR="00AA7011">
        <w:rPr>
          <w:szCs w:val="16"/>
        </w:rPr>
        <w:t xml:space="preserve">. </w:t>
      </w:r>
      <w:r>
        <w:rPr>
          <w:szCs w:val="16"/>
        </w:rPr>
        <w:t>The PRSO is a budget support mechanism with payment triggered by Government of Laos progress on agreed policy reforms</w:t>
      </w:r>
      <w:r w:rsidR="00AA7011">
        <w:rPr>
          <w:szCs w:val="16"/>
        </w:rPr>
        <w:t xml:space="preserve">. </w:t>
      </w:r>
      <w:r w:rsidR="00664CBF">
        <w:rPr>
          <w:szCs w:val="16"/>
        </w:rPr>
        <w:t xml:space="preserve">It </w:t>
      </w:r>
      <w:r>
        <w:rPr>
          <w:szCs w:val="16"/>
        </w:rPr>
        <w:t xml:space="preserve">provides an important opportunity for policy </w:t>
      </w:r>
      <w:r w:rsidR="00664CBF">
        <w:rPr>
          <w:szCs w:val="16"/>
        </w:rPr>
        <w:t xml:space="preserve">discussion </w:t>
      </w:r>
      <w:r>
        <w:rPr>
          <w:szCs w:val="16"/>
        </w:rPr>
        <w:t xml:space="preserve">on education and trade reforms and </w:t>
      </w:r>
      <w:r w:rsidR="00664CBF">
        <w:rPr>
          <w:szCs w:val="16"/>
        </w:rPr>
        <w:t xml:space="preserve">shines </w:t>
      </w:r>
      <w:r>
        <w:rPr>
          <w:szCs w:val="16"/>
        </w:rPr>
        <w:t>a spotlight on reforms that reinforce our sectoral work</w:t>
      </w:r>
      <w:r w:rsidR="00AA7011">
        <w:rPr>
          <w:szCs w:val="16"/>
        </w:rPr>
        <w:t xml:space="preserve">. </w:t>
      </w:r>
      <w:r w:rsidR="00FF3DB2">
        <w:rPr>
          <w:szCs w:val="16"/>
        </w:rPr>
        <w:t xml:space="preserve">The </w:t>
      </w:r>
      <w:r>
        <w:rPr>
          <w:szCs w:val="16"/>
        </w:rPr>
        <w:t>PRSO contributions to education and trade have been discussed earlier</w:t>
      </w:r>
      <w:r w:rsidR="00AA7011">
        <w:rPr>
          <w:szCs w:val="16"/>
        </w:rPr>
        <w:t>.</w:t>
      </w:r>
      <w:r w:rsidR="00FF3DB2">
        <w:rPr>
          <w:szCs w:val="16"/>
        </w:rPr>
        <w:t xml:space="preserve"> The</w:t>
      </w:r>
      <w:r w:rsidR="00AA7011">
        <w:rPr>
          <w:szCs w:val="16"/>
        </w:rPr>
        <w:t xml:space="preserve"> </w:t>
      </w:r>
      <w:r>
        <w:rPr>
          <w:szCs w:val="16"/>
        </w:rPr>
        <w:t xml:space="preserve">PFMSP supports actions to improve the Government’s management of public resources and provides a platform for regular </w:t>
      </w:r>
      <w:r w:rsidR="00FF3DB2">
        <w:rPr>
          <w:szCs w:val="16"/>
        </w:rPr>
        <w:t xml:space="preserve">discussion </w:t>
      </w:r>
      <w:r>
        <w:rPr>
          <w:szCs w:val="16"/>
        </w:rPr>
        <w:t>with the central finance ministry</w:t>
      </w:r>
      <w:r w:rsidR="00AA7011">
        <w:rPr>
          <w:szCs w:val="16"/>
        </w:rPr>
        <w:t xml:space="preserve">. </w:t>
      </w:r>
      <w:r>
        <w:rPr>
          <w:szCs w:val="16"/>
        </w:rPr>
        <w:t>This is particularly relevant in education where Australia advocates for increased and more predictable financing</w:t>
      </w:r>
      <w:r w:rsidR="00AA7011">
        <w:rPr>
          <w:szCs w:val="16"/>
        </w:rPr>
        <w:t xml:space="preserve">. </w:t>
      </w:r>
      <w:r>
        <w:rPr>
          <w:szCs w:val="16"/>
        </w:rPr>
        <w:t>The PFMSP helps support our engagement in other sector activities that involve the use of government systems</w:t>
      </w:r>
      <w:r w:rsidR="00AA7011">
        <w:rPr>
          <w:szCs w:val="16"/>
        </w:rPr>
        <w:t xml:space="preserve">. </w:t>
      </w:r>
      <w:r>
        <w:rPr>
          <w:szCs w:val="16"/>
        </w:rPr>
        <w:t xml:space="preserve">It will also inform future programming using this </w:t>
      </w:r>
      <w:r w:rsidR="00FF3DB2">
        <w:rPr>
          <w:szCs w:val="16"/>
        </w:rPr>
        <w:t>way of working</w:t>
      </w:r>
      <w:r w:rsidR="00AA7011">
        <w:rPr>
          <w:szCs w:val="16"/>
        </w:rPr>
        <w:t xml:space="preserve">. </w:t>
      </w:r>
    </w:p>
    <w:p w:rsidR="00CC356F" w:rsidRPr="0067772C" w:rsidRDefault="00CC356F" w:rsidP="00935429">
      <w:pPr>
        <w:pStyle w:val="H1"/>
      </w:pPr>
      <w:bookmarkStart w:id="16" w:name="_Toc360989289"/>
      <w:r>
        <w:lastRenderedPageBreak/>
        <w:t xml:space="preserve">Program </w:t>
      </w:r>
      <w:r w:rsidR="00D700F0">
        <w:t>q</w:t>
      </w:r>
      <w:r>
        <w:t>uality</w:t>
      </w:r>
      <w:bookmarkEnd w:id="16"/>
    </w:p>
    <w:p w:rsidR="0045354B" w:rsidRDefault="0045354B" w:rsidP="0045354B">
      <w:pPr>
        <w:pStyle w:val="BodyText"/>
      </w:pPr>
      <w:r>
        <w:t>The program continued to improve its performance in 2010 with satisfactory ratings and above against all quality indicators</w:t>
      </w:r>
      <w:r w:rsidR="00AA7011">
        <w:t xml:space="preserve">. </w:t>
      </w:r>
      <w:r>
        <w:t xml:space="preserve">The only rating which did not improve was </w:t>
      </w:r>
      <w:r w:rsidRPr="006876B7">
        <w:rPr>
          <w:b/>
        </w:rPr>
        <w:t>gender equality</w:t>
      </w:r>
      <w:r>
        <w:t xml:space="preserve"> where it remained the same</w:t>
      </w:r>
      <w:r w:rsidR="00AA7011">
        <w:t xml:space="preserve">. </w:t>
      </w:r>
      <w:r>
        <w:t>A gender stocktake for the Laos program was carried out early in 2010 and highlighted areas of good practice as well as areas for improvement across the program</w:t>
      </w:r>
      <w:r w:rsidR="00AA7011">
        <w:t xml:space="preserve">. </w:t>
      </w:r>
      <w:r>
        <w:t>Staff found the exercise helpful in improving their understanding of gender and, as a result, some initiative managers rated gender lower in 2010 than in previous years because they had become aware of how much more could be done</w:t>
      </w:r>
      <w:r w:rsidR="00AA7011">
        <w:t xml:space="preserve">. </w:t>
      </w:r>
      <w:r>
        <w:t xml:space="preserve">The two gender focal points at </w:t>
      </w:r>
      <w:r w:rsidR="00FF3DB2">
        <w:t>P</w:t>
      </w:r>
      <w:r>
        <w:t>ost are building their in-country and regional networks and working through the recommendations arising from the stocktake</w:t>
      </w:r>
      <w:r w:rsidR="00AA7011">
        <w:t xml:space="preserve">. </w:t>
      </w:r>
    </w:p>
    <w:p w:rsidR="0045354B" w:rsidRDefault="0045354B" w:rsidP="0045354B">
      <w:pPr>
        <w:pStyle w:val="BodyText"/>
      </w:pPr>
      <w:r>
        <w:t xml:space="preserve">The </w:t>
      </w:r>
      <w:r w:rsidRPr="006876B7">
        <w:t>relevance</w:t>
      </w:r>
      <w:r>
        <w:rPr>
          <w:u w:val="single"/>
        </w:rPr>
        <w:t xml:space="preserve"> </w:t>
      </w:r>
      <w:r>
        <w:t>of initiatives rates highly as the result of close alignment with Government of Laos priorities and direct support for sector strategies in education, trade and UXO</w:t>
      </w:r>
      <w:r w:rsidR="00AA7011">
        <w:t xml:space="preserve">. </w:t>
      </w:r>
      <w:r>
        <w:t xml:space="preserve">Ongoing relevance of program priorities with the new </w:t>
      </w:r>
      <w:r w:rsidR="00E321E0">
        <w:t>7</w:t>
      </w:r>
      <w:r w:rsidR="00E321E0" w:rsidRPr="00E321E0">
        <w:rPr>
          <w:vertAlign w:val="superscript"/>
        </w:rPr>
        <w:t>th</w:t>
      </w:r>
      <w:r w:rsidR="00E321E0">
        <w:t xml:space="preserve"> </w:t>
      </w:r>
      <w:r>
        <w:t xml:space="preserve">NSEDP will be examined again during the country strategy review and preparation of delivery strategies, </w:t>
      </w:r>
      <w:r w:rsidR="00FF3DB2">
        <w:t xml:space="preserve">both </w:t>
      </w:r>
      <w:r>
        <w:t>planned for late 2011</w:t>
      </w:r>
      <w:r w:rsidR="00AA7011">
        <w:t xml:space="preserve">. </w:t>
      </w:r>
    </w:p>
    <w:p w:rsidR="0045354B" w:rsidRDefault="0045354B" w:rsidP="0045354B">
      <w:pPr>
        <w:pStyle w:val="BodyText"/>
      </w:pPr>
      <w:r w:rsidRPr="006876B7">
        <w:rPr>
          <w:b/>
        </w:rPr>
        <w:t>Effectiveness</w:t>
      </w:r>
      <w:r w:rsidRPr="00FF3DB2">
        <w:t xml:space="preserve"> and </w:t>
      </w:r>
      <w:r w:rsidRPr="006876B7">
        <w:rPr>
          <w:b/>
        </w:rPr>
        <w:t>efficiency</w:t>
      </w:r>
      <w:r>
        <w:t xml:space="preserve"> improved slightly with the trade and scholarships initiatives receiving higher ratings than in 2009 while the Northern Transport Network Improvement Program (NTNIP) and </w:t>
      </w:r>
      <w:r w:rsidR="00FF3DB2">
        <w:t xml:space="preserve">the </w:t>
      </w:r>
      <w:r>
        <w:t>PRSO</w:t>
      </w:r>
      <w:r w:rsidR="003D1AF0">
        <w:t xml:space="preserve"> </w:t>
      </w:r>
      <w:r w:rsidR="003D1AF0" w:rsidRPr="0000673D">
        <w:t xml:space="preserve">and </w:t>
      </w:r>
      <w:r w:rsidRPr="0000673D">
        <w:t>PFM</w:t>
      </w:r>
      <w:r w:rsidR="003D1AF0" w:rsidRPr="0000673D">
        <w:t>SP</w:t>
      </w:r>
      <w:r>
        <w:t xml:space="preserve"> received lower ratings</w:t>
      </w:r>
      <w:r w:rsidR="00AA7011">
        <w:t xml:space="preserve">. </w:t>
      </w:r>
      <w:r>
        <w:t xml:space="preserve">In the case of NTNIP, this was </w:t>
      </w:r>
      <w:r w:rsidR="00FF3DB2">
        <w:t>because of</w:t>
      </w:r>
      <w:r>
        <w:t xml:space="preserve"> insufficient attention to progressing work on </w:t>
      </w:r>
      <w:r w:rsidR="00FF3DB2">
        <w:t>‘</w:t>
      </w:r>
      <w:r>
        <w:t>soft side</w:t>
      </w:r>
      <w:r w:rsidR="00582323">
        <w:t>’</w:t>
      </w:r>
      <w:r>
        <w:t xml:space="preserve"> issues such as road safety, resettlement monitoring, HIV</w:t>
      </w:r>
      <w:r w:rsidR="00FF3DB2">
        <w:t>/</w:t>
      </w:r>
      <w:r>
        <w:t>AIDS and anti-trafficking</w:t>
      </w:r>
      <w:r w:rsidR="00AA7011">
        <w:t xml:space="preserve">. </w:t>
      </w:r>
      <w:r>
        <w:t>Progress under public financial management was very slow due to capacity constraints in the partner ministry</w:t>
      </w:r>
      <w:r w:rsidR="00AA7011">
        <w:t xml:space="preserve">. </w:t>
      </w:r>
      <w:r>
        <w:t>Improvement is expected in 2011 following discussions during the program’s mid</w:t>
      </w:r>
      <w:r w:rsidR="00FF3DB2">
        <w:t>-</w:t>
      </w:r>
      <w:r>
        <w:t xml:space="preserve">term review. </w:t>
      </w:r>
    </w:p>
    <w:p w:rsidR="0045354B" w:rsidRDefault="0045354B" w:rsidP="0045354B">
      <w:pPr>
        <w:pStyle w:val="BodyText"/>
      </w:pPr>
      <w:r>
        <w:t xml:space="preserve">The effort put into </w:t>
      </w:r>
      <w:r w:rsidRPr="006876B7">
        <w:rPr>
          <w:b/>
        </w:rPr>
        <w:t>monitoring and evaluation</w:t>
      </w:r>
      <w:r>
        <w:t xml:space="preserve"> by program staff is beginning to pay off with satisfactory ratings on average across the program</w:t>
      </w:r>
      <w:r w:rsidR="00AA7011">
        <w:t xml:space="preserve">. </w:t>
      </w:r>
      <w:r>
        <w:t>In the case of scholarships, a thorough monitoring and evaluation regime is now being applied and yielding useful information about the wider impact of scholarships in Laos</w:t>
      </w:r>
      <w:r w:rsidR="00AA7011">
        <w:t xml:space="preserve">. </w:t>
      </w:r>
      <w:r>
        <w:t>The main monitoring and evaluation challenge is the infrastructure initiatives where monitoring by implementing partners remains focused on outputs, rather than</w:t>
      </w:r>
      <w:r w:rsidR="00FF3DB2">
        <w:t xml:space="preserve"> on</w:t>
      </w:r>
      <w:r>
        <w:t xml:space="preserve"> development outcomes.</w:t>
      </w:r>
    </w:p>
    <w:p w:rsidR="0045354B" w:rsidRDefault="0045354B" w:rsidP="0045354B">
      <w:pPr>
        <w:pStyle w:val="BodyText"/>
      </w:pPr>
      <w:r w:rsidRPr="006876B7">
        <w:rPr>
          <w:b/>
        </w:rPr>
        <w:t>Sustainability</w:t>
      </w:r>
      <w:r>
        <w:t xml:space="preserve"> showed the biggest improvement as the result of quality data showing long</w:t>
      </w:r>
      <w:r w:rsidR="00FF3DB2">
        <w:t>-</w:t>
      </w:r>
      <w:r>
        <w:t xml:space="preserve">term impacts from the development scholarships. </w:t>
      </w:r>
    </w:p>
    <w:p w:rsidR="0045354B" w:rsidRDefault="0045354B" w:rsidP="0045354B">
      <w:pPr>
        <w:pStyle w:val="BodyText"/>
      </w:pPr>
      <w:r>
        <w:t>86</w:t>
      </w:r>
      <w:r w:rsidR="00582323">
        <w:t xml:space="preserve"> per cent</w:t>
      </w:r>
      <w:r>
        <w:t xml:space="preserve"> of unsatisfactory quality ratings fell under the rural development pillar reflecting the difficult operating environment and challenges in </w:t>
      </w:r>
      <w:proofErr w:type="gramStart"/>
      <w:r>
        <w:t>progressing</w:t>
      </w:r>
      <w:proofErr w:type="gramEnd"/>
      <w:r>
        <w:t xml:space="preserve"> the aid qu</w:t>
      </w:r>
      <w:r w:rsidR="00DA6D12">
        <w:t>ality agenda with some partners.</w:t>
      </w:r>
    </w:p>
    <w:p w:rsidR="00DA6D12" w:rsidRPr="00191F05" w:rsidRDefault="00DA6D12" w:rsidP="00DA6D12">
      <w:pPr>
        <w:pStyle w:val="BodyText"/>
        <w:spacing w:before="0" w:after="0"/>
      </w:pPr>
    </w:p>
    <w:p w:rsidR="0045354B" w:rsidRPr="00DA6D12" w:rsidRDefault="00933606" w:rsidP="00935429">
      <w:pPr>
        <w:pStyle w:val="H1"/>
      </w:pPr>
      <w:bookmarkStart w:id="17" w:name="_Toc360989290"/>
      <w:r>
        <w:t>Next steps</w:t>
      </w:r>
      <w:bookmarkEnd w:id="17"/>
    </w:p>
    <w:p w:rsidR="0045354B" w:rsidRDefault="0045354B" w:rsidP="00DA6D12">
      <w:pPr>
        <w:pStyle w:val="Heading2"/>
        <w:keepNext/>
        <w:tabs>
          <w:tab w:val="left" w:pos="1920"/>
        </w:tabs>
        <w:spacing w:before="0" w:after="120" w:line="320" w:lineRule="atLeast"/>
        <w:ind w:left="0"/>
      </w:pPr>
      <w:bookmarkStart w:id="18" w:name="_Toc360989291"/>
      <w:r>
        <w:t>Program wide</w:t>
      </w:r>
      <w:bookmarkEnd w:id="18"/>
    </w:p>
    <w:p w:rsidR="0045354B" w:rsidRDefault="0045354B" w:rsidP="0045354B">
      <w:pPr>
        <w:pStyle w:val="BodyText"/>
      </w:pPr>
      <w:r>
        <w:t xml:space="preserve">The </w:t>
      </w:r>
      <w:r w:rsidR="006876B7">
        <w:t>Laos program</w:t>
      </w:r>
      <w:r>
        <w:t xml:space="preserve"> urgently needs to </w:t>
      </w:r>
      <w:r w:rsidRPr="006876B7">
        <w:rPr>
          <w:b/>
        </w:rPr>
        <w:t xml:space="preserve">review the </w:t>
      </w:r>
      <w:r w:rsidR="00FF3DB2">
        <w:rPr>
          <w:b/>
        </w:rPr>
        <w:t xml:space="preserve">Lao </w:t>
      </w:r>
      <w:r w:rsidRPr="006876B7">
        <w:rPr>
          <w:b/>
        </w:rPr>
        <w:t>country strategy</w:t>
      </w:r>
      <w:r w:rsidRPr="008312A9">
        <w:t xml:space="preserve"> in light of</w:t>
      </w:r>
      <w:r w:rsidRPr="008312A9">
        <w:rPr>
          <w:u w:val="single"/>
        </w:rPr>
        <w:t xml:space="preserve"> </w:t>
      </w:r>
      <w:r w:rsidRPr="008312A9">
        <w:t>changes to the operating context</w:t>
      </w:r>
      <w:r>
        <w:t xml:space="preserve"> in Laos and in </w:t>
      </w:r>
      <w:r w:rsidR="00CF4629">
        <w:t xml:space="preserve">AusAID </w:t>
      </w:r>
      <w:r>
        <w:t>Canberra</w:t>
      </w:r>
      <w:r w:rsidR="00AA7011">
        <w:t xml:space="preserve">. </w:t>
      </w:r>
      <w:r>
        <w:t xml:space="preserve">On the Canberra side, </w:t>
      </w:r>
      <w:r w:rsidR="00CF4629">
        <w:t>this includes consideration of</w:t>
      </w:r>
      <w:r>
        <w:t xml:space="preserve"> the outcomes of the aid effectiveness review and likely future budget scenarios.</w:t>
      </w:r>
    </w:p>
    <w:p w:rsidR="0045354B" w:rsidRDefault="0045354B" w:rsidP="0045354B">
      <w:pPr>
        <w:pStyle w:val="BodyText"/>
      </w:pPr>
      <w:r>
        <w:t>On the Laos side, key changes include finalis</w:t>
      </w:r>
      <w:r w:rsidR="00361D6C">
        <w:t>ing</w:t>
      </w:r>
      <w:r>
        <w:t xml:space="preserve"> the 7</w:t>
      </w:r>
      <w:r w:rsidRPr="008312A9">
        <w:rPr>
          <w:vertAlign w:val="superscript"/>
        </w:rPr>
        <w:t>th</w:t>
      </w:r>
      <w:r>
        <w:t xml:space="preserve"> NSEDP and the speed and scale of major investment in the country</w:t>
      </w:r>
      <w:r w:rsidR="00AA7011">
        <w:t xml:space="preserve">. </w:t>
      </w:r>
      <w:r>
        <w:t>These, especially the latter, point to the need for better analysis to inform Australia’s role in monitoring and advocating for sustainable development</w:t>
      </w:r>
      <w:r w:rsidR="00AA7011">
        <w:t xml:space="preserve">. </w:t>
      </w:r>
      <w:r>
        <w:t xml:space="preserve">Given Australia's broader interest in mining, and Mekong Sub-regional aid program’s engagement in water resources management (including hydropower and support for technical </w:t>
      </w:r>
      <w:r>
        <w:lastRenderedPageBreak/>
        <w:t>assistance in the Ministry of Energy and Mines), we will ensure future engagement in these areas is more clearly linked to and reflected in the country strategy</w:t>
      </w:r>
      <w:r w:rsidR="00AA7011">
        <w:t xml:space="preserve">. </w:t>
      </w:r>
    </w:p>
    <w:p w:rsidR="0045354B" w:rsidRDefault="0045354B" w:rsidP="0045354B">
      <w:pPr>
        <w:pStyle w:val="BodyText"/>
      </w:pPr>
      <w:r>
        <w:t xml:space="preserve">The </w:t>
      </w:r>
      <w:r w:rsidR="00361D6C" w:rsidRPr="006876B7">
        <w:rPr>
          <w:b/>
        </w:rPr>
        <w:t xml:space="preserve">country </w:t>
      </w:r>
      <w:r w:rsidRPr="006876B7">
        <w:rPr>
          <w:b/>
        </w:rPr>
        <w:t>strategy review</w:t>
      </w:r>
      <w:r>
        <w:t xml:space="preserve"> needs to take account of the recommendations of the gender stocktake, considering gender targets under each pillar and whether a single strategic objective for gender should be included. The review will identify areas for </w:t>
      </w:r>
      <w:r w:rsidRPr="006876B7">
        <w:rPr>
          <w:b/>
        </w:rPr>
        <w:t>further analysis</w:t>
      </w:r>
      <w:r w:rsidRPr="006876B7">
        <w:t>, including issues around</w:t>
      </w:r>
      <w:r>
        <w:rPr>
          <w:u w:val="single"/>
        </w:rPr>
        <w:t xml:space="preserve"> </w:t>
      </w:r>
      <w:r>
        <w:t>resettlement, and provide guidance on how the</w:t>
      </w:r>
      <w:r w:rsidR="00361D6C">
        <w:t>se</w:t>
      </w:r>
      <w:r>
        <w:t xml:space="preserve"> should be addressed across the program</w:t>
      </w:r>
      <w:r w:rsidR="00AA7011">
        <w:t xml:space="preserve">. </w:t>
      </w:r>
      <w:r>
        <w:t>Refining the Laos program’s approach to anti-corruption will also be pursued</w:t>
      </w:r>
      <w:r w:rsidR="00AA7011">
        <w:t xml:space="preserve">. </w:t>
      </w:r>
    </w:p>
    <w:p w:rsidR="0045354B" w:rsidRDefault="0045354B" w:rsidP="0045354B">
      <w:pPr>
        <w:pStyle w:val="BodyText"/>
      </w:pPr>
      <w:r>
        <w:t xml:space="preserve">Given likely budget increases </w:t>
      </w:r>
      <w:r w:rsidR="005B4A1C">
        <w:t xml:space="preserve">in AusAID’s Laos program </w:t>
      </w:r>
      <w:r>
        <w:t>to 2015</w:t>
      </w:r>
      <w:r w:rsidR="00582323">
        <w:t>–</w:t>
      </w:r>
      <w:r>
        <w:t xml:space="preserve">16 the program needs to prepare </w:t>
      </w:r>
      <w:r w:rsidRPr="006876B7">
        <w:rPr>
          <w:b/>
        </w:rPr>
        <w:t xml:space="preserve">delivery strategies </w:t>
      </w:r>
      <w:r w:rsidR="00731F6A" w:rsidRPr="006876B7">
        <w:rPr>
          <w:b/>
        </w:rPr>
        <w:t>for the</w:t>
      </w:r>
      <w:r w:rsidRPr="006876B7">
        <w:rPr>
          <w:b/>
        </w:rPr>
        <w:t xml:space="preserve"> education and rural development pillars</w:t>
      </w:r>
      <w:r w:rsidR="00AA7011">
        <w:t xml:space="preserve">. </w:t>
      </w:r>
      <w:r>
        <w:t>This is most urgent for rural development where our engagement has so far been limited and where we do not yet have clear partnerships or initiatives identified</w:t>
      </w:r>
      <w:r w:rsidR="00AA7011">
        <w:t xml:space="preserve">. </w:t>
      </w:r>
      <w:r>
        <w:t>Existing NGO programs provide a basis for proposed work on social protection and ACIAR research programs may provide a springboard for work on markets for the poor</w:t>
      </w:r>
      <w:r w:rsidR="00361D6C">
        <w:t>, although</w:t>
      </w:r>
      <w:r>
        <w:t xml:space="preserve"> extensive consultation will be required</w:t>
      </w:r>
      <w:r w:rsidR="00AA7011">
        <w:t xml:space="preserve">. </w:t>
      </w:r>
      <w:r>
        <w:t>Work on a trade delivery strategy may not be needed as urgently although existing initiatives will end in the next 12</w:t>
      </w:r>
      <w:r w:rsidR="00361D6C">
        <w:t xml:space="preserve"> to </w:t>
      </w:r>
      <w:r>
        <w:t xml:space="preserve">24 months. </w:t>
      </w:r>
    </w:p>
    <w:p w:rsidR="0045354B" w:rsidRDefault="0045354B" w:rsidP="0045354B">
      <w:pPr>
        <w:pStyle w:val="BodyText"/>
      </w:pPr>
      <w:r>
        <w:t xml:space="preserve">Delivery strategies will also include consideration of the </w:t>
      </w:r>
      <w:r w:rsidRPr="006876B7">
        <w:rPr>
          <w:b/>
        </w:rPr>
        <w:t>human resources capacity</w:t>
      </w:r>
      <w:r>
        <w:t xml:space="preserve"> requirements of the </w:t>
      </w:r>
      <w:r w:rsidR="006876B7">
        <w:t>Laos program</w:t>
      </w:r>
      <w:r w:rsidR="00AA7011">
        <w:t xml:space="preserve">. </w:t>
      </w:r>
      <w:r>
        <w:t>A human resources strategy for Post was not developed in 2010 as planned but will be followed up in 2011</w:t>
      </w:r>
      <w:r w:rsidR="00AA7011">
        <w:t xml:space="preserve">. </w:t>
      </w:r>
      <w:r>
        <w:t>This should specify the likely staff resources</w:t>
      </w:r>
      <w:r w:rsidR="00361D6C">
        <w:t xml:space="preserve">, </w:t>
      </w:r>
      <w:r>
        <w:t>including work levels and technical skills</w:t>
      </w:r>
      <w:r w:rsidR="00361D6C">
        <w:t>,</w:t>
      </w:r>
      <w:r>
        <w:t xml:space="preserve"> needed to implement the delivery strategies.</w:t>
      </w:r>
    </w:p>
    <w:p w:rsidR="0045354B" w:rsidRDefault="0045354B" w:rsidP="0045354B">
      <w:pPr>
        <w:pStyle w:val="BodyText"/>
      </w:pPr>
      <w:r w:rsidRPr="006876B7">
        <w:rPr>
          <w:b/>
        </w:rPr>
        <w:t xml:space="preserve">Workload </w:t>
      </w:r>
      <w:r w:rsidRPr="00361D6C">
        <w:t>issues</w:t>
      </w:r>
      <w:r>
        <w:t xml:space="preserve"> need to be addressed</w:t>
      </w:r>
      <w:r w:rsidR="00AA7011">
        <w:t xml:space="preserve">. </w:t>
      </w:r>
      <w:proofErr w:type="gramStart"/>
      <w:r>
        <w:t>Staff are</w:t>
      </w:r>
      <w:proofErr w:type="gramEnd"/>
      <w:r>
        <w:t xml:space="preserve"> fully engaged on the existing program and additional staff resources </w:t>
      </w:r>
      <w:r w:rsidR="00361D6C">
        <w:t xml:space="preserve">are needed </w:t>
      </w:r>
      <w:r>
        <w:t>to support increased programming</w:t>
      </w:r>
      <w:r w:rsidR="00AA7011">
        <w:t xml:space="preserve">. </w:t>
      </w:r>
    </w:p>
    <w:p w:rsidR="0045354B" w:rsidRDefault="0045354B" w:rsidP="0045354B">
      <w:pPr>
        <w:pStyle w:val="BodyText"/>
      </w:pPr>
      <w:r w:rsidRPr="006876B7">
        <w:rPr>
          <w:b/>
        </w:rPr>
        <w:t>Gender</w:t>
      </w:r>
      <w:r w:rsidRPr="005023B7">
        <w:t xml:space="preserve"> work</w:t>
      </w:r>
      <w:r>
        <w:t xml:space="preserve"> will continue in 2011, including in-depth training for a second gender focal point and more general training for all Post staff</w:t>
      </w:r>
      <w:r w:rsidR="00AA7011">
        <w:t xml:space="preserve">. </w:t>
      </w:r>
      <w:r>
        <w:t xml:space="preserve">A local consultant will work with staff to identify areas to be strengthened under each strategy pillar (building on the gender stocktake) and to develop </w:t>
      </w:r>
      <w:r w:rsidR="0038409F">
        <w:t>work plan</w:t>
      </w:r>
      <w:r>
        <w:t>s to be implemented in 2011</w:t>
      </w:r>
      <w:r w:rsidR="00151018">
        <w:t>–</w:t>
      </w:r>
      <w:r>
        <w:t>12</w:t>
      </w:r>
      <w:r w:rsidR="00AA7011">
        <w:t xml:space="preserve">. </w:t>
      </w:r>
      <w:r>
        <w:t xml:space="preserve">Specific gender activities planned for 2011 include a comic book competition to raise awareness of gender issues in secondary schools and initiation of </w:t>
      </w:r>
      <w:r w:rsidR="004731CC">
        <w:t>w</w:t>
      </w:r>
      <w:r>
        <w:t xml:space="preserve">omen in </w:t>
      </w:r>
      <w:r w:rsidR="004731CC">
        <w:t>l</w:t>
      </w:r>
      <w:r>
        <w:t>eadership activities with Australian alumni.</w:t>
      </w:r>
    </w:p>
    <w:p w:rsidR="0045354B" w:rsidRDefault="0045354B" w:rsidP="0045354B">
      <w:pPr>
        <w:pStyle w:val="BodyText"/>
        <w:sectPr w:rsidR="0045354B" w:rsidSect="001426FC">
          <w:headerReference w:type="even" r:id="rId17"/>
          <w:footerReference w:type="even" r:id="rId18"/>
          <w:footerReference w:type="default" r:id="rId19"/>
          <w:footerReference w:type="first" r:id="rId20"/>
          <w:pgSz w:w="11907" w:h="16840" w:code="9"/>
          <w:pgMar w:top="2381" w:right="2155" w:bottom="851" w:left="1814" w:header="851" w:footer="340" w:gutter="0"/>
          <w:cols w:space="720"/>
          <w:titlePg/>
        </w:sectPr>
      </w:pPr>
      <w:r>
        <w:t xml:space="preserve">Milestones to assess performance in 2011 are included in the </w:t>
      </w:r>
      <w:r w:rsidR="007D2E99">
        <w:t>P</w:t>
      </w:r>
      <w:r>
        <w:t xml:space="preserve">erformance </w:t>
      </w:r>
      <w:r w:rsidR="007D2E99">
        <w:t>A</w:t>
      </w:r>
      <w:r>
        <w:t xml:space="preserve">ssessment </w:t>
      </w:r>
      <w:r w:rsidR="00BB2B46">
        <w:t>F</w:t>
      </w:r>
      <w:r>
        <w:t>ramework at Annex A</w:t>
      </w:r>
      <w:r w:rsidR="00AA7011">
        <w:t xml:space="preserve">. </w:t>
      </w:r>
      <w:r>
        <w:t>The proposed program</w:t>
      </w:r>
      <w:r w:rsidR="00361D6C">
        <w:t xml:space="preserve"> </w:t>
      </w:r>
      <w:r>
        <w:t xml:space="preserve">Top 5 milestones are also shown at Annex B. </w:t>
      </w:r>
    </w:p>
    <w:p w:rsidR="0045354B" w:rsidRDefault="0045354B" w:rsidP="0045354B">
      <w:pPr>
        <w:pStyle w:val="Heading2"/>
        <w:keepNext/>
        <w:ind w:left="0"/>
      </w:pPr>
      <w:bookmarkStart w:id="19" w:name="_Toc360989292"/>
      <w:r>
        <w:lastRenderedPageBreak/>
        <w:t>Annex A</w:t>
      </w:r>
      <w:r w:rsidR="006C00A1">
        <w:t>—</w:t>
      </w:r>
      <w:r>
        <w:t>Performance Assessment Framework</w:t>
      </w:r>
      <w:r w:rsidR="006C00A1">
        <w:t>—</w:t>
      </w:r>
      <w:r>
        <w:t xml:space="preserve">2010 and 2011 </w:t>
      </w:r>
      <w:r w:rsidR="004731CC">
        <w:t>m</w:t>
      </w:r>
      <w:r>
        <w:t>ilestones</w:t>
      </w:r>
      <w:bookmarkEnd w:id="19"/>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1651"/>
        <w:gridCol w:w="2640"/>
        <w:gridCol w:w="3029"/>
        <w:gridCol w:w="3120"/>
        <w:gridCol w:w="3120"/>
      </w:tblGrid>
      <w:tr w:rsidR="0045354B" w:rsidRPr="006A7709" w:rsidTr="00427331">
        <w:trPr>
          <w:trHeight w:val="507"/>
          <w:tblHeader/>
        </w:trPr>
        <w:tc>
          <w:tcPr>
            <w:tcW w:w="15588" w:type="dxa"/>
            <w:gridSpan w:val="6"/>
            <w:shd w:val="clear" w:color="auto" w:fill="99CCFF"/>
          </w:tcPr>
          <w:p w:rsidR="0045354B" w:rsidRPr="006A7709" w:rsidRDefault="0045354B" w:rsidP="004A035D">
            <w:pPr>
              <w:pStyle w:val="Caption2"/>
            </w:pPr>
            <w:r w:rsidRPr="006A7709">
              <w:t>Australia</w:t>
            </w:r>
            <w:r w:rsidR="006C00A1">
              <w:t xml:space="preserve"> – </w:t>
            </w:r>
            <w:r w:rsidRPr="006A7709">
              <w:t xml:space="preserve">Laos Development Cooperation Strategy Performance Assessment Framework  </w:t>
            </w:r>
          </w:p>
        </w:tc>
      </w:tr>
      <w:tr w:rsidR="0045354B" w:rsidRPr="006A7709" w:rsidTr="00427331">
        <w:trPr>
          <w:trHeight w:val="637"/>
          <w:tblHeader/>
        </w:trPr>
        <w:tc>
          <w:tcPr>
            <w:tcW w:w="15588" w:type="dxa"/>
            <w:gridSpan w:val="6"/>
            <w:tcBorders>
              <w:bottom w:val="single" w:sz="4" w:space="0" w:color="auto"/>
            </w:tcBorders>
            <w:shd w:val="clear" w:color="auto" w:fill="99CCFF"/>
          </w:tcPr>
          <w:p w:rsidR="004A035D" w:rsidRPr="004A035D" w:rsidRDefault="0045354B" w:rsidP="004A035D">
            <w:pPr>
              <w:pStyle w:val="Caption2"/>
            </w:pPr>
            <w:r w:rsidRPr="006A7709">
              <w:t xml:space="preserve">Goal: To assist Laos reduce poverty and achieve sustainable </w:t>
            </w:r>
            <w:r w:rsidRPr="004A035D">
              <w:t>development</w:t>
            </w:r>
          </w:p>
        </w:tc>
      </w:tr>
      <w:tr w:rsidR="0045354B" w:rsidRPr="006A7709" w:rsidTr="00427331">
        <w:trPr>
          <w:tblHeader/>
        </w:trPr>
        <w:tc>
          <w:tcPr>
            <w:tcW w:w="2028" w:type="dxa"/>
            <w:shd w:val="clear" w:color="auto" w:fill="D9D9D9"/>
          </w:tcPr>
          <w:p w:rsidR="0045354B" w:rsidRPr="006A7709" w:rsidRDefault="0045354B" w:rsidP="001426FC">
            <w:pPr>
              <w:pStyle w:val="TableHeading1"/>
            </w:pPr>
            <w:bookmarkStart w:id="20" w:name="_Hlk207556521"/>
            <w:r w:rsidRPr="006A7709">
              <w:t xml:space="preserve">Laos development outcomes 2015 </w:t>
            </w:r>
          </w:p>
        </w:tc>
        <w:tc>
          <w:tcPr>
            <w:tcW w:w="1651" w:type="dxa"/>
            <w:shd w:val="clear" w:color="auto" w:fill="D9D9D9"/>
          </w:tcPr>
          <w:p w:rsidR="0045354B" w:rsidRPr="006A7709" w:rsidRDefault="0045354B" w:rsidP="001426FC">
            <w:pPr>
              <w:pStyle w:val="TableHeading1"/>
            </w:pPr>
            <w:r w:rsidRPr="006A7709">
              <w:t>Government of Australia country strategy objectives 2015</w:t>
            </w:r>
          </w:p>
        </w:tc>
        <w:tc>
          <w:tcPr>
            <w:tcW w:w="2640" w:type="dxa"/>
            <w:shd w:val="clear" w:color="auto" w:fill="D9D9D9"/>
          </w:tcPr>
          <w:p w:rsidR="0045354B" w:rsidRPr="006A7709" w:rsidRDefault="0045354B" w:rsidP="001426FC">
            <w:pPr>
              <w:pStyle w:val="TableHeading1"/>
            </w:pPr>
            <w:r w:rsidRPr="006A7709">
              <w:t>Strategy objective indicators  (2015)</w:t>
            </w:r>
          </w:p>
        </w:tc>
        <w:tc>
          <w:tcPr>
            <w:tcW w:w="3029" w:type="dxa"/>
            <w:shd w:val="clear" w:color="auto" w:fill="D9D9D9"/>
          </w:tcPr>
          <w:p w:rsidR="0045354B" w:rsidRPr="006A7709" w:rsidRDefault="0045354B" w:rsidP="001426FC">
            <w:pPr>
              <w:pStyle w:val="TableHeading1"/>
            </w:pPr>
            <w:r w:rsidRPr="006A7709">
              <w:t>2010 milestone targets</w:t>
            </w:r>
          </w:p>
        </w:tc>
        <w:tc>
          <w:tcPr>
            <w:tcW w:w="3120" w:type="dxa"/>
            <w:shd w:val="clear" w:color="auto" w:fill="D9D9D9"/>
          </w:tcPr>
          <w:p w:rsidR="0045354B" w:rsidRPr="006A7709" w:rsidRDefault="0045354B" w:rsidP="001426FC">
            <w:pPr>
              <w:pStyle w:val="TableHeading1"/>
            </w:pPr>
            <w:r w:rsidRPr="006A7709">
              <w:t xml:space="preserve">2010 milestone achievements </w:t>
            </w:r>
          </w:p>
        </w:tc>
        <w:tc>
          <w:tcPr>
            <w:tcW w:w="3120" w:type="dxa"/>
            <w:shd w:val="clear" w:color="auto" w:fill="D9D9D9"/>
          </w:tcPr>
          <w:p w:rsidR="0045354B" w:rsidRPr="006A7709" w:rsidRDefault="0045354B" w:rsidP="001426FC">
            <w:pPr>
              <w:pStyle w:val="TableHeading1"/>
            </w:pPr>
            <w:r w:rsidRPr="006A7709">
              <w:t>2011 milestones</w:t>
            </w:r>
          </w:p>
        </w:tc>
      </w:tr>
      <w:bookmarkEnd w:id="20"/>
      <w:tr w:rsidR="0045354B" w:rsidRPr="006A7709" w:rsidTr="00427331">
        <w:trPr>
          <w:trHeight w:val="529"/>
          <w:tblHeader/>
        </w:trPr>
        <w:tc>
          <w:tcPr>
            <w:tcW w:w="2028" w:type="dxa"/>
            <w:tcBorders>
              <w:bottom w:val="single" w:sz="4" w:space="0" w:color="auto"/>
            </w:tcBorders>
            <w:shd w:val="clear" w:color="auto" w:fill="D9D9D9"/>
          </w:tcPr>
          <w:p w:rsidR="0045354B" w:rsidRPr="006A7709" w:rsidRDefault="004731CC" w:rsidP="004731CC">
            <w:pPr>
              <w:pStyle w:val="TableHeading2"/>
            </w:pPr>
            <w:r>
              <w:t>W</w:t>
            </w:r>
            <w:r w:rsidR="0045354B" w:rsidRPr="006A7709">
              <w:t>hat our strategy objectives are expected to influence</w:t>
            </w:r>
            <w:r>
              <w:t>?</w:t>
            </w:r>
          </w:p>
        </w:tc>
        <w:tc>
          <w:tcPr>
            <w:tcW w:w="1651" w:type="dxa"/>
            <w:tcBorders>
              <w:bottom w:val="single" w:sz="4" w:space="0" w:color="auto"/>
            </w:tcBorders>
            <w:shd w:val="clear" w:color="auto" w:fill="D9D9D9"/>
          </w:tcPr>
          <w:p w:rsidR="0045354B" w:rsidRPr="006A7709" w:rsidRDefault="004731CC" w:rsidP="004731CC">
            <w:pPr>
              <w:pStyle w:val="TableHeading2"/>
            </w:pPr>
            <w:r>
              <w:t>W</w:t>
            </w:r>
            <w:r w:rsidR="0045354B" w:rsidRPr="006A7709">
              <w:t xml:space="preserve">here </w:t>
            </w:r>
            <w:r>
              <w:t xml:space="preserve">does </w:t>
            </w:r>
            <w:r w:rsidR="0045354B" w:rsidRPr="006A7709">
              <w:t>Australian aid add value</w:t>
            </w:r>
            <w:r>
              <w:t>?</w:t>
            </w:r>
          </w:p>
        </w:tc>
        <w:tc>
          <w:tcPr>
            <w:tcW w:w="2640" w:type="dxa"/>
            <w:tcBorders>
              <w:bottom w:val="single" w:sz="4" w:space="0" w:color="auto"/>
            </w:tcBorders>
            <w:shd w:val="clear" w:color="auto" w:fill="D9D9D9"/>
          </w:tcPr>
          <w:p w:rsidR="0045354B" w:rsidRPr="006A7709" w:rsidRDefault="004731CC" w:rsidP="004731CC">
            <w:pPr>
              <w:pStyle w:val="TableHeading2"/>
            </w:pPr>
            <w:r>
              <w:t>H</w:t>
            </w:r>
            <w:r w:rsidR="0045354B" w:rsidRPr="006A7709">
              <w:t>ow we know if we have achieved our objectives</w:t>
            </w:r>
            <w:r>
              <w:t>?</w:t>
            </w:r>
            <w:r w:rsidR="0045354B" w:rsidRPr="006A7709">
              <w:t xml:space="preserve"> </w:t>
            </w:r>
          </w:p>
        </w:tc>
        <w:tc>
          <w:tcPr>
            <w:tcW w:w="3029" w:type="dxa"/>
            <w:tcBorders>
              <w:bottom w:val="single" w:sz="4" w:space="0" w:color="auto"/>
            </w:tcBorders>
            <w:shd w:val="clear" w:color="auto" w:fill="D9D9D9"/>
          </w:tcPr>
          <w:p w:rsidR="0045354B" w:rsidRPr="006A7709" w:rsidRDefault="004731CC" w:rsidP="004731CC">
            <w:pPr>
              <w:pStyle w:val="TableHeading2"/>
            </w:pPr>
            <w:r>
              <w:t>H</w:t>
            </w:r>
            <w:r w:rsidR="0045354B" w:rsidRPr="006A7709">
              <w:t>ow</w:t>
            </w:r>
            <w:r>
              <w:t xml:space="preserve"> will</w:t>
            </w:r>
            <w:r w:rsidR="0045354B" w:rsidRPr="006A7709">
              <w:t xml:space="preserve"> we track progress towards strategy objectives</w:t>
            </w:r>
            <w:r>
              <w:t>?</w:t>
            </w:r>
          </w:p>
        </w:tc>
        <w:tc>
          <w:tcPr>
            <w:tcW w:w="3120" w:type="dxa"/>
            <w:tcBorders>
              <w:bottom w:val="single" w:sz="4" w:space="0" w:color="auto"/>
            </w:tcBorders>
            <w:shd w:val="clear" w:color="auto" w:fill="D9D9D9"/>
          </w:tcPr>
          <w:p w:rsidR="0045354B" w:rsidRPr="006A7709" w:rsidRDefault="0045354B" w:rsidP="001426FC">
            <w:pPr>
              <w:pStyle w:val="TableHeading2"/>
            </w:pPr>
            <w:r w:rsidRPr="006A7709">
              <w:t>- strategy objective performance in 2010</w:t>
            </w:r>
          </w:p>
        </w:tc>
        <w:tc>
          <w:tcPr>
            <w:tcW w:w="3120" w:type="dxa"/>
            <w:tcBorders>
              <w:bottom w:val="single" w:sz="4" w:space="0" w:color="auto"/>
            </w:tcBorders>
            <w:shd w:val="clear" w:color="auto" w:fill="D9D9D9"/>
          </w:tcPr>
          <w:p w:rsidR="0045354B" w:rsidRPr="006A7709" w:rsidRDefault="0045354B" w:rsidP="001426FC">
            <w:pPr>
              <w:pStyle w:val="TableHeading2"/>
            </w:pPr>
            <w:r w:rsidRPr="006A7709">
              <w:t>- strategy objective performance targets for 2011</w:t>
            </w:r>
          </w:p>
        </w:tc>
      </w:tr>
      <w:tr w:rsidR="0045354B" w:rsidRPr="00FD5A42" w:rsidTr="00427331">
        <w:trPr>
          <w:trHeight w:val="343"/>
        </w:trPr>
        <w:tc>
          <w:tcPr>
            <w:tcW w:w="15588" w:type="dxa"/>
            <w:gridSpan w:val="6"/>
            <w:shd w:val="clear" w:color="auto" w:fill="99CC00"/>
          </w:tcPr>
          <w:p w:rsidR="0045354B" w:rsidRPr="00FD5A42" w:rsidRDefault="0045354B" w:rsidP="001426FC">
            <w:pPr>
              <w:pStyle w:val="TableHeading1"/>
              <w:rPr>
                <w:b/>
              </w:rPr>
            </w:pPr>
            <w:r w:rsidRPr="00FD5A42">
              <w:rPr>
                <w:b/>
              </w:rPr>
              <w:t>Pillar 1: Education</w:t>
            </w:r>
          </w:p>
        </w:tc>
      </w:tr>
      <w:tr w:rsidR="0045354B" w:rsidRPr="00A45290" w:rsidTr="00427331">
        <w:tc>
          <w:tcPr>
            <w:tcW w:w="2028" w:type="dxa"/>
            <w:vMerge w:val="restart"/>
            <w:shd w:val="clear" w:color="auto" w:fill="auto"/>
          </w:tcPr>
          <w:p w:rsidR="0045354B" w:rsidRPr="00A45290" w:rsidRDefault="0045354B" w:rsidP="001426FC">
            <w:pPr>
              <w:pStyle w:val="TableTextEntries"/>
            </w:pPr>
            <w:r w:rsidRPr="00A45290">
              <w:t>(All boys and girls complete a full course of quality primary education</w:t>
            </w:r>
          </w:p>
          <w:p w:rsidR="0045354B" w:rsidRPr="00A45290" w:rsidRDefault="0045354B" w:rsidP="008558F6">
            <w:pPr>
              <w:pStyle w:val="TableTextEntries"/>
              <w:spacing w:before="240"/>
              <w:rPr>
                <w:bCs/>
              </w:rPr>
            </w:pPr>
            <w:r w:rsidRPr="00A45290">
              <w:rPr>
                <w:b/>
                <w:bCs/>
              </w:rPr>
              <w:t xml:space="preserve">. </w:t>
            </w:r>
            <w:r w:rsidRPr="00A45290">
              <w:rPr>
                <w:bCs/>
              </w:rPr>
              <w:t xml:space="preserve">Net enrolment and completion rates for primary education increase nationally and in targeted geographic areas  </w:t>
            </w:r>
          </w:p>
          <w:p w:rsidR="0045354B" w:rsidRPr="00A45290" w:rsidRDefault="00AA7011" w:rsidP="001426FC">
            <w:pPr>
              <w:pStyle w:val="TableTextEntries"/>
              <w:rPr>
                <w:bCs/>
              </w:rPr>
            </w:pPr>
            <w:r>
              <w:rPr>
                <w:bCs/>
              </w:rPr>
              <w:t xml:space="preserve">. </w:t>
            </w:r>
            <w:r w:rsidR="0045354B" w:rsidRPr="00A45290">
              <w:rPr>
                <w:bCs/>
              </w:rPr>
              <w:t>survival rates for primary education increase nationally and in targeted geographic areas</w:t>
            </w:r>
          </w:p>
          <w:p w:rsidR="0045354B" w:rsidRPr="00A45290" w:rsidRDefault="00AA7011" w:rsidP="001426FC">
            <w:pPr>
              <w:pStyle w:val="TableTextEntries"/>
              <w:rPr>
                <w:bCs/>
              </w:rPr>
            </w:pPr>
            <w:r>
              <w:rPr>
                <w:bCs/>
              </w:rPr>
              <w:t xml:space="preserve">. </w:t>
            </w:r>
            <w:r w:rsidR="0045354B" w:rsidRPr="00A45290">
              <w:rPr>
                <w:bCs/>
              </w:rPr>
              <w:t>ratio of boys to girls enrolled increases nationally and in targeted geographic areas</w:t>
            </w:r>
          </w:p>
          <w:p w:rsidR="0045354B" w:rsidRPr="00A45290" w:rsidRDefault="00AA7011" w:rsidP="001426FC">
            <w:pPr>
              <w:pStyle w:val="TableTextEntries"/>
            </w:pPr>
            <w:r>
              <w:rPr>
                <w:bCs/>
              </w:rPr>
              <w:t xml:space="preserve">. </w:t>
            </w:r>
            <w:r w:rsidR="0045354B" w:rsidRPr="00A45290">
              <w:rPr>
                <w:bCs/>
              </w:rPr>
              <w:t xml:space="preserve">learning quality </w:t>
            </w:r>
            <w:r w:rsidR="0045354B" w:rsidRPr="00A45290">
              <w:rPr>
                <w:bCs/>
              </w:rPr>
              <w:lastRenderedPageBreak/>
              <w:t>increases nationally and in targeted geographic areas</w:t>
            </w:r>
          </w:p>
        </w:tc>
        <w:tc>
          <w:tcPr>
            <w:tcW w:w="1651" w:type="dxa"/>
            <w:tcBorders>
              <w:bottom w:val="single" w:sz="4" w:space="0" w:color="auto"/>
            </w:tcBorders>
            <w:shd w:val="clear" w:color="auto" w:fill="auto"/>
          </w:tcPr>
          <w:p w:rsidR="0045354B" w:rsidRPr="00A45290" w:rsidRDefault="0045354B" w:rsidP="001426FC">
            <w:pPr>
              <w:pStyle w:val="TableTextEntries"/>
            </w:pPr>
            <w:r w:rsidRPr="00A45290">
              <w:lastRenderedPageBreak/>
              <w:t>Mitigation of key constraints to equitable access to a quality basic education in targeted poor geographic areas</w:t>
            </w:r>
          </w:p>
        </w:tc>
        <w:tc>
          <w:tcPr>
            <w:tcW w:w="2640" w:type="dxa"/>
            <w:tcBorders>
              <w:bottom w:val="single" w:sz="4" w:space="0" w:color="auto"/>
            </w:tcBorders>
            <w:shd w:val="clear" w:color="auto" w:fill="auto"/>
          </w:tcPr>
          <w:p w:rsidR="0045354B" w:rsidRPr="00A45290" w:rsidRDefault="0045354B" w:rsidP="001426FC">
            <w:pPr>
              <w:pStyle w:val="TableTextEntries"/>
            </w:pPr>
            <w:r w:rsidRPr="00A45290">
              <w:t xml:space="preserve">In the 56 most educationally disadvantaged districts: </w:t>
            </w:r>
          </w:p>
          <w:p w:rsidR="0045354B" w:rsidRPr="00A45290" w:rsidRDefault="0045354B" w:rsidP="001426FC">
            <w:pPr>
              <w:pStyle w:val="TableTextEntries"/>
            </w:pPr>
            <w:r w:rsidRPr="00A45290">
              <w:t xml:space="preserve">1. Appropriate school infrastructure for primary and pre-primary schools provided and maintained according to </w:t>
            </w:r>
            <w:r>
              <w:t>Ministry of Education</w:t>
            </w:r>
            <w:r w:rsidRPr="00A45290">
              <w:t xml:space="preserve"> quality minimum standards, including water and sanitation facilities</w:t>
            </w:r>
          </w:p>
          <w:p w:rsidR="0045354B" w:rsidRPr="00A45290" w:rsidRDefault="0045354B" w:rsidP="001426FC">
            <w:pPr>
              <w:pStyle w:val="TableTextEntries"/>
            </w:pPr>
            <w:r w:rsidRPr="00A45290">
              <w:t>2.Schools of Quality</w:t>
            </w:r>
            <w:r w:rsidR="00E61675">
              <w:t xml:space="preserve"> </w:t>
            </w:r>
            <w:r w:rsidRPr="00A45290">
              <w:t xml:space="preserve">approach is implemented </w:t>
            </w:r>
          </w:p>
          <w:p w:rsidR="0045354B" w:rsidRPr="00A45290" w:rsidRDefault="0045354B" w:rsidP="001426FC">
            <w:pPr>
              <w:pStyle w:val="TableTextEntries"/>
            </w:pPr>
            <w:r w:rsidRPr="00A45290">
              <w:t xml:space="preserve">2.1   number of schools meeting schools of quality criteria  </w:t>
            </w:r>
          </w:p>
          <w:p w:rsidR="0045354B" w:rsidRPr="00A45290" w:rsidRDefault="0045354B" w:rsidP="001426FC">
            <w:pPr>
              <w:pStyle w:val="TableTextEntries"/>
            </w:pPr>
            <w:r w:rsidRPr="00A45290">
              <w:t>2.2   number of schools upgraded to meet physical quality standards</w:t>
            </w:r>
          </w:p>
          <w:p w:rsidR="0045354B" w:rsidRPr="00A45290" w:rsidRDefault="0045354B" w:rsidP="001426FC">
            <w:pPr>
              <w:pStyle w:val="TableTextEntries"/>
            </w:pPr>
            <w:r w:rsidRPr="00A45290">
              <w:t xml:space="preserve">2.3 </w:t>
            </w:r>
            <w:r w:rsidR="00E61675">
              <w:t>i</w:t>
            </w:r>
            <w:r w:rsidRPr="00A45290">
              <w:t>ncrease of number of qualified teachers at Pre-primary and Primary level</w:t>
            </w:r>
          </w:p>
          <w:p w:rsidR="0045354B" w:rsidRPr="00A45290" w:rsidRDefault="0045354B" w:rsidP="001426FC">
            <w:pPr>
              <w:pStyle w:val="TableTextEntries"/>
            </w:pPr>
            <w:r w:rsidRPr="00A45290">
              <w:t xml:space="preserve">2.4 Village Education </w:t>
            </w:r>
            <w:r w:rsidRPr="006876B7">
              <w:t xml:space="preserve">Development Committees </w:t>
            </w:r>
            <w:r w:rsidRPr="006876B7">
              <w:lastRenderedPageBreak/>
              <w:t xml:space="preserve">functioning effectively </w:t>
            </w:r>
          </w:p>
          <w:p w:rsidR="0045354B" w:rsidRPr="00A45290" w:rsidRDefault="0045354B" w:rsidP="001426FC">
            <w:pPr>
              <w:pStyle w:val="TableTextEntries"/>
            </w:pPr>
            <w:r w:rsidRPr="00A45290">
              <w:t>3</w:t>
            </w:r>
            <w:r w:rsidR="00AA7011">
              <w:t xml:space="preserve">. </w:t>
            </w:r>
            <w:r w:rsidRPr="00A45290">
              <w:t xml:space="preserve">Non-formal approaches for pre-primary and primary education working effectively in remote villages where formal education is not available </w:t>
            </w:r>
          </w:p>
          <w:p w:rsidR="0045354B" w:rsidRPr="00A45290" w:rsidRDefault="0045354B" w:rsidP="001426FC">
            <w:pPr>
              <w:pStyle w:val="TableTextEntries"/>
              <w:rPr>
                <w:color w:val="FF0000"/>
              </w:rPr>
            </w:pPr>
          </w:p>
        </w:tc>
        <w:tc>
          <w:tcPr>
            <w:tcW w:w="3029" w:type="dxa"/>
            <w:tcBorders>
              <w:bottom w:val="single" w:sz="4" w:space="0" w:color="auto"/>
            </w:tcBorders>
            <w:shd w:val="clear" w:color="auto" w:fill="auto"/>
          </w:tcPr>
          <w:p w:rsidR="0045354B" w:rsidRPr="00A45290" w:rsidRDefault="0045354B" w:rsidP="008558F6">
            <w:pPr>
              <w:pStyle w:val="TableTextEntries"/>
              <w:spacing w:before="240"/>
            </w:pPr>
            <w:r w:rsidRPr="00A45290">
              <w:lastRenderedPageBreak/>
              <w:t>1</w:t>
            </w:r>
            <w:r w:rsidR="00AA7011">
              <w:t xml:space="preserve">. </w:t>
            </w:r>
            <w:r w:rsidRPr="00A45290">
              <w:t xml:space="preserve">Lessons learned from Community Based Construction review incorporated into </w:t>
            </w:r>
            <w:r w:rsidR="008D3453" w:rsidRPr="00A45290">
              <w:t>Community Based Construction</w:t>
            </w:r>
            <w:r w:rsidRPr="00A45290">
              <w:t xml:space="preserve"> </w:t>
            </w:r>
            <w:r w:rsidR="004731CC">
              <w:t>o</w:t>
            </w:r>
            <w:r w:rsidRPr="00A45290">
              <w:t xml:space="preserve">perational </w:t>
            </w:r>
            <w:r w:rsidR="004731CC">
              <w:t>m</w:t>
            </w:r>
            <w:r w:rsidRPr="00A45290">
              <w:t xml:space="preserve">anual and training workshops; safety audit undertaken on all </w:t>
            </w:r>
            <w:r w:rsidR="003C6425" w:rsidRPr="003C6425">
              <w:t>Education Development Program Phase 2</w:t>
            </w:r>
            <w:r w:rsidRPr="00A45290">
              <w:t xml:space="preserve"> schools </w:t>
            </w:r>
          </w:p>
          <w:p w:rsidR="0045354B" w:rsidRPr="00A45290" w:rsidRDefault="0045354B" w:rsidP="001426FC">
            <w:pPr>
              <w:pStyle w:val="TableTextEntries"/>
            </w:pPr>
            <w:r w:rsidRPr="00A45290">
              <w:t xml:space="preserve">2.1  487 schools (bringing program total to 953 schools) meet schools of quality criteria (teaching resource kits, health and hygiene kits distributed to all schools and </w:t>
            </w:r>
            <w:r w:rsidR="00E61675" w:rsidRPr="00A45290">
              <w:t>Schools of Quality</w:t>
            </w:r>
            <w:r w:rsidRPr="00A45290">
              <w:t xml:space="preserve"> training)</w:t>
            </w:r>
          </w:p>
          <w:p w:rsidR="0045354B" w:rsidRPr="00A45290" w:rsidRDefault="0045354B" w:rsidP="001426FC">
            <w:pPr>
              <w:pStyle w:val="TableTextEntries"/>
            </w:pPr>
            <w:r w:rsidRPr="00A45290">
              <w:t xml:space="preserve">2.2  </w:t>
            </w:r>
            <w:r w:rsidRPr="00A45290">
              <w:rPr>
                <w:color w:val="000000"/>
              </w:rPr>
              <w:t>latrines constructed and hygiene kits and training provided to 48 schools for use by 7</w:t>
            </w:r>
            <w:r w:rsidR="00546008">
              <w:rPr>
                <w:color w:val="000000"/>
              </w:rPr>
              <w:t>,</w:t>
            </w:r>
            <w:r w:rsidRPr="00A45290">
              <w:rPr>
                <w:color w:val="000000"/>
              </w:rPr>
              <w:t>200 primary school children and 336 teachers</w:t>
            </w:r>
          </w:p>
          <w:p w:rsidR="0045354B" w:rsidRPr="00A45290" w:rsidRDefault="0045354B" w:rsidP="001426FC">
            <w:pPr>
              <w:pStyle w:val="TableTextEntries"/>
              <w:rPr>
                <w:i/>
                <w:color w:val="000000"/>
              </w:rPr>
            </w:pPr>
            <w:r w:rsidRPr="00A45290">
              <w:rPr>
                <w:color w:val="000000"/>
              </w:rPr>
              <w:t>2.3  Training will not begin until 2011</w:t>
            </w:r>
          </w:p>
          <w:p w:rsidR="0045354B" w:rsidRPr="00A45290" w:rsidRDefault="0045354B" w:rsidP="001426FC">
            <w:pPr>
              <w:pStyle w:val="TableTextEntries"/>
            </w:pPr>
            <w:r w:rsidRPr="00A45290">
              <w:t xml:space="preserve">2.4  Village Education Development Committees </w:t>
            </w:r>
            <w:r>
              <w:t xml:space="preserve"> </w:t>
            </w:r>
            <w:r w:rsidRPr="00A45290">
              <w:t xml:space="preserve">in 487 villages trained </w:t>
            </w:r>
            <w:r w:rsidRPr="00A45290">
              <w:lastRenderedPageBreak/>
              <w:t xml:space="preserve">support school management </w:t>
            </w:r>
          </w:p>
          <w:p w:rsidR="0045354B" w:rsidRPr="00A45290" w:rsidRDefault="0045354B" w:rsidP="001426FC">
            <w:pPr>
              <w:pStyle w:val="TableTextEntries"/>
            </w:pPr>
            <w:r w:rsidRPr="00A45290">
              <w:t xml:space="preserve"> 2.5 Grant agreements between AusAID and WFP, UNICEF and UNESCO signed and implementation of year one of the EFA</w:t>
            </w:r>
            <w:r w:rsidR="00F001A2">
              <w:t xml:space="preserve"> </w:t>
            </w:r>
            <w:r w:rsidR="00151018">
              <w:t>-</w:t>
            </w:r>
            <w:r w:rsidR="00F001A2" w:rsidRPr="00CB62DE">
              <w:rPr>
                <w:lang w:val="en-GB"/>
              </w:rPr>
              <w:t>Fast Track Initiative</w:t>
            </w:r>
            <w:r w:rsidRPr="00A45290">
              <w:t xml:space="preserve"> program commenced. </w:t>
            </w:r>
          </w:p>
          <w:p w:rsidR="0045354B" w:rsidRPr="00A45290" w:rsidRDefault="0045354B" w:rsidP="001426FC">
            <w:pPr>
              <w:pStyle w:val="TableTextEntries"/>
            </w:pPr>
            <w:r w:rsidRPr="00A45290">
              <w:t>3</w:t>
            </w:r>
            <w:r w:rsidR="00AA7011">
              <w:t xml:space="preserve">. </w:t>
            </w:r>
            <w:r w:rsidRPr="00A45290">
              <w:t>Revision/development process for non-formal primary education equivalency framework finalised, target villages nominated, and development of teaching and learning material commenced</w:t>
            </w:r>
          </w:p>
        </w:tc>
        <w:tc>
          <w:tcPr>
            <w:tcW w:w="3120" w:type="dxa"/>
            <w:tcBorders>
              <w:bottom w:val="single" w:sz="4" w:space="0" w:color="auto"/>
            </w:tcBorders>
            <w:shd w:val="clear" w:color="auto" w:fill="auto"/>
          </w:tcPr>
          <w:p w:rsidR="0045354B" w:rsidRPr="00A45290" w:rsidRDefault="0045354B" w:rsidP="008558F6">
            <w:pPr>
              <w:pStyle w:val="TableTextEntries"/>
              <w:spacing w:before="240"/>
              <w:rPr>
                <w:b/>
              </w:rPr>
            </w:pPr>
            <w:r w:rsidRPr="00A45290">
              <w:rPr>
                <w:b/>
              </w:rPr>
              <w:lastRenderedPageBreak/>
              <w:t>1</w:t>
            </w:r>
            <w:r w:rsidR="00AA7011">
              <w:rPr>
                <w:b/>
              </w:rPr>
              <w:t xml:space="preserve">. </w:t>
            </w:r>
            <w:r w:rsidR="008D3453">
              <w:rPr>
                <w:b/>
              </w:rPr>
              <w:t>Milestone predominantly met</w:t>
            </w:r>
            <w:r w:rsidRPr="00A45290">
              <w:rPr>
                <w:b/>
              </w:rPr>
              <w:t xml:space="preserve"> </w:t>
            </w:r>
          </w:p>
          <w:p w:rsidR="0045354B" w:rsidRPr="00A45290" w:rsidRDefault="0045354B" w:rsidP="001426FC">
            <w:pPr>
              <w:pStyle w:val="TableTextEntries"/>
            </w:pPr>
            <w:r w:rsidRPr="00A45290">
              <w:t>1.1</w:t>
            </w:r>
            <w:r w:rsidR="008D3453">
              <w:t xml:space="preserve"> </w:t>
            </w:r>
            <w:r w:rsidR="008D3453" w:rsidRPr="00A45290">
              <w:t>Community Based Construction</w:t>
            </w:r>
            <w:r w:rsidRPr="00A45290">
              <w:t xml:space="preserve"> review carried out and recommendations have been incorporated </w:t>
            </w:r>
            <w:r w:rsidRPr="008D3453">
              <w:t xml:space="preserve">into </w:t>
            </w:r>
            <w:r w:rsidR="008D3453" w:rsidRPr="008D3453">
              <w:t>operations manuals</w:t>
            </w:r>
            <w:r w:rsidR="00AA7011" w:rsidRPr="008D3453">
              <w:t xml:space="preserve">. </w:t>
            </w:r>
            <w:r w:rsidRPr="008D3453">
              <w:t xml:space="preserve">Outcomes of </w:t>
            </w:r>
            <w:r w:rsidR="008D3453" w:rsidRPr="00A45290">
              <w:t>Community Based Construction</w:t>
            </w:r>
            <w:r w:rsidRPr="008D3453">
              <w:t xml:space="preserve"> review was presented</w:t>
            </w:r>
            <w:r w:rsidRPr="00A45290">
              <w:t xml:space="preserve"> at training for district engineers</w:t>
            </w:r>
          </w:p>
          <w:p w:rsidR="0045354B" w:rsidRPr="00A45290" w:rsidRDefault="0045354B" w:rsidP="001426FC">
            <w:pPr>
              <w:pStyle w:val="TableTextEntries"/>
            </w:pPr>
            <w:r w:rsidRPr="00A45290">
              <w:t>1.2     Safety audit is still in process</w:t>
            </w:r>
          </w:p>
          <w:p w:rsidR="0045354B" w:rsidRPr="00A45290" w:rsidRDefault="0045354B" w:rsidP="001426FC">
            <w:pPr>
              <w:pStyle w:val="TableTextEntries"/>
              <w:rPr>
                <w:b/>
              </w:rPr>
            </w:pPr>
            <w:r w:rsidRPr="00A45290">
              <w:rPr>
                <w:b/>
              </w:rPr>
              <w:t>2</w:t>
            </w:r>
            <w:r w:rsidR="00AA7011">
              <w:rPr>
                <w:b/>
              </w:rPr>
              <w:t xml:space="preserve">. </w:t>
            </w:r>
            <w:r w:rsidR="00643D62">
              <w:rPr>
                <w:b/>
              </w:rPr>
              <w:t xml:space="preserve">Milestones met </w:t>
            </w:r>
          </w:p>
          <w:p w:rsidR="0045354B" w:rsidRPr="00A45290" w:rsidRDefault="0045354B" w:rsidP="001426FC">
            <w:pPr>
              <w:pStyle w:val="TableTextEntries"/>
            </w:pPr>
            <w:r w:rsidRPr="00A45290">
              <w:t xml:space="preserve">2.1    487 additional schools meet </w:t>
            </w:r>
            <w:r w:rsidR="008D3453" w:rsidRPr="00A45290">
              <w:t xml:space="preserve">Schools of Quality </w:t>
            </w:r>
            <w:r w:rsidRPr="00A45290">
              <w:t>criteria</w:t>
            </w:r>
            <w:r w:rsidR="00AA7011">
              <w:t xml:space="preserve">. </w:t>
            </w:r>
            <w:r w:rsidRPr="00A45290">
              <w:t>Cumulative total of 953 schools out of 1</w:t>
            </w:r>
            <w:r w:rsidR="008D3453">
              <w:t>,</w:t>
            </w:r>
            <w:r w:rsidRPr="00A45290">
              <w:t>200 representing 79</w:t>
            </w:r>
            <w:r w:rsidR="00151018">
              <w:t>%</w:t>
            </w:r>
            <w:r w:rsidRPr="00A45290">
              <w:t xml:space="preserve"> coverage.</w:t>
            </w:r>
          </w:p>
          <w:p w:rsidR="0045354B" w:rsidRPr="00A45290" w:rsidRDefault="0045354B" w:rsidP="001426FC">
            <w:pPr>
              <w:pStyle w:val="TableTextEntries"/>
            </w:pPr>
            <w:r w:rsidRPr="00A45290">
              <w:t xml:space="preserve">2.2 -  50 schools receive </w:t>
            </w:r>
            <w:r w:rsidR="00546008">
              <w:t xml:space="preserve">Water Sanitation and Hygiene </w:t>
            </w:r>
            <w:r w:rsidR="00546008" w:rsidRPr="00A45290">
              <w:t xml:space="preserve">Program </w:t>
            </w:r>
            <w:r w:rsidRPr="00A45290">
              <w:t>benefiting 6</w:t>
            </w:r>
            <w:r w:rsidR="00546008">
              <w:t>,</w:t>
            </w:r>
            <w:r w:rsidRPr="00A45290">
              <w:t>936 children (2</w:t>
            </w:r>
            <w:r w:rsidR="00546008">
              <w:t>,</w:t>
            </w:r>
            <w:r w:rsidRPr="00A45290">
              <w:t>987 girls) and 235 teachers</w:t>
            </w:r>
          </w:p>
          <w:p w:rsidR="0045354B" w:rsidRPr="00A45290" w:rsidRDefault="0045354B" w:rsidP="001426FC">
            <w:pPr>
              <w:pStyle w:val="TableTextEntries"/>
            </w:pPr>
            <w:r w:rsidRPr="00A45290">
              <w:t>2.3 -   no milestone set</w:t>
            </w:r>
          </w:p>
          <w:p w:rsidR="0045354B" w:rsidRPr="00A45290" w:rsidRDefault="0045354B" w:rsidP="001426FC">
            <w:pPr>
              <w:pStyle w:val="TableTextEntries"/>
            </w:pPr>
            <w:r w:rsidRPr="00A45290">
              <w:t>2.4 -   2</w:t>
            </w:r>
            <w:r w:rsidR="00643D62">
              <w:t>,</w:t>
            </w:r>
            <w:r w:rsidRPr="00A45290">
              <w:t xml:space="preserve">204 </w:t>
            </w:r>
            <w:r w:rsidR="00643D62" w:rsidRPr="00A45290">
              <w:t xml:space="preserve">Village Education </w:t>
            </w:r>
            <w:r w:rsidR="00643D62" w:rsidRPr="006876B7">
              <w:lastRenderedPageBreak/>
              <w:t>Development Committe</w:t>
            </w:r>
            <w:r w:rsidR="00643D62">
              <w:t>e</w:t>
            </w:r>
            <w:r w:rsidRPr="00A45290">
              <w:t xml:space="preserve"> members trained in 487 villages</w:t>
            </w:r>
          </w:p>
          <w:p w:rsidR="0045354B" w:rsidRPr="00A45290" w:rsidRDefault="0045354B" w:rsidP="001426FC">
            <w:pPr>
              <w:pStyle w:val="TableTextEntries"/>
            </w:pPr>
            <w:r w:rsidRPr="00A45290">
              <w:t>2.5    Grant agreements with UNICEF, WFP, UNESCO signed and implementation of year one of the program began</w:t>
            </w:r>
          </w:p>
          <w:p w:rsidR="0045354B" w:rsidRPr="00A45290" w:rsidRDefault="0045354B" w:rsidP="001426FC">
            <w:pPr>
              <w:pStyle w:val="TableTextEntries"/>
              <w:rPr>
                <w:b/>
              </w:rPr>
            </w:pPr>
            <w:r w:rsidRPr="00A45290">
              <w:rPr>
                <w:b/>
              </w:rPr>
              <w:t>3</w:t>
            </w:r>
            <w:r w:rsidR="00AA7011">
              <w:rPr>
                <w:b/>
              </w:rPr>
              <w:t xml:space="preserve">. </w:t>
            </w:r>
            <w:r w:rsidR="00704A0D">
              <w:rPr>
                <w:b/>
              </w:rPr>
              <w:t xml:space="preserve">Milestone met </w:t>
            </w:r>
          </w:p>
          <w:p w:rsidR="0045354B" w:rsidRPr="00A45290" w:rsidRDefault="0045354B" w:rsidP="001426FC">
            <w:pPr>
              <w:pStyle w:val="TableTextEntries"/>
            </w:pPr>
            <w:r w:rsidRPr="00A45290">
              <w:t>Work on framework, curriculum and teacher and learning materials commenced</w:t>
            </w:r>
          </w:p>
        </w:tc>
        <w:tc>
          <w:tcPr>
            <w:tcW w:w="3120" w:type="dxa"/>
            <w:tcBorders>
              <w:bottom w:val="single" w:sz="4" w:space="0" w:color="auto"/>
            </w:tcBorders>
          </w:tcPr>
          <w:p w:rsidR="0045354B" w:rsidRPr="00A45290" w:rsidRDefault="0045354B" w:rsidP="008558F6">
            <w:pPr>
              <w:pStyle w:val="TableTextEntries"/>
              <w:spacing w:before="240"/>
            </w:pPr>
            <w:r w:rsidRPr="00A45290">
              <w:lastRenderedPageBreak/>
              <w:t>1.1  195 additional schools completed (x</w:t>
            </w:r>
            <w:r w:rsidR="00151018">
              <w:t>%</w:t>
            </w:r>
            <w:r w:rsidRPr="00A45290">
              <w:t xml:space="preserve"> of targeted  schools) </w:t>
            </w:r>
          </w:p>
          <w:p w:rsidR="0045354B" w:rsidRPr="00A45290" w:rsidRDefault="0045354B" w:rsidP="001426FC">
            <w:pPr>
              <w:pStyle w:val="TableTextEntries"/>
            </w:pPr>
            <w:r w:rsidRPr="00A45290">
              <w:t>1.2  Safety audit completed and all serious remedial work completed</w:t>
            </w:r>
          </w:p>
          <w:p w:rsidR="0045354B" w:rsidRPr="00A45290" w:rsidRDefault="0045354B" w:rsidP="001426FC">
            <w:pPr>
              <w:pStyle w:val="TableTextEntries"/>
            </w:pPr>
            <w:r w:rsidRPr="00A45290">
              <w:t xml:space="preserve">2.1  750 additional schools </w:t>
            </w:r>
            <w:r>
              <w:t xml:space="preserve">upgraded to become </w:t>
            </w:r>
            <w:r w:rsidRPr="00A45290">
              <w:t>schools of quality criteria (x</w:t>
            </w:r>
            <w:r w:rsidR="00151018">
              <w:t>%</w:t>
            </w:r>
            <w:r w:rsidRPr="00A45290">
              <w:t xml:space="preserve"> of targeted schools) </w:t>
            </w:r>
          </w:p>
          <w:p w:rsidR="0045354B" w:rsidRPr="00A45290" w:rsidRDefault="0045354B" w:rsidP="001426FC">
            <w:pPr>
              <w:pStyle w:val="TableTextEntries"/>
            </w:pPr>
            <w:r w:rsidRPr="00A45290">
              <w:t>2.2  252 additional schools upgraded to meet physical quality standards (x</w:t>
            </w:r>
            <w:r w:rsidR="00151018">
              <w:t>%</w:t>
            </w:r>
            <w:r w:rsidRPr="00A45290">
              <w:t xml:space="preserve"> of targeted schools)</w:t>
            </w:r>
          </w:p>
          <w:p w:rsidR="0045354B" w:rsidRPr="00A45290" w:rsidRDefault="0045354B" w:rsidP="001426FC">
            <w:pPr>
              <w:pStyle w:val="TableTextEntries"/>
            </w:pPr>
            <w:r w:rsidRPr="00A45290">
              <w:t>2.3  2</w:t>
            </w:r>
            <w:r w:rsidR="00546008">
              <w:t>,</w:t>
            </w:r>
            <w:r w:rsidRPr="00A45290">
              <w:t>250 additional teachers qualified at pre-primary and primary level (x</w:t>
            </w:r>
            <w:r w:rsidR="00151018">
              <w:t>%</w:t>
            </w:r>
            <w:r w:rsidR="004F4508">
              <w:t xml:space="preserve"> of targeted schools</w:t>
            </w:r>
            <w:r w:rsidRPr="00A45290">
              <w:t>)</w:t>
            </w:r>
          </w:p>
          <w:p w:rsidR="0045354B" w:rsidRPr="00A45290" w:rsidRDefault="0045354B" w:rsidP="001426FC">
            <w:pPr>
              <w:pStyle w:val="TableTextEntries"/>
            </w:pPr>
            <w:r w:rsidRPr="00A45290">
              <w:t>2.4   750 additional village education development committees operational (x</w:t>
            </w:r>
            <w:r w:rsidR="00151018">
              <w:t>%</w:t>
            </w:r>
            <w:r w:rsidRPr="00A45290">
              <w:t xml:space="preserve"> of targeted schools)</w:t>
            </w:r>
          </w:p>
          <w:p w:rsidR="0045354B" w:rsidRDefault="0045354B" w:rsidP="001426FC">
            <w:pPr>
              <w:pStyle w:val="TableTextEntries"/>
            </w:pPr>
            <w:r w:rsidRPr="00A45290">
              <w:t>3</w:t>
            </w:r>
            <w:r w:rsidR="00AA7011">
              <w:t xml:space="preserve">. </w:t>
            </w:r>
            <w:r w:rsidRPr="00A45290">
              <w:t xml:space="preserve">Non formal primary education equivalency framework,  curriculum, and learning material development finalised and being used in training of </w:t>
            </w:r>
            <w:r w:rsidRPr="00A45290">
              <w:lastRenderedPageBreak/>
              <w:t xml:space="preserve">mobile teachers </w:t>
            </w:r>
          </w:p>
          <w:p w:rsidR="00427331" w:rsidRPr="00A45290" w:rsidRDefault="00427331" w:rsidP="001426FC">
            <w:pPr>
              <w:pStyle w:val="TableTextEntries"/>
            </w:pPr>
          </w:p>
        </w:tc>
      </w:tr>
      <w:tr w:rsidR="0045354B" w:rsidRPr="00430A6E" w:rsidTr="00427331">
        <w:tc>
          <w:tcPr>
            <w:tcW w:w="2028" w:type="dxa"/>
            <w:vMerge/>
            <w:shd w:val="clear" w:color="auto" w:fill="auto"/>
          </w:tcPr>
          <w:p w:rsidR="0045354B" w:rsidRPr="00430A6E" w:rsidRDefault="0045354B" w:rsidP="001426FC">
            <w:pPr>
              <w:pStyle w:val="TableTextEntries"/>
            </w:pPr>
          </w:p>
        </w:tc>
        <w:tc>
          <w:tcPr>
            <w:tcW w:w="1651" w:type="dxa"/>
            <w:shd w:val="clear" w:color="auto" w:fill="auto"/>
          </w:tcPr>
          <w:p w:rsidR="0045354B" w:rsidRPr="00430A6E" w:rsidRDefault="0045354B" w:rsidP="001426FC">
            <w:pPr>
              <w:pStyle w:val="TableTextEntries"/>
            </w:pPr>
            <w:r w:rsidRPr="00430A6E">
              <w:t>Better management of Government of Laos and donor resources available to the education sector through implementation of a jointly agreed 10 year education sector framework</w:t>
            </w:r>
          </w:p>
        </w:tc>
        <w:tc>
          <w:tcPr>
            <w:tcW w:w="2640" w:type="dxa"/>
            <w:shd w:val="clear" w:color="auto" w:fill="auto"/>
          </w:tcPr>
          <w:p w:rsidR="0045354B" w:rsidRPr="00F10879" w:rsidRDefault="0045354B" w:rsidP="001426FC">
            <w:pPr>
              <w:pStyle w:val="TableTextEntries"/>
            </w:pPr>
            <w:r w:rsidRPr="002568C0">
              <w:t>Utilisation of the 2009</w:t>
            </w:r>
            <w:r w:rsidR="00151018">
              <w:t>–</w:t>
            </w:r>
            <w:r w:rsidRPr="002568C0">
              <w:t>2015 education sector development framework by Government of Laos and donors</w:t>
            </w:r>
          </w:p>
          <w:p w:rsidR="0045354B" w:rsidRPr="00430A6E" w:rsidRDefault="0045354B" w:rsidP="001426FC">
            <w:pPr>
              <w:pStyle w:val="TableTextEntries"/>
            </w:pPr>
            <w:r>
              <w:t>2</w:t>
            </w:r>
            <w:r w:rsidR="00AA7011">
              <w:t xml:space="preserve">. </w:t>
            </w:r>
            <w:r>
              <w:t>D</w:t>
            </w:r>
            <w:r w:rsidRPr="00430A6E">
              <w:t xml:space="preserve">evelopment and utilisation of a </w:t>
            </w:r>
            <w:r>
              <w:t>credible</w:t>
            </w:r>
            <w:r w:rsidRPr="00430A6E">
              <w:t xml:space="preserve"> annual costed sector plans by Government of Laos and donors </w:t>
            </w:r>
          </w:p>
          <w:p w:rsidR="0045354B" w:rsidRDefault="0045354B" w:rsidP="001426FC">
            <w:pPr>
              <w:pStyle w:val="TableTextEntries"/>
            </w:pPr>
            <w:r>
              <w:t>3</w:t>
            </w:r>
            <w:r w:rsidR="00AA7011">
              <w:t xml:space="preserve">. </w:t>
            </w:r>
            <w:r w:rsidRPr="00430A6E">
              <w:t xml:space="preserve">Achievement of Vientiane Declaration goals through the Education Sector Working Group, provincial </w:t>
            </w:r>
            <w:r w:rsidR="00643D62">
              <w:t>Education Sector Working Group</w:t>
            </w:r>
            <w:r w:rsidRPr="00430A6E">
              <w:t xml:space="preserve">s and </w:t>
            </w:r>
            <w:r w:rsidR="00643D62">
              <w:t>Education Sector Development Framework</w:t>
            </w:r>
            <w:r w:rsidRPr="00430A6E">
              <w:t xml:space="preserve"> </w:t>
            </w:r>
            <w:r w:rsidRPr="00430A6E">
              <w:lastRenderedPageBreak/>
              <w:t>focal groups</w:t>
            </w:r>
          </w:p>
          <w:p w:rsidR="0045354B" w:rsidRDefault="0045354B" w:rsidP="001426FC">
            <w:pPr>
              <w:pStyle w:val="TableTextEntries"/>
            </w:pPr>
            <w:r>
              <w:t>4</w:t>
            </w:r>
            <w:r w:rsidR="00AA7011">
              <w:t xml:space="preserve">. </w:t>
            </w:r>
            <w:r>
              <w:t xml:space="preserve">Ministry of Education financial, procurement, implementation and monitoring and evaluation capacity strengthened as evidenced by implementation of </w:t>
            </w:r>
            <w:r w:rsidR="002E0F18">
              <w:t>Education Sector Development Framework</w:t>
            </w:r>
          </w:p>
          <w:p w:rsidR="0045354B" w:rsidRPr="00A9089F" w:rsidRDefault="0045354B" w:rsidP="001426FC">
            <w:pPr>
              <w:pStyle w:val="TableTextEntries"/>
            </w:pPr>
            <w:r>
              <w:t>5</w:t>
            </w:r>
            <w:r w:rsidR="00AA7011">
              <w:t xml:space="preserve">. </w:t>
            </w:r>
            <w:r w:rsidRPr="00A9089F">
              <w:t>Recurrent education expenditure as % of total recurrent expenditure (domestic)</w:t>
            </w:r>
            <w:r>
              <w:t xml:space="preserve"> increases to 18 %</w:t>
            </w:r>
          </w:p>
          <w:p w:rsidR="0045354B" w:rsidRDefault="0045354B" w:rsidP="001426FC">
            <w:pPr>
              <w:pStyle w:val="TableTextEntries"/>
            </w:pPr>
          </w:p>
        </w:tc>
        <w:tc>
          <w:tcPr>
            <w:tcW w:w="3029" w:type="dxa"/>
            <w:shd w:val="clear" w:color="auto" w:fill="auto"/>
          </w:tcPr>
          <w:p w:rsidR="0045354B" w:rsidRPr="001E5A93" w:rsidRDefault="0045354B" w:rsidP="001426FC">
            <w:pPr>
              <w:pStyle w:val="TableTextEntries"/>
            </w:pPr>
            <w:r>
              <w:lastRenderedPageBreak/>
              <w:t>1</w:t>
            </w:r>
            <w:r w:rsidR="00AA7011" w:rsidRPr="00704A0D">
              <w:t xml:space="preserve">. </w:t>
            </w:r>
            <w:r w:rsidRPr="00704A0D">
              <w:t xml:space="preserve">   F</w:t>
            </w:r>
            <w:r w:rsidR="00643D62" w:rsidRPr="00704A0D">
              <w:t xml:space="preserve">ast </w:t>
            </w:r>
            <w:r w:rsidRPr="00704A0D">
              <w:t>T</w:t>
            </w:r>
            <w:r w:rsidR="00643D62" w:rsidRPr="00704A0D">
              <w:t xml:space="preserve">rack </w:t>
            </w:r>
            <w:r w:rsidRPr="00704A0D">
              <w:t>I</w:t>
            </w:r>
            <w:r w:rsidR="00643D62" w:rsidRPr="00704A0D">
              <w:t>nitiative –</w:t>
            </w:r>
            <w:r w:rsidRPr="00704A0D">
              <w:t>C</w:t>
            </w:r>
            <w:r w:rsidR="00643D62" w:rsidRPr="00704A0D">
              <w:t xml:space="preserve">atalytic </w:t>
            </w:r>
            <w:r w:rsidRPr="00704A0D">
              <w:t>F</w:t>
            </w:r>
            <w:r w:rsidR="00643D62" w:rsidRPr="00704A0D">
              <w:t>unds</w:t>
            </w:r>
            <w:r w:rsidRPr="00704A0D">
              <w:t xml:space="preserve"> application approved by</w:t>
            </w:r>
            <w:r w:rsidRPr="002F14B4">
              <w:t xml:space="preserve"> Catalytic Funds Secretariat</w:t>
            </w:r>
            <w:r>
              <w:t xml:space="preserve">, sub-sectoral approach in basic education based on </w:t>
            </w:r>
            <w:r w:rsidR="00643D62">
              <w:t>Education Sector Development Framework</w:t>
            </w:r>
            <w:r>
              <w:t xml:space="preserve"> begins</w:t>
            </w:r>
          </w:p>
          <w:p w:rsidR="0045354B" w:rsidRPr="00E553CC" w:rsidRDefault="0045354B" w:rsidP="001426FC">
            <w:pPr>
              <w:pStyle w:val="TableTextEntries"/>
            </w:pPr>
            <w:r>
              <w:t>2</w:t>
            </w:r>
            <w:r w:rsidR="00AA7011">
              <w:t xml:space="preserve">. </w:t>
            </w:r>
            <w:r>
              <w:t xml:space="preserve">  </w:t>
            </w:r>
            <w:r w:rsidRPr="00E553CC">
              <w:t>Annual costed work</w:t>
            </w:r>
            <w:r>
              <w:t xml:space="preserve"> </w:t>
            </w:r>
            <w:r w:rsidRPr="00E553CC">
              <w:t xml:space="preserve">plan developed in alignment with </w:t>
            </w:r>
            <w:r w:rsidR="00643D62">
              <w:t>Education Sector Development Framework</w:t>
            </w:r>
            <w:r w:rsidRPr="00E553CC">
              <w:t xml:space="preserve"> and </w:t>
            </w:r>
            <w:r w:rsidR="00643D62">
              <w:t>the 7</w:t>
            </w:r>
            <w:r w:rsidR="00643D62" w:rsidRPr="00643D62">
              <w:rPr>
                <w:vertAlign w:val="superscript"/>
              </w:rPr>
              <w:t>th</w:t>
            </w:r>
            <w:r w:rsidR="00643D62">
              <w:t xml:space="preserve"> NSEDP</w:t>
            </w:r>
          </w:p>
          <w:p w:rsidR="0045354B" w:rsidRDefault="0045354B" w:rsidP="001426FC">
            <w:pPr>
              <w:pStyle w:val="TableTextEntries"/>
            </w:pPr>
            <w:r>
              <w:t>3.a    F</w:t>
            </w:r>
            <w:r w:rsidRPr="00E553CC">
              <w:t xml:space="preserve">ive-year </w:t>
            </w:r>
            <w:r w:rsidR="00643D62">
              <w:t>Education Sector Development Framework</w:t>
            </w:r>
            <w:r w:rsidRPr="00E553CC">
              <w:t xml:space="preserve"> implementation plan 2010</w:t>
            </w:r>
            <w:r w:rsidR="00151018">
              <w:t>–</w:t>
            </w:r>
            <w:r w:rsidRPr="00E553CC">
              <w:t xml:space="preserve">2015 developed </w:t>
            </w:r>
          </w:p>
          <w:p w:rsidR="0045354B" w:rsidRDefault="0045354B" w:rsidP="001426FC">
            <w:pPr>
              <w:pStyle w:val="TableTextEntries"/>
            </w:pPr>
            <w:r>
              <w:lastRenderedPageBreak/>
              <w:t xml:space="preserve">3.b    </w:t>
            </w:r>
            <w:r w:rsidR="002E0F18" w:rsidRPr="00430A6E">
              <w:t>Education Sector Working Group</w:t>
            </w:r>
            <w:r>
              <w:t xml:space="preserve"> Focal Groups established by ministerial decree and endorsed by </w:t>
            </w:r>
            <w:r w:rsidR="002E0F18" w:rsidRPr="00430A6E">
              <w:t>Education Sector Working Group</w:t>
            </w:r>
          </w:p>
          <w:p w:rsidR="0045354B" w:rsidRDefault="0045354B" w:rsidP="001426FC">
            <w:pPr>
              <w:pStyle w:val="TableTextEntries"/>
            </w:pPr>
            <w:r>
              <w:t>4</w:t>
            </w:r>
            <w:r w:rsidR="00AA7011">
              <w:t xml:space="preserve">. </w:t>
            </w:r>
            <w:r>
              <w:t xml:space="preserve">  </w:t>
            </w:r>
            <w:r w:rsidR="00643D62">
              <w:t>Education Sector Development Framework</w:t>
            </w:r>
            <w:r>
              <w:t xml:space="preserve"> Preparation for implementation plan completed (including Ministry of Education-wide workshops; study tours of Vietnam and Nepal; mobile teacher study).</w:t>
            </w:r>
          </w:p>
          <w:p w:rsidR="0045354B" w:rsidRPr="00A9089F" w:rsidRDefault="0045354B" w:rsidP="001426FC">
            <w:pPr>
              <w:pStyle w:val="TableTextEntries"/>
            </w:pPr>
            <w:r>
              <w:t>5</w:t>
            </w:r>
            <w:r w:rsidR="00AA7011">
              <w:t xml:space="preserve">. </w:t>
            </w:r>
            <w:r>
              <w:t xml:space="preserve">   </w:t>
            </w:r>
            <w:r w:rsidRPr="00A9089F">
              <w:t>Recurrent education expenditure as % of total recurrent expenditure</w:t>
            </w:r>
            <w:r>
              <w:t xml:space="preserve"> (domestic) increases to 13.7</w:t>
            </w:r>
            <w:r w:rsidRPr="00A9089F">
              <w:t xml:space="preserve"> %</w:t>
            </w:r>
          </w:p>
          <w:p w:rsidR="0045354B" w:rsidRPr="00CA63C2" w:rsidRDefault="0045354B" w:rsidP="001426FC">
            <w:pPr>
              <w:pStyle w:val="TableTextEntries"/>
              <w:rPr>
                <w:sz w:val="16"/>
                <w:szCs w:val="16"/>
              </w:rPr>
            </w:pPr>
          </w:p>
        </w:tc>
        <w:tc>
          <w:tcPr>
            <w:tcW w:w="3120" w:type="dxa"/>
            <w:shd w:val="clear" w:color="auto" w:fill="auto"/>
          </w:tcPr>
          <w:p w:rsidR="0045354B" w:rsidRPr="00311193" w:rsidRDefault="0045354B" w:rsidP="001426FC">
            <w:pPr>
              <w:pStyle w:val="TableTextEntries"/>
            </w:pPr>
            <w:r w:rsidRPr="00311193">
              <w:lastRenderedPageBreak/>
              <w:t>1</w:t>
            </w:r>
            <w:r w:rsidR="00AA7011">
              <w:t xml:space="preserve">. </w:t>
            </w:r>
            <w:r w:rsidRPr="00D01AEA">
              <w:rPr>
                <w:b/>
              </w:rPr>
              <w:t>Milestones met</w:t>
            </w:r>
            <w:r w:rsidR="00643D62">
              <w:t xml:space="preserve"> </w:t>
            </w:r>
          </w:p>
          <w:p w:rsidR="0045354B" w:rsidRPr="00311193" w:rsidRDefault="0045354B" w:rsidP="001426FC">
            <w:pPr>
              <w:pStyle w:val="TableTextEntries"/>
            </w:pPr>
            <w:r w:rsidRPr="00704A0D">
              <w:t xml:space="preserve">-  </w:t>
            </w:r>
            <w:r w:rsidR="00643D62" w:rsidRPr="00704A0D">
              <w:t>Fast Track Initiative</w:t>
            </w:r>
            <w:r w:rsidRPr="00704A0D">
              <w:t xml:space="preserve"> application approv</w:t>
            </w:r>
            <w:r w:rsidRPr="00311193">
              <w:t xml:space="preserve">ed </w:t>
            </w:r>
          </w:p>
          <w:p w:rsidR="0045354B" w:rsidRDefault="0045354B" w:rsidP="001426FC">
            <w:pPr>
              <w:pStyle w:val="TableTextEntries"/>
            </w:pPr>
            <w:r>
              <w:t xml:space="preserve">-  </w:t>
            </w:r>
            <w:r w:rsidRPr="00311193">
              <w:t xml:space="preserve">Year one of </w:t>
            </w:r>
            <w:r w:rsidR="00F001A2" w:rsidRPr="00CB62DE">
              <w:rPr>
                <w:lang w:val="en-GB"/>
              </w:rPr>
              <w:t>Fast Track Initiative</w:t>
            </w:r>
            <w:r>
              <w:t xml:space="preserve"> </w:t>
            </w:r>
            <w:r w:rsidRPr="00311193">
              <w:t>program commences implementation</w:t>
            </w:r>
          </w:p>
          <w:p w:rsidR="0045354B" w:rsidRPr="001678C1" w:rsidRDefault="0045354B" w:rsidP="001426FC">
            <w:pPr>
              <w:pStyle w:val="TableTextEntries"/>
            </w:pPr>
            <w:r w:rsidRPr="001678C1">
              <w:t>2</w:t>
            </w:r>
            <w:r w:rsidR="00AA7011">
              <w:t xml:space="preserve">. </w:t>
            </w:r>
            <w:r w:rsidRPr="00D01AEA">
              <w:rPr>
                <w:b/>
              </w:rPr>
              <w:t>Milestone met</w:t>
            </w:r>
          </w:p>
          <w:p w:rsidR="0045354B" w:rsidRDefault="0045354B" w:rsidP="001426FC">
            <w:pPr>
              <w:pStyle w:val="TableTextEntries"/>
            </w:pPr>
            <w:r>
              <w:t xml:space="preserve">-  </w:t>
            </w:r>
            <w:r w:rsidRPr="001678C1">
              <w:t>being drafted and is aligned with Education Sector Development Plan</w:t>
            </w:r>
          </w:p>
          <w:p w:rsidR="0045354B" w:rsidRPr="001678C1" w:rsidRDefault="0045354B" w:rsidP="001426FC">
            <w:pPr>
              <w:pStyle w:val="TableTextEntries"/>
            </w:pPr>
            <w:r>
              <w:t>3</w:t>
            </w:r>
            <w:r w:rsidR="00AA7011">
              <w:t xml:space="preserve">. </w:t>
            </w:r>
            <w:r w:rsidRPr="00D01AEA">
              <w:rPr>
                <w:b/>
              </w:rPr>
              <w:t>Milestone met</w:t>
            </w:r>
          </w:p>
          <w:p w:rsidR="0045354B" w:rsidRPr="006915A1" w:rsidRDefault="0045354B" w:rsidP="001426FC">
            <w:pPr>
              <w:pStyle w:val="TableTextEntries"/>
            </w:pPr>
            <w:r w:rsidRPr="006915A1">
              <w:t>3.a  Education Sector Development Plan is being finalised</w:t>
            </w:r>
          </w:p>
          <w:p w:rsidR="0045354B" w:rsidRDefault="0045354B" w:rsidP="001426FC">
            <w:pPr>
              <w:pStyle w:val="TableTextEntries"/>
            </w:pPr>
            <w:r w:rsidRPr="006915A1">
              <w:t xml:space="preserve">3.b  </w:t>
            </w:r>
            <w:r w:rsidR="00643D62">
              <w:t>Education Sector Development Framework</w:t>
            </w:r>
            <w:r w:rsidRPr="006915A1">
              <w:t xml:space="preserve"> focal groups decree signed</w:t>
            </w:r>
          </w:p>
          <w:p w:rsidR="0045354B" w:rsidRDefault="0045354B" w:rsidP="001426FC">
            <w:pPr>
              <w:pStyle w:val="TableTextEntries"/>
            </w:pPr>
            <w:r>
              <w:lastRenderedPageBreak/>
              <w:t>4</w:t>
            </w:r>
            <w:r w:rsidR="00AA7011">
              <w:t xml:space="preserve">. </w:t>
            </w:r>
            <w:r w:rsidRPr="00D01AEA">
              <w:rPr>
                <w:b/>
              </w:rPr>
              <w:t>Milestone met</w:t>
            </w:r>
          </w:p>
          <w:p w:rsidR="0045354B" w:rsidRPr="00E37FF6" w:rsidRDefault="0045354B" w:rsidP="001426FC">
            <w:pPr>
              <w:pStyle w:val="TableTextEntries"/>
            </w:pPr>
            <w:r>
              <w:t xml:space="preserve">-    </w:t>
            </w:r>
            <w:r w:rsidR="002E0F18">
              <w:t>Education Sector Development Framework</w:t>
            </w:r>
            <w:r w:rsidRPr="00E37FF6">
              <w:t xml:space="preserve"> workshops funded by Australia completed.</w:t>
            </w:r>
          </w:p>
          <w:p w:rsidR="0045354B" w:rsidRDefault="0045354B" w:rsidP="001426FC">
            <w:pPr>
              <w:pStyle w:val="TableTextEntries"/>
            </w:pPr>
            <w:r w:rsidRPr="00E37FF6">
              <w:t xml:space="preserve">- </w:t>
            </w:r>
            <w:r>
              <w:t xml:space="preserve">   </w:t>
            </w:r>
            <w:r w:rsidRPr="00E37FF6">
              <w:t>Study tours to Vietnam, Nepal on  mobile teacher approaches conducted</w:t>
            </w:r>
          </w:p>
          <w:p w:rsidR="00704A0D" w:rsidRDefault="0045354B" w:rsidP="001426FC">
            <w:pPr>
              <w:pStyle w:val="TableTextEntries"/>
            </w:pPr>
            <w:r w:rsidRPr="00F01BAC">
              <w:t>5</w:t>
            </w:r>
            <w:r w:rsidR="00AA7011">
              <w:t xml:space="preserve">. </w:t>
            </w:r>
            <w:r w:rsidRPr="00D01AEA">
              <w:rPr>
                <w:b/>
              </w:rPr>
              <w:t>Milestone met</w:t>
            </w:r>
            <w:r w:rsidR="00704A0D">
              <w:t xml:space="preserve"> </w:t>
            </w:r>
          </w:p>
          <w:p w:rsidR="0045354B" w:rsidRPr="00E37FF6" w:rsidRDefault="0045354B" w:rsidP="001426FC">
            <w:pPr>
              <w:pStyle w:val="TableTextEntries"/>
            </w:pPr>
            <w:r w:rsidRPr="00F01BAC">
              <w:t xml:space="preserve"> </w:t>
            </w:r>
            <w:r>
              <w:t xml:space="preserve"> 14.7</w:t>
            </w:r>
            <w:r w:rsidR="00151018">
              <w:t>%</w:t>
            </w:r>
          </w:p>
          <w:p w:rsidR="0045354B" w:rsidRPr="006915A1" w:rsidRDefault="0045354B" w:rsidP="001426FC">
            <w:pPr>
              <w:pStyle w:val="TableTextEntries"/>
            </w:pPr>
          </w:p>
        </w:tc>
        <w:tc>
          <w:tcPr>
            <w:tcW w:w="3120" w:type="dxa"/>
          </w:tcPr>
          <w:p w:rsidR="0045354B" w:rsidRPr="00531154" w:rsidRDefault="0045354B" w:rsidP="001426FC">
            <w:pPr>
              <w:pStyle w:val="TableTextEntries"/>
            </w:pPr>
            <w:r w:rsidRPr="00531154">
              <w:lastRenderedPageBreak/>
              <w:t>1.a</w:t>
            </w:r>
            <w:r w:rsidR="00AA7011">
              <w:t xml:space="preserve">. </w:t>
            </w:r>
            <w:r w:rsidRPr="00531154">
              <w:t>focal groups used to coordinate education activities by sub sector</w:t>
            </w:r>
          </w:p>
          <w:p w:rsidR="0045354B" w:rsidRPr="00531154" w:rsidRDefault="0045354B" w:rsidP="001426FC">
            <w:pPr>
              <w:pStyle w:val="TableTextEntries"/>
            </w:pPr>
            <w:r w:rsidRPr="00531154">
              <w:t>1.b</w:t>
            </w:r>
            <w:r w:rsidR="00AA7011">
              <w:t xml:space="preserve">. </w:t>
            </w:r>
            <w:r w:rsidRPr="00531154">
              <w:t xml:space="preserve">Simplified </w:t>
            </w:r>
            <w:r w:rsidR="00643D62">
              <w:t>Education Sector Development Framework</w:t>
            </w:r>
            <w:r w:rsidRPr="00531154">
              <w:t xml:space="preserve"> booklet that includes strategies, activities and responsibilities disseminated to provincial and district education offices</w:t>
            </w:r>
          </w:p>
          <w:p w:rsidR="0045354B" w:rsidRPr="00531154" w:rsidRDefault="0045354B" w:rsidP="001426FC">
            <w:pPr>
              <w:pStyle w:val="TableTextEntries"/>
            </w:pPr>
            <w:r w:rsidRPr="00531154">
              <w:t>2</w:t>
            </w:r>
            <w:r w:rsidR="00AA7011">
              <w:t xml:space="preserve">. </w:t>
            </w:r>
            <w:r w:rsidRPr="00531154">
              <w:t xml:space="preserve">Through </w:t>
            </w:r>
            <w:r w:rsidR="00643D62" w:rsidRPr="00430A6E">
              <w:t>Education Sector Working Group</w:t>
            </w:r>
            <w:r w:rsidRPr="00531154">
              <w:t>, consultative process undertaken to form consensus on annual costed sector plan. Development Partners, Central and provincial government endorse yearly plan</w:t>
            </w:r>
          </w:p>
          <w:p w:rsidR="0045354B" w:rsidRPr="003E4FC7" w:rsidRDefault="0045354B" w:rsidP="001426FC">
            <w:pPr>
              <w:pStyle w:val="TableTextEntries"/>
            </w:pPr>
            <w:r w:rsidRPr="00531154">
              <w:t xml:space="preserve">3.a. </w:t>
            </w:r>
            <w:r>
              <w:t xml:space="preserve">first </w:t>
            </w:r>
            <w:r w:rsidRPr="00531154">
              <w:t xml:space="preserve">annual joint sector review </w:t>
            </w:r>
            <w:r w:rsidRPr="003E4FC7">
              <w:lastRenderedPageBreak/>
              <w:t xml:space="preserve">undertaken, consistent with </w:t>
            </w:r>
            <w:r w:rsidR="00643D62">
              <w:t>Education Sector Development Framework</w:t>
            </w:r>
            <w:r w:rsidRPr="003E4FC7">
              <w:t xml:space="preserve"> </w:t>
            </w:r>
            <w:r w:rsidR="003E4FC7" w:rsidRPr="003E4FC7">
              <w:rPr>
                <w:rFonts w:cs="Arial"/>
                <w:color w:val="000000"/>
                <w:lang w:eastAsia="en-AU"/>
              </w:rPr>
              <w:t xml:space="preserve">Performance Assessment Framework </w:t>
            </w:r>
          </w:p>
          <w:p w:rsidR="0045354B" w:rsidRPr="00531154" w:rsidRDefault="0045354B" w:rsidP="001426FC">
            <w:pPr>
              <w:pStyle w:val="TableTextEntries"/>
            </w:pPr>
            <w:r w:rsidRPr="003E4FC7">
              <w:t>3.b.</w:t>
            </w:r>
            <w:r w:rsidRPr="003C6425">
              <w:t>Provincial working</w:t>
            </w:r>
            <w:r w:rsidRPr="00531154">
              <w:t xml:space="preserve"> groups model progressively rolled out across the country</w:t>
            </w:r>
          </w:p>
          <w:p w:rsidR="0045354B" w:rsidRPr="00531154" w:rsidRDefault="0045354B" w:rsidP="001426FC">
            <w:pPr>
              <w:pStyle w:val="TableTextEntries"/>
            </w:pPr>
            <w:proofErr w:type="gramStart"/>
            <w:r w:rsidRPr="00531154">
              <w:t>4.a</w:t>
            </w:r>
            <w:proofErr w:type="gramEnd"/>
            <w:r w:rsidRPr="00531154">
              <w:t xml:space="preserve">  Phase 1 of </w:t>
            </w:r>
            <w:r w:rsidR="002E0F18">
              <w:t>Education Sector Development Framework</w:t>
            </w:r>
            <w:r w:rsidRPr="00531154">
              <w:t xml:space="preserve"> preparation for Implementation Plan completed. </w:t>
            </w:r>
          </w:p>
          <w:p w:rsidR="0045354B" w:rsidRPr="00531154" w:rsidRDefault="0045354B" w:rsidP="001426FC">
            <w:pPr>
              <w:pStyle w:val="TableTextEntries"/>
            </w:pPr>
            <w:r w:rsidRPr="00531154">
              <w:t xml:space="preserve">4.b  Phase 2 of </w:t>
            </w:r>
            <w:r w:rsidR="002E0F18">
              <w:t>Education Sector Development Framework</w:t>
            </w:r>
            <w:r w:rsidRPr="00531154">
              <w:t xml:space="preserve"> capacity building for implementation drafted and finalised</w:t>
            </w:r>
          </w:p>
          <w:p w:rsidR="0045354B" w:rsidRPr="00531154" w:rsidRDefault="0045354B" w:rsidP="001426FC">
            <w:pPr>
              <w:pStyle w:val="TableTextEntries"/>
              <w:ind w:left="-108" w:firstLine="108"/>
            </w:pPr>
            <w:r w:rsidRPr="00531154">
              <w:t>5</w:t>
            </w:r>
            <w:r w:rsidR="00AA7011">
              <w:t xml:space="preserve">. </w:t>
            </w:r>
            <w:r w:rsidRPr="00531154">
              <w:t xml:space="preserve">Recurrent education expenditure as % of total recurrent expenditure (domestic) </w:t>
            </w:r>
            <w:r>
              <w:t xml:space="preserve">is at least </w:t>
            </w:r>
            <w:r w:rsidRPr="00531154">
              <w:t>14.6</w:t>
            </w:r>
            <w:r w:rsidRPr="00531154">
              <w:rPr>
                <w:i/>
              </w:rPr>
              <w:t xml:space="preserve">  %</w:t>
            </w:r>
            <w:r>
              <w:rPr>
                <w:i/>
                <w:sz w:val="20"/>
                <w:szCs w:val="20"/>
              </w:rPr>
              <w:t xml:space="preserve"> </w:t>
            </w:r>
          </w:p>
        </w:tc>
      </w:tr>
      <w:tr w:rsidR="0045354B" w:rsidRPr="00FD5A42" w:rsidTr="00427331">
        <w:trPr>
          <w:trHeight w:val="370"/>
        </w:trPr>
        <w:tc>
          <w:tcPr>
            <w:tcW w:w="12468" w:type="dxa"/>
            <w:gridSpan w:val="5"/>
            <w:shd w:val="clear" w:color="auto" w:fill="FF9900"/>
          </w:tcPr>
          <w:p w:rsidR="0045354B" w:rsidRPr="00FD5A42" w:rsidRDefault="0045354B" w:rsidP="001426FC">
            <w:pPr>
              <w:pStyle w:val="TableHeading1"/>
              <w:rPr>
                <w:b/>
              </w:rPr>
            </w:pPr>
            <w:r w:rsidRPr="00FD5A42">
              <w:rPr>
                <w:b/>
              </w:rPr>
              <w:lastRenderedPageBreak/>
              <w:t>Pillar 2: Trade and Investment</w:t>
            </w:r>
          </w:p>
        </w:tc>
        <w:tc>
          <w:tcPr>
            <w:tcW w:w="3120" w:type="dxa"/>
            <w:shd w:val="clear" w:color="auto" w:fill="FF9900"/>
          </w:tcPr>
          <w:p w:rsidR="0045354B" w:rsidRPr="00FD5A42" w:rsidRDefault="0045354B" w:rsidP="001426FC">
            <w:pPr>
              <w:pStyle w:val="TableHeading1"/>
              <w:rPr>
                <w:b/>
              </w:rPr>
            </w:pPr>
          </w:p>
        </w:tc>
      </w:tr>
      <w:tr w:rsidR="0045354B" w:rsidRPr="006A7709" w:rsidTr="00427331">
        <w:tc>
          <w:tcPr>
            <w:tcW w:w="2028" w:type="dxa"/>
            <w:tcBorders>
              <w:bottom w:val="single" w:sz="4" w:space="0" w:color="auto"/>
            </w:tcBorders>
          </w:tcPr>
          <w:p w:rsidR="0045354B" w:rsidRPr="006A7709" w:rsidRDefault="0045354B" w:rsidP="001426FC">
            <w:pPr>
              <w:pStyle w:val="TableTextEntries"/>
            </w:pPr>
            <w:r w:rsidRPr="006A7709">
              <w:t>Increased trade and investment in sectors which support poverty reduction</w:t>
            </w:r>
          </w:p>
          <w:p w:rsidR="0045354B" w:rsidRPr="006A7709" w:rsidRDefault="0045354B" w:rsidP="001426FC">
            <w:pPr>
              <w:pStyle w:val="TableTextEntries"/>
              <w:rPr>
                <w:bCs/>
              </w:rPr>
            </w:pPr>
            <w:r w:rsidRPr="006A7709">
              <w:t>Growth in non-resource exports</w:t>
            </w:r>
          </w:p>
          <w:p w:rsidR="0045354B" w:rsidRPr="006A7709" w:rsidRDefault="0045354B" w:rsidP="001426FC">
            <w:pPr>
              <w:pStyle w:val="TableTextEntries"/>
            </w:pPr>
            <w:r w:rsidRPr="006A7709">
              <w:t>Growth in trade in services</w:t>
            </w:r>
          </w:p>
          <w:p w:rsidR="0045354B" w:rsidRPr="006A7709" w:rsidRDefault="000D2CDB" w:rsidP="001426FC">
            <w:pPr>
              <w:pStyle w:val="TableTextEntries"/>
            </w:pPr>
            <w:r>
              <w:lastRenderedPageBreak/>
              <w:t>Growth in Sanitary and Phytosanitary</w:t>
            </w:r>
            <w:r w:rsidR="0045354B" w:rsidRPr="006A7709">
              <w:t>-sensitive agricultural exports</w:t>
            </w:r>
          </w:p>
          <w:p w:rsidR="0045354B" w:rsidRPr="006A7709" w:rsidRDefault="0045354B" w:rsidP="001426FC">
            <w:pPr>
              <w:pStyle w:val="TableTextEntries"/>
              <w:rPr>
                <w:bCs/>
                <w:lang w:val="en-US"/>
              </w:rPr>
            </w:pPr>
            <w:r w:rsidRPr="006A7709">
              <w:rPr>
                <w:bCs/>
                <w:lang w:val="en-US"/>
              </w:rPr>
              <w:t>Reduction in time and relative cost of shipping containers from key points in Laos to major trading partners</w:t>
            </w:r>
          </w:p>
          <w:p w:rsidR="0045354B" w:rsidRPr="006A7709" w:rsidRDefault="0045354B" w:rsidP="001426FC">
            <w:pPr>
              <w:pStyle w:val="TableTextEntries"/>
              <w:rPr>
                <w:bCs/>
              </w:rPr>
            </w:pPr>
            <w:r w:rsidRPr="006A7709">
              <w:t>Number of days to start-up enterprise reduced</w:t>
            </w:r>
          </w:p>
          <w:p w:rsidR="0045354B" w:rsidRDefault="0045354B" w:rsidP="001426FC">
            <w:pPr>
              <w:pStyle w:val="TableTextEntries"/>
            </w:pPr>
            <w:r w:rsidRPr="006A7709">
              <w:t>Increased female participation in export firms</w:t>
            </w:r>
          </w:p>
          <w:p w:rsidR="0045354B" w:rsidRPr="006A7709" w:rsidRDefault="0045354B" w:rsidP="001426FC">
            <w:pPr>
              <w:pStyle w:val="TableTextEntries"/>
            </w:pPr>
          </w:p>
        </w:tc>
        <w:tc>
          <w:tcPr>
            <w:tcW w:w="1651" w:type="dxa"/>
            <w:tcBorders>
              <w:bottom w:val="single" w:sz="4" w:space="0" w:color="auto"/>
            </w:tcBorders>
          </w:tcPr>
          <w:p w:rsidR="0045354B" w:rsidRPr="006A7709" w:rsidRDefault="0045354B" w:rsidP="001426FC">
            <w:pPr>
              <w:pStyle w:val="TableTextEntries"/>
            </w:pPr>
            <w:r w:rsidRPr="006A7709">
              <w:lastRenderedPageBreak/>
              <w:t xml:space="preserve">Policy and institutional impediments to trade and investment addressed in sectors that have high potential to contribute to </w:t>
            </w:r>
            <w:r w:rsidRPr="006A7709">
              <w:lastRenderedPageBreak/>
              <w:t>inclusive growth</w:t>
            </w:r>
          </w:p>
        </w:tc>
        <w:tc>
          <w:tcPr>
            <w:tcW w:w="2640" w:type="dxa"/>
            <w:tcBorders>
              <w:bottom w:val="single" w:sz="4" w:space="0" w:color="auto"/>
            </w:tcBorders>
          </w:tcPr>
          <w:p w:rsidR="0045354B" w:rsidRPr="006A7709" w:rsidRDefault="0045354B" w:rsidP="001426FC">
            <w:pPr>
              <w:pStyle w:val="TableTextEntries"/>
            </w:pPr>
            <w:r w:rsidRPr="006A7709">
              <w:lastRenderedPageBreak/>
              <w:t xml:space="preserve"> 1</w:t>
            </w:r>
            <w:r w:rsidR="00AA7011">
              <w:t xml:space="preserve">. </w:t>
            </w:r>
            <w:r w:rsidRPr="006A7709">
              <w:t>Trade Facilitation Action Plan</w:t>
            </w:r>
            <w:r w:rsidR="002E0F18">
              <w:t xml:space="preserve"> </w:t>
            </w:r>
            <w:r w:rsidRPr="006A7709">
              <w:t xml:space="preserve"> developed and being utilised</w:t>
            </w:r>
          </w:p>
          <w:p w:rsidR="0045354B" w:rsidRPr="006A7709" w:rsidRDefault="0045354B" w:rsidP="001426FC">
            <w:pPr>
              <w:pStyle w:val="TableTextEntries"/>
            </w:pPr>
            <w:r w:rsidRPr="006A7709">
              <w:t>2</w:t>
            </w:r>
            <w:r w:rsidR="00AA7011">
              <w:t xml:space="preserve">. </w:t>
            </w:r>
            <w:r w:rsidRPr="006A7709">
              <w:t xml:space="preserve">Substantial closure in the gap between the current legal and regulatory framework on </w:t>
            </w:r>
            <w:r w:rsidR="000D2CDB">
              <w:t xml:space="preserve">Sanitary and Phytosanitary  </w:t>
            </w:r>
            <w:r w:rsidRPr="006A7709">
              <w:t xml:space="preserve">and  basic ASEAN Free Trade Area and </w:t>
            </w:r>
            <w:r w:rsidR="003E4FC7" w:rsidRPr="003E4FC7">
              <w:t xml:space="preserve">World Trade Organisation </w:t>
            </w:r>
            <w:r w:rsidRPr="006A7709">
              <w:lastRenderedPageBreak/>
              <w:t>requirements</w:t>
            </w:r>
          </w:p>
          <w:p w:rsidR="0045354B" w:rsidRPr="006A7709" w:rsidRDefault="0045354B" w:rsidP="001426FC">
            <w:pPr>
              <w:pStyle w:val="TableTextEntries"/>
            </w:pPr>
            <w:r w:rsidRPr="006A7709">
              <w:t>3</w:t>
            </w:r>
            <w:r w:rsidR="00AA7011">
              <w:t xml:space="preserve">. </w:t>
            </w:r>
            <w:r w:rsidRPr="006A7709">
              <w:t>Improved Legal Environment for investment facilitation</w:t>
            </w:r>
          </w:p>
          <w:p w:rsidR="0045354B" w:rsidRPr="006A7709" w:rsidRDefault="0045354B" w:rsidP="001426FC">
            <w:pPr>
              <w:pStyle w:val="TableTextEntries"/>
            </w:pPr>
            <w:r w:rsidRPr="006A7709">
              <w:t>4</w:t>
            </w:r>
            <w:r w:rsidR="00AA7011">
              <w:t xml:space="preserve">. </w:t>
            </w:r>
            <w:r w:rsidRPr="006A7709">
              <w:t xml:space="preserve">Improved knowledge and </w:t>
            </w:r>
            <w:r w:rsidR="00731F6A" w:rsidRPr="006A7709">
              <w:t>understanding of</w:t>
            </w:r>
            <w:r w:rsidRPr="006A7709">
              <w:t xml:space="preserve"> the gender dimension of increased trade integration,   informed by analytical work on the linkages between gender and trade.</w:t>
            </w:r>
          </w:p>
          <w:p w:rsidR="0045354B" w:rsidRPr="006A7709" w:rsidRDefault="0045354B" w:rsidP="001426FC">
            <w:pPr>
              <w:pStyle w:val="TableTextEntries"/>
            </w:pPr>
          </w:p>
        </w:tc>
        <w:tc>
          <w:tcPr>
            <w:tcW w:w="3029" w:type="dxa"/>
            <w:tcBorders>
              <w:bottom w:val="single" w:sz="4" w:space="0" w:color="auto"/>
            </w:tcBorders>
          </w:tcPr>
          <w:p w:rsidR="0045354B" w:rsidRPr="006A7709" w:rsidRDefault="0045354B" w:rsidP="001426FC">
            <w:pPr>
              <w:pStyle w:val="TableTextEntries"/>
            </w:pPr>
            <w:r w:rsidRPr="006A7709">
              <w:lastRenderedPageBreak/>
              <w:t>1</w:t>
            </w:r>
            <w:r w:rsidR="00AA7011">
              <w:t xml:space="preserve">. </w:t>
            </w:r>
            <w:r w:rsidRPr="006A7709">
              <w:t>Trade Facilitation Action Plan finalised and approved by the government</w:t>
            </w:r>
          </w:p>
          <w:p w:rsidR="0045354B" w:rsidRPr="006A7709" w:rsidRDefault="0045354B" w:rsidP="001426FC">
            <w:pPr>
              <w:pStyle w:val="TableTextEntries"/>
            </w:pPr>
            <w:r w:rsidRPr="006A7709">
              <w:t xml:space="preserve"> 2</w:t>
            </w:r>
            <w:r w:rsidR="00AA7011">
              <w:t xml:space="preserve">. </w:t>
            </w:r>
            <w:r w:rsidRPr="006A7709">
              <w:t>Technical Barriers to Trade assessment commenced</w:t>
            </w:r>
          </w:p>
          <w:p w:rsidR="0045354B" w:rsidRPr="006A7709" w:rsidRDefault="0045354B" w:rsidP="001426FC">
            <w:pPr>
              <w:pStyle w:val="TableTextEntries"/>
            </w:pPr>
            <w:r w:rsidRPr="006A7709">
              <w:t>3</w:t>
            </w:r>
            <w:r w:rsidR="00AA7011">
              <w:t xml:space="preserve">. </w:t>
            </w:r>
            <w:r w:rsidRPr="006A7709">
              <w:t xml:space="preserve">Combined investment law approved by </w:t>
            </w:r>
            <w:r>
              <w:t>Government of Laos</w:t>
            </w:r>
            <w:r w:rsidRPr="006A7709">
              <w:t xml:space="preserve"> and </w:t>
            </w:r>
            <w:r>
              <w:t>Ministry of Planning and Investment</w:t>
            </w:r>
            <w:r w:rsidRPr="006A7709">
              <w:t xml:space="preserve"> abolishes </w:t>
            </w:r>
            <w:r w:rsidRPr="006A7709">
              <w:lastRenderedPageBreak/>
              <w:t>investment license for general investment activities outside the Negative List as part of the implementation of the new law.</w:t>
            </w:r>
          </w:p>
          <w:p w:rsidR="0045354B" w:rsidRPr="006A7709" w:rsidRDefault="0045354B" w:rsidP="001426FC">
            <w:pPr>
              <w:pStyle w:val="TableTextEntries"/>
            </w:pPr>
            <w:r w:rsidRPr="006A7709">
              <w:t>4</w:t>
            </w:r>
            <w:r w:rsidR="00AA7011">
              <w:t xml:space="preserve">. </w:t>
            </w:r>
            <w:r w:rsidRPr="006A7709">
              <w:t>Gender and enterprise analysis completed</w:t>
            </w:r>
          </w:p>
          <w:p w:rsidR="0045354B" w:rsidRPr="006A7709" w:rsidRDefault="0045354B" w:rsidP="001426FC">
            <w:pPr>
              <w:pStyle w:val="TableTextEntries"/>
            </w:pPr>
            <w:r w:rsidRPr="006A7709">
              <w:t xml:space="preserve"> </w:t>
            </w:r>
          </w:p>
        </w:tc>
        <w:tc>
          <w:tcPr>
            <w:tcW w:w="3120" w:type="dxa"/>
            <w:tcBorders>
              <w:bottom w:val="single" w:sz="4" w:space="0" w:color="auto"/>
            </w:tcBorders>
          </w:tcPr>
          <w:p w:rsidR="008B2726" w:rsidRDefault="0045354B" w:rsidP="001426FC">
            <w:pPr>
              <w:pStyle w:val="TableTextEntries"/>
              <w:rPr>
                <w:b/>
              </w:rPr>
            </w:pPr>
            <w:r w:rsidRPr="006A7709">
              <w:lastRenderedPageBreak/>
              <w:t>1</w:t>
            </w:r>
            <w:r w:rsidR="00AA7011">
              <w:t xml:space="preserve">. </w:t>
            </w:r>
            <w:r w:rsidRPr="00D01AEA">
              <w:rPr>
                <w:b/>
              </w:rPr>
              <w:t>Milestone partly met</w:t>
            </w:r>
          </w:p>
          <w:p w:rsidR="0045354B" w:rsidRPr="006A7709" w:rsidRDefault="002E0F18" w:rsidP="001426FC">
            <w:pPr>
              <w:pStyle w:val="TableTextEntries"/>
            </w:pPr>
            <w:r w:rsidRPr="006A7709">
              <w:t>Trade Facilitation Action Plan</w:t>
            </w:r>
            <w:r w:rsidR="0045354B" w:rsidRPr="006A7709">
              <w:t xml:space="preserve"> finalised and expected to be submitted for the government approval by March 2011.</w:t>
            </w:r>
          </w:p>
          <w:p w:rsidR="0045354B" w:rsidRPr="006A7709" w:rsidRDefault="0045354B" w:rsidP="001426FC">
            <w:pPr>
              <w:pStyle w:val="TableTextEntries"/>
            </w:pPr>
            <w:r w:rsidRPr="006A7709">
              <w:t>2</w:t>
            </w:r>
            <w:r w:rsidR="00AA7011">
              <w:t xml:space="preserve">. </w:t>
            </w:r>
            <w:r w:rsidRPr="00D01AEA">
              <w:rPr>
                <w:b/>
              </w:rPr>
              <w:t>Milestone met</w:t>
            </w:r>
            <w:r w:rsidR="00AA7011">
              <w:rPr>
                <w:b/>
              </w:rPr>
              <w:t xml:space="preserve"> </w:t>
            </w:r>
            <w:r w:rsidR="008B2726">
              <w:rPr>
                <w:b/>
              </w:rPr>
              <w:br/>
            </w:r>
            <w:r w:rsidRPr="006A7709">
              <w:t>Technical barriers to trade assessment commenced.</w:t>
            </w:r>
          </w:p>
          <w:p w:rsidR="0045354B" w:rsidRPr="006A7709" w:rsidRDefault="0045354B" w:rsidP="001426FC">
            <w:pPr>
              <w:pStyle w:val="TableTextEntries"/>
            </w:pPr>
            <w:r w:rsidRPr="006A7709">
              <w:t>3</w:t>
            </w:r>
            <w:r w:rsidR="00AA7011">
              <w:t xml:space="preserve">. </w:t>
            </w:r>
            <w:r w:rsidRPr="00D01AEA">
              <w:rPr>
                <w:b/>
              </w:rPr>
              <w:t xml:space="preserve">Milestone </w:t>
            </w:r>
            <w:proofErr w:type="gramStart"/>
            <w:r w:rsidRPr="00D01AEA">
              <w:rPr>
                <w:b/>
              </w:rPr>
              <w:t>met</w:t>
            </w:r>
            <w:r w:rsidR="00704A0D">
              <w:t xml:space="preserve"> </w:t>
            </w:r>
            <w:r w:rsidRPr="006A7709">
              <w:t xml:space="preserve"> </w:t>
            </w:r>
            <w:proofErr w:type="gramEnd"/>
            <w:r w:rsidR="008B2726">
              <w:br/>
            </w:r>
            <w:r w:rsidRPr="006A7709">
              <w:lastRenderedPageBreak/>
              <w:t xml:space="preserve">The new investment promotion law promulgated by the president in February 2010. Technically the law mandates the abolishment of investment </w:t>
            </w:r>
            <w:proofErr w:type="gramStart"/>
            <w:r w:rsidRPr="006A7709">
              <w:t>licence,</w:t>
            </w:r>
            <w:proofErr w:type="gramEnd"/>
            <w:r w:rsidRPr="006A7709">
              <w:t xml:space="preserve"> however to what degree it has currently been applied is still unclear</w:t>
            </w:r>
            <w:r w:rsidR="00AA7011">
              <w:t xml:space="preserve">. </w:t>
            </w:r>
          </w:p>
          <w:p w:rsidR="0045354B" w:rsidRPr="006A7709" w:rsidRDefault="0045354B" w:rsidP="001426FC">
            <w:pPr>
              <w:pStyle w:val="TableTextEntries"/>
            </w:pPr>
            <w:r w:rsidRPr="006A7709">
              <w:t>4</w:t>
            </w:r>
            <w:r w:rsidR="00AA7011">
              <w:t xml:space="preserve">. </w:t>
            </w:r>
            <w:r w:rsidRPr="00D01AEA">
              <w:rPr>
                <w:b/>
              </w:rPr>
              <w:t>Milestone met</w:t>
            </w:r>
            <w:r w:rsidR="00704A0D">
              <w:rPr>
                <w:b/>
              </w:rPr>
              <w:t xml:space="preserve"> </w:t>
            </w:r>
            <w:r w:rsidR="00AA7011">
              <w:rPr>
                <w:b/>
              </w:rPr>
              <w:t xml:space="preserve"> </w:t>
            </w:r>
            <w:r w:rsidRPr="006A7709">
              <w:t>Gender and enterprise study produced</w:t>
            </w:r>
          </w:p>
        </w:tc>
        <w:tc>
          <w:tcPr>
            <w:tcW w:w="3120" w:type="dxa"/>
            <w:tcBorders>
              <w:bottom w:val="single" w:sz="4" w:space="0" w:color="auto"/>
            </w:tcBorders>
          </w:tcPr>
          <w:p w:rsidR="0045354B" w:rsidRPr="006A7709" w:rsidRDefault="0045354B" w:rsidP="001426FC">
            <w:pPr>
              <w:pStyle w:val="TableTextEntries"/>
            </w:pPr>
            <w:r w:rsidRPr="006A7709">
              <w:lastRenderedPageBreak/>
              <w:t>1</w:t>
            </w:r>
            <w:r w:rsidR="00AA7011">
              <w:t xml:space="preserve">. </w:t>
            </w:r>
            <w:r w:rsidR="002E0F18" w:rsidRPr="006A7709">
              <w:t>Trade Facilitation Action Plan</w:t>
            </w:r>
            <w:r w:rsidRPr="006A7709">
              <w:t xml:space="preserve"> action list endorsed/</w:t>
            </w:r>
            <w:r w:rsidR="002E0F18" w:rsidRPr="006A7709">
              <w:t>Trade Facilitation Action Plan</w:t>
            </w:r>
            <w:r w:rsidR="002E0F18">
              <w:t xml:space="preserve"> </w:t>
            </w:r>
            <w:r w:rsidRPr="006A7709">
              <w:t>secretariat functioning effectively</w:t>
            </w:r>
          </w:p>
          <w:p w:rsidR="0045354B" w:rsidRPr="006A7709" w:rsidRDefault="0045354B" w:rsidP="001426FC">
            <w:pPr>
              <w:pStyle w:val="TableTextEntries"/>
            </w:pPr>
            <w:r w:rsidRPr="006A7709">
              <w:t>2</w:t>
            </w:r>
            <w:r w:rsidR="00AA7011">
              <w:t xml:space="preserve">. </w:t>
            </w:r>
            <w:r w:rsidRPr="006A7709">
              <w:t>Endorsed Technical Barriers to Trade plan of action</w:t>
            </w:r>
          </w:p>
          <w:p w:rsidR="0045354B" w:rsidRPr="006A7709" w:rsidRDefault="0045354B" w:rsidP="001426FC">
            <w:pPr>
              <w:pStyle w:val="TableTextEntries"/>
            </w:pPr>
            <w:r w:rsidRPr="006A7709">
              <w:t xml:space="preserve"> 3</w:t>
            </w:r>
            <w:r w:rsidR="00AA7011">
              <w:t xml:space="preserve">. </w:t>
            </w:r>
            <w:r w:rsidRPr="006A7709">
              <w:t xml:space="preserve">Further legislative reform in support of </w:t>
            </w:r>
            <w:r w:rsidR="002E0F18">
              <w:t xml:space="preserve">Small and Medium Enterprise </w:t>
            </w:r>
            <w:r w:rsidRPr="006A7709">
              <w:t>investment growth</w:t>
            </w:r>
          </w:p>
          <w:p w:rsidR="0045354B" w:rsidRPr="006A7709" w:rsidRDefault="0045354B" w:rsidP="001426FC">
            <w:pPr>
              <w:pStyle w:val="TableTextEntries"/>
            </w:pPr>
            <w:r w:rsidRPr="006A7709">
              <w:lastRenderedPageBreak/>
              <w:t>4</w:t>
            </w:r>
            <w:r w:rsidR="00AA7011">
              <w:t xml:space="preserve">. </w:t>
            </w:r>
            <w:r w:rsidRPr="006A7709">
              <w:t>The results of the World Bank “Fairer Trade” analytical task shared with trade sector stakeholders</w:t>
            </w:r>
          </w:p>
          <w:p w:rsidR="0045354B" w:rsidRPr="006A7709" w:rsidRDefault="0045354B" w:rsidP="001426FC">
            <w:pPr>
              <w:pStyle w:val="TableTextEntries"/>
            </w:pPr>
          </w:p>
        </w:tc>
      </w:tr>
      <w:tr w:rsidR="0045354B" w:rsidRPr="00FD5A42" w:rsidTr="00427331">
        <w:trPr>
          <w:trHeight w:val="269"/>
        </w:trPr>
        <w:tc>
          <w:tcPr>
            <w:tcW w:w="15588" w:type="dxa"/>
            <w:gridSpan w:val="6"/>
            <w:shd w:val="clear" w:color="auto" w:fill="33CCCC"/>
          </w:tcPr>
          <w:p w:rsidR="0045354B" w:rsidRPr="00FD5A42" w:rsidRDefault="0045354B" w:rsidP="001426FC">
            <w:pPr>
              <w:pStyle w:val="TableHeading1"/>
              <w:rPr>
                <w:b/>
              </w:rPr>
            </w:pPr>
            <w:r w:rsidRPr="00FD5A42">
              <w:rPr>
                <w:b/>
              </w:rPr>
              <w:lastRenderedPageBreak/>
              <w:t xml:space="preserve">Pillar 3: Rural Development </w:t>
            </w:r>
          </w:p>
        </w:tc>
      </w:tr>
      <w:tr w:rsidR="0045354B" w:rsidRPr="00FD5A42" w:rsidTr="00427331">
        <w:trPr>
          <w:trHeight w:val="527"/>
        </w:trPr>
        <w:tc>
          <w:tcPr>
            <w:tcW w:w="2028" w:type="dxa"/>
            <w:vMerge w:val="restart"/>
            <w:tcBorders>
              <w:right w:val="single" w:sz="2" w:space="0" w:color="auto"/>
            </w:tcBorders>
          </w:tcPr>
          <w:p w:rsidR="0045354B" w:rsidRPr="00FD5A42" w:rsidRDefault="0045354B" w:rsidP="001426FC">
            <w:pPr>
              <w:pStyle w:val="TableTextEntries"/>
            </w:pPr>
            <w:r w:rsidRPr="00FD5A42">
              <w:t>Less than one quarter of the population living below the national poverty line</w:t>
            </w:r>
          </w:p>
          <w:p w:rsidR="0045354B" w:rsidRPr="00FD5A42" w:rsidRDefault="0045354B" w:rsidP="00427331">
            <w:pPr>
              <w:pStyle w:val="TableTextEntries"/>
              <w:spacing w:before="240"/>
              <w:rPr>
                <w:bCs/>
              </w:rPr>
            </w:pPr>
            <w:r w:rsidRPr="00FD5A42">
              <w:rPr>
                <w:bCs/>
              </w:rPr>
              <w:t xml:space="preserve">In targeted geographic areas:  </w:t>
            </w:r>
          </w:p>
          <w:p w:rsidR="0045354B" w:rsidRPr="00FD5A42" w:rsidRDefault="0045354B" w:rsidP="001426FC">
            <w:pPr>
              <w:pStyle w:val="TableTextEntries"/>
              <w:rPr>
                <w:bCs/>
              </w:rPr>
            </w:pPr>
            <w:r w:rsidRPr="00FD5A42">
              <w:rPr>
                <w:bCs/>
              </w:rPr>
              <w:t>Reduction in poverty rates</w:t>
            </w:r>
          </w:p>
          <w:p w:rsidR="0045354B" w:rsidRPr="00FD5A42" w:rsidRDefault="0045354B" w:rsidP="001426FC">
            <w:pPr>
              <w:pStyle w:val="TableTextEntries"/>
              <w:rPr>
                <w:bCs/>
              </w:rPr>
            </w:pPr>
            <w:r w:rsidRPr="00FD5A42">
              <w:rPr>
                <w:bCs/>
              </w:rPr>
              <w:t xml:space="preserve">Reduced gender </w:t>
            </w:r>
            <w:r w:rsidRPr="00FD5A42">
              <w:rPr>
                <w:bCs/>
              </w:rPr>
              <w:lastRenderedPageBreak/>
              <w:t>disparities in these statistics</w:t>
            </w:r>
          </w:p>
        </w:tc>
        <w:tc>
          <w:tcPr>
            <w:tcW w:w="1651" w:type="dxa"/>
            <w:tcBorders>
              <w:top w:val="single" w:sz="2" w:space="0" w:color="auto"/>
              <w:left w:val="single" w:sz="2" w:space="0" w:color="auto"/>
              <w:bottom w:val="single" w:sz="2" w:space="0" w:color="auto"/>
              <w:right w:val="single" w:sz="2" w:space="0" w:color="auto"/>
            </w:tcBorders>
          </w:tcPr>
          <w:p w:rsidR="0045354B" w:rsidRPr="00FD5A42" w:rsidRDefault="0045354B" w:rsidP="001426FC">
            <w:pPr>
              <w:pStyle w:val="TableTextEntries"/>
            </w:pPr>
            <w:r w:rsidRPr="00FD5A42">
              <w:lastRenderedPageBreak/>
              <w:t>Delivery and modelling of effective programs that result in equitable and sustainable improvements to livelihoods in targeted poor geographic areas</w:t>
            </w:r>
          </w:p>
        </w:tc>
        <w:tc>
          <w:tcPr>
            <w:tcW w:w="2640" w:type="dxa"/>
            <w:tcBorders>
              <w:left w:val="single" w:sz="2" w:space="0" w:color="auto"/>
            </w:tcBorders>
          </w:tcPr>
          <w:p w:rsidR="0045354B" w:rsidRPr="00FD5A42" w:rsidRDefault="0045354B" w:rsidP="001426FC">
            <w:pPr>
              <w:pStyle w:val="TableTextEntries"/>
            </w:pPr>
            <w:r w:rsidRPr="00FD5A42">
              <w:t xml:space="preserve">In 9 of </w:t>
            </w:r>
            <w:r w:rsidR="00B938E1">
              <w:t xml:space="preserve">Laos’ </w:t>
            </w:r>
            <w:r w:rsidRPr="00FD5A42">
              <w:t xml:space="preserve">poorest districts: </w:t>
            </w:r>
          </w:p>
          <w:p w:rsidR="0045354B" w:rsidRPr="00FD5A42" w:rsidRDefault="0045354B" w:rsidP="001426FC">
            <w:pPr>
              <w:pStyle w:val="TableTextEntries"/>
            </w:pPr>
            <w:r w:rsidRPr="00FD5A42">
              <w:t>1</w:t>
            </w:r>
            <w:r w:rsidR="00AA7011">
              <w:t xml:space="preserve">. </w:t>
            </w:r>
            <w:r w:rsidRPr="00FD5A42">
              <w:t xml:space="preserve">Improved livelihoods evidenced by reduced rice shortages and utilisation of UXO-cleared land </w:t>
            </w:r>
          </w:p>
          <w:p w:rsidR="0045354B" w:rsidRPr="00FD5A42" w:rsidRDefault="0045354B" w:rsidP="001426FC">
            <w:pPr>
              <w:pStyle w:val="TableTextEntries"/>
            </w:pPr>
            <w:r w:rsidRPr="00FD5A42">
              <w:t>2</w:t>
            </w:r>
            <w:r w:rsidR="00AA7011">
              <w:t xml:space="preserve">. </w:t>
            </w:r>
            <w:r w:rsidRPr="00FD5A42">
              <w:t xml:space="preserve">Evidence that disaster management planning interventions are improving government and community capacity to assess a crisis </w:t>
            </w:r>
            <w:r w:rsidRPr="00FD5A42">
              <w:lastRenderedPageBreak/>
              <w:t xml:space="preserve">situation and implement appropriate emergency response </w:t>
            </w:r>
          </w:p>
          <w:p w:rsidR="0045354B" w:rsidRPr="00FD5A42" w:rsidRDefault="0045354B" w:rsidP="001426FC">
            <w:pPr>
              <w:pStyle w:val="TableTextEntries"/>
            </w:pPr>
            <w:r w:rsidRPr="00FD5A42">
              <w:t>3</w:t>
            </w:r>
            <w:r w:rsidR="00AA7011">
              <w:t xml:space="preserve">. </w:t>
            </w:r>
            <w:r w:rsidRPr="00FD5A42">
              <w:t>Vulnerable women benefiting from gender sensitive livelihood, capacity building and participation strategies as evidenced by reduced workload and improved general health outcomes</w:t>
            </w:r>
          </w:p>
          <w:p w:rsidR="0045354B" w:rsidRPr="00FD5A42" w:rsidRDefault="0045354B" w:rsidP="001426FC">
            <w:pPr>
              <w:pStyle w:val="TableTextEntries"/>
            </w:pPr>
            <w:r w:rsidRPr="00FD5A42">
              <w:t>4</w:t>
            </w:r>
            <w:r w:rsidR="00AA7011">
              <w:t xml:space="preserve">. </w:t>
            </w:r>
            <w:r w:rsidRPr="00FD5A42">
              <w:t xml:space="preserve">Best practice approaches on integrated UXO and </w:t>
            </w:r>
            <w:r w:rsidR="003C6425" w:rsidRPr="003C6425">
              <w:t>disaster risk reduction</w:t>
            </w:r>
            <w:r w:rsidRPr="00FD5A42">
              <w:t xml:space="preserve">, livelihood and food security, and community resilience are:  </w:t>
            </w:r>
          </w:p>
          <w:p w:rsidR="0045354B" w:rsidRPr="00FD5A42" w:rsidRDefault="0045354B" w:rsidP="001426FC">
            <w:pPr>
              <w:pStyle w:val="TableTextEntries"/>
            </w:pPr>
            <w:r w:rsidRPr="00FD5A42">
              <w:t>4.a shared with and adapted by development partners and partner government at the local and central levels</w:t>
            </w:r>
          </w:p>
          <w:p w:rsidR="0045354B" w:rsidRPr="00FD5A42" w:rsidRDefault="0045354B" w:rsidP="001426FC">
            <w:pPr>
              <w:pStyle w:val="TableTextEntries"/>
            </w:pPr>
            <w:r w:rsidRPr="00FD5A42">
              <w:t>4.b being sustained by communities in partnership with the government after the cessation of project inputs</w:t>
            </w:r>
          </w:p>
          <w:p w:rsidR="0045354B" w:rsidRPr="00FD5A42" w:rsidRDefault="0045354B" w:rsidP="001426FC">
            <w:pPr>
              <w:pStyle w:val="TableTextEntries"/>
            </w:pPr>
          </w:p>
          <w:p w:rsidR="0045354B" w:rsidRPr="00FD5A42" w:rsidRDefault="0045354B" w:rsidP="001426FC">
            <w:pPr>
              <w:pStyle w:val="TableTextEntries"/>
            </w:pPr>
          </w:p>
        </w:tc>
        <w:tc>
          <w:tcPr>
            <w:tcW w:w="3029" w:type="dxa"/>
            <w:tcBorders>
              <w:bottom w:val="single" w:sz="4" w:space="0" w:color="auto"/>
            </w:tcBorders>
          </w:tcPr>
          <w:p w:rsidR="0045354B" w:rsidRPr="00FD5A42" w:rsidRDefault="0045354B" w:rsidP="001426FC">
            <w:pPr>
              <w:pStyle w:val="TableTextEntries"/>
            </w:pPr>
            <w:r w:rsidRPr="00FD5A42">
              <w:lastRenderedPageBreak/>
              <w:t>1.a  Community-based  livelihood activities involving 800 poor rural households</w:t>
            </w:r>
          </w:p>
          <w:p w:rsidR="0045354B" w:rsidRPr="00FD5A42" w:rsidRDefault="0045354B" w:rsidP="001426FC">
            <w:pPr>
              <w:pStyle w:val="TableTextEntries"/>
            </w:pPr>
            <w:r w:rsidRPr="00FD5A42">
              <w:t xml:space="preserve">1.b  Clearance and release of 160 hectares of land </w:t>
            </w:r>
          </w:p>
          <w:p w:rsidR="0045354B" w:rsidRPr="00FD5A42" w:rsidRDefault="0045354B" w:rsidP="001426FC">
            <w:pPr>
              <w:pStyle w:val="TableTextEntries"/>
            </w:pPr>
            <w:r w:rsidRPr="00FD5A42">
              <w:t xml:space="preserve">2.a 1 provincial level and  4 district level </w:t>
            </w:r>
            <w:r w:rsidR="003C6425" w:rsidRPr="003C6425">
              <w:t>disaster management</w:t>
            </w:r>
            <w:r w:rsidRPr="00FD5A42">
              <w:t xml:space="preserve"> plans </w:t>
            </w:r>
          </w:p>
          <w:p w:rsidR="0045354B" w:rsidRPr="00FD5A42" w:rsidRDefault="0045354B" w:rsidP="001426FC">
            <w:pPr>
              <w:pStyle w:val="TableTextEntries"/>
            </w:pPr>
            <w:r w:rsidRPr="00FD5A42">
              <w:t xml:space="preserve">2.b  Quick response mechanisms for emerging crisis </w:t>
            </w:r>
          </w:p>
          <w:p w:rsidR="0045354B" w:rsidRPr="00FD5A42" w:rsidRDefault="0045354B" w:rsidP="001426FC">
            <w:pPr>
              <w:pStyle w:val="TableTextEntries"/>
            </w:pPr>
            <w:r w:rsidRPr="00FD5A42">
              <w:t xml:space="preserve">3.a Access to essential health care </w:t>
            </w:r>
            <w:r w:rsidRPr="00FD5A42">
              <w:lastRenderedPageBreak/>
              <w:t>services, improved rural roads, convenient water and sanitation system, and UXO-cleared lands by at least 1300 women</w:t>
            </w:r>
          </w:p>
          <w:p w:rsidR="0045354B" w:rsidRPr="00FD5A42" w:rsidRDefault="0045354B" w:rsidP="001426FC">
            <w:pPr>
              <w:pStyle w:val="TableTextEntries"/>
            </w:pPr>
            <w:r w:rsidRPr="00FD5A42">
              <w:t xml:space="preserve">4.1a Annual evaluation workshop undertaken with effective participation by relevant </w:t>
            </w:r>
            <w:r>
              <w:t>Government of Laos</w:t>
            </w:r>
            <w:r w:rsidRPr="00FD5A42">
              <w:t xml:space="preserve"> agencies and other relevant rural development stakeholders</w:t>
            </w:r>
          </w:p>
          <w:p w:rsidR="0045354B" w:rsidRPr="00FD5A42" w:rsidRDefault="0045354B" w:rsidP="001426FC">
            <w:pPr>
              <w:pStyle w:val="TableTextEntries"/>
            </w:pPr>
            <w:r w:rsidRPr="00FD5A42">
              <w:t xml:space="preserve">4.a DesInventar operational at </w:t>
            </w:r>
            <w:r w:rsidR="003C6425" w:rsidRPr="003C6425">
              <w:t xml:space="preserve">National Disaster Management Office </w:t>
            </w:r>
            <w:r w:rsidRPr="00FD5A42">
              <w:t>(central) level</w:t>
            </w:r>
          </w:p>
          <w:p w:rsidR="0045354B" w:rsidRPr="00FD5A42" w:rsidRDefault="0045354B" w:rsidP="001426FC">
            <w:pPr>
              <w:pStyle w:val="TableTextEntries"/>
            </w:pPr>
            <w:r w:rsidRPr="00FD5A42">
              <w:t>4.b Integrated clearance and community development approach as integral prioritisation approach adapted in the new UXO sector strategy</w:t>
            </w:r>
          </w:p>
          <w:p w:rsidR="0045354B" w:rsidRPr="00FD5A42" w:rsidRDefault="0045354B" w:rsidP="001426FC">
            <w:pPr>
              <w:pStyle w:val="TableTextEntries"/>
            </w:pPr>
          </w:p>
          <w:p w:rsidR="0045354B" w:rsidRPr="00FD5A42" w:rsidRDefault="0045354B" w:rsidP="001426FC">
            <w:pPr>
              <w:pStyle w:val="TableTextEntries"/>
            </w:pPr>
          </w:p>
        </w:tc>
        <w:tc>
          <w:tcPr>
            <w:tcW w:w="3120" w:type="dxa"/>
            <w:tcBorders>
              <w:bottom w:val="single" w:sz="4" w:space="0" w:color="auto"/>
            </w:tcBorders>
          </w:tcPr>
          <w:p w:rsidR="0045354B" w:rsidRPr="00FD5A42" w:rsidRDefault="0045354B" w:rsidP="001426FC">
            <w:pPr>
              <w:pStyle w:val="TableTextEntries"/>
              <w:rPr>
                <w:b/>
              </w:rPr>
            </w:pPr>
            <w:r w:rsidRPr="00FD5A42">
              <w:rPr>
                <w:b/>
              </w:rPr>
              <w:lastRenderedPageBreak/>
              <w:t>1</w:t>
            </w:r>
            <w:r w:rsidR="00AA7011">
              <w:rPr>
                <w:b/>
              </w:rPr>
              <w:t xml:space="preserve">. </w:t>
            </w:r>
            <w:r w:rsidRPr="00FD5A42">
              <w:rPr>
                <w:b/>
              </w:rPr>
              <w:t xml:space="preserve">Milestones </w:t>
            </w:r>
            <w:r w:rsidR="00704A0D">
              <w:rPr>
                <w:b/>
              </w:rPr>
              <w:t>met</w:t>
            </w:r>
          </w:p>
          <w:p w:rsidR="0045354B" w:rsidRPr="00FD5A42" w:rsidRDefault="0045354B" w:rsidP="001426FC">
            <w:pPr>
              <w:pStyle w:val="TableTextEntries"/>
            </w:pPr>
            <w:r w:rsidRPr="00FD5A42">
              <w:t>At least 800 households participated in various activities (e.g. rice stocks, seeds distribution, home gardens) that reinforce food security</w:t>
            </w:r>
            <w:r w:rsidR="00AA7011">
              <w:t xml:space="preserve">. </w:t>
            </w:r>
            <w:r w:rsidRPr="00FD5A42">
              <w:t>A total of 110 hectares in 31 sites were cleared of UXO during the reporting period</w:t>
            </w:r>
            <w:r w:rsidR="00AA7011">
              <w:t xml:space="preserve">. </w:t>
            </w:r>
            <w:r w:rsidRPr="00FD5A42">
              <w:t>A total of 6</w:t>
            </w:r>
            <w:r w:rsidR="00661CAB">
              <w:t>,</w:t>
            </w:r>
            <w:r w:rsidRPr="00FD5A42">
              <w:t>769 individuals now benefit from cleared land to plant rice, coffee, fish pond and kitchen garden.</w:t>
            </w:r>
          </w:p>
          <w:p w:rsidR="0045354B" w:rsidRPr="00FD5A42" w:rsidRDefault="0045354B" w:rsidP="001426FC">
            <w:pPr>
              <w:pStyle w:val="TableTextEntries"/>
              <w:rPr>
                <w:b/>
              </w:rPr>
            </w:pPr>
            <w:r w:rsidRPr="00FD5A42">
              <w:rPr>
                <w:b/>
              </w:rPr>
              <w:lastRenderedPageBreak/>
              <w:t>2</w:t>
            </w:r>
            <w:r w:rsidR="00AA7011">
              <w:rPr>
                <w:b/>
              </w:rPr>
              <w:t xml:space="preserve">. </w:t>
            </w:r>
            <w:r w:rsidRPr="00FD5A42">
              <w:rPr>
                <w:b/>
              </w:rPr>
              <w:t xml:space="preserve">Milestones </w:t>
            </w:r>
            <w:r w:rsidR="00704A0D">
              <w:rPr>
                <w:b/>
              </w:rPr>
              <w:t>met</w:t>
            </w:r>
          </w:p>
          <w:p w:rsidR="0045354B" w:rsidRPr="00FD5A42" w:rsidRDefault="0045354B" w:rsidP="001426FC">
            <w:pPr>
              <w:pStyle w:val="TableTextEntries"/>
            </w:pPr>
            <w:r w:rsidRPr="00FD5A42">
              <w:t xml:space="preserve">District Disaster Risk Information System established in Sayaboury provided effective information for </w:t>
            </w:r>
            <w:r w:rsidR="00731F6A" w:rsidRPr="00FD5A42">
              <w:t>reporting</w:t>
            </w:r>
            <w:r w:rsidRPr="00FD5A42">
              <w:t xml:space="preserve"> on the flash flood incident in Xieng-</w:t>
            </w:r>
            <w:r w:rsidRPr="00B938E1">
              <w:t>Hone district. 3 D</w:t>
            </w:r>
            <w:r w:rsidR="00B938E1">
              <w:t xml:space="preserve">istrict </w:t>
            </w:r>
            <w:r w:rsidRPr="00B938E1">
              <w:t>D</w:t>
            </w:r>
            <w:r w:rsidR="00B938E1">
              <w:t xml:space="preserve">isaster </w:t>
            </w:r>
            <w:r w:rsidRPr="00B938E1">
              <w:t>M</w:t>
            </w:r>
            <w:r w:rsidR="00B938E1">
              <w:t xml:space="preserve">anagement </w:t>
            </w:r>
            <w:r w:rsidRPr="00B938E1">
              <w:t>C</w:t>
            </w:r>
            <w:r w:rsidR="00B938E1">
              <w:t>ommittees</w:t>
            </w:r>
            <w:r w:rsidRPr="00B938E1">
              <w:t xml:space="preserve"> and 3 P</w:t>
            </w:r>
            <w:r w:rsidR="00B938E1">
              <w:t xml:space="preserve">rovincial </w:t>
            </w:r>
            <w:r w:rsidRPr="00B938E1">
              <w:t>D</w:t>
            </w:r>
            <w:r w:rsidR="00B938E1">
              <w:t xml:space="preserve">isaster </w:t>
            </w:r>
            <w:r w:rsidRPr="00B938E1">
              <w:t>M</w:t>
            </w:r>
            <w:r w:rsidR="00B938E1">
              <w:t xml:space="preserve">anagement </w:t>
            </w:r>
            <w:proofErr w:type="gramStart"/>
            <w:r w:rsidRPr="00B938E1">
              <w:t>C</w:t>
            </w:r>
            <w:r w:rsidR="00B938E1">
              <w:t xml:space="preserve">ommittee </w:t>
            </w:r>
            <w:r w:rsidRPr="00B938E1">
              <w:t xml:space="preserve"> established</w:t>
            </w:r>
            <w:proofErr w:type="gramEnd"/>
            <w:r w:rsidRPr="00B938E1">
              <w:t xml:space="preserve"> and active in Saravan, Sekong</w:t>
            </w:r>
            <w:r w:rsidRPr="00FD5A42">
              <w:t xml:space="preserve">, Vientiane. 53 Village Disaster management Committees established in Saravan, Sekong, and Vientiane. 38 Village Development Committees established in Khammouan. Disaster Risk Reduction Implementation Plan approved &amp; adopted and rolled out in 11 additional districts across </w:t>
            </w:r>
            <w:r w:rsidR="00454D5E" w:rsidRPr="00FD5A42">
              <w:t>Sayaboury</w:t>
            </w:r>
            <w:r w:rsidRPr="00FD5A42">
              <w:t>.</w:t>
            </w:r>
          </w:p>
          <w:p w:rsidR="0045354B" w:rsidRPr="00FD5A42" w:rsidRDefault="00661CAB" w:rsidP="001426FC">
            <w:pPr>
              <w:pStyle w:val="TableTextEntries"/>
            </w:pPr>
            <w:r w:rsidRPr="003C6425">
              <w:t xml:space="preserve">Disaster </w:t>
            </w:r>
            <w:r w:rsidR="003C6425" w:rsidRPr="003C6425">
              <w:t>management</w:t>
            </w:r>
            <w:r w:rsidR="0045354B" w:rsidRPr="00FD5A42">
              <w:t xml:space="preserve"> tools used by Save the Children project communities to successfully manage an outbreak of cattle disease.</w:t>
            </w:r>
          </w:p>
          <w:p w:rsidR="0045354B" w:rsidRPr="00FD5A42" w:rsidRDefault="0045354B" w:rsidP="001426FC">
            <w:pPr>
              <w:pStyle w:val="TableTextEntries"/>
              <w:rPr>
                <w:b/>
              </w:rPr>
            </w:pPr>
            <w:r w:rsidRPr="00FD5A42">
              <w:rPr>
                <w:b/>
              </w:rPr>
              <w:t>3</w:t>
            </w:r>
            <w:r w:rsidR="00AA7011">
              <w:rPr>
                <w:b/>
              </w:rPr>
              <w:t xml:space="preserve">. </w:t>
            </w:r>
            <w:r w:rsidRPr="00FD5A42">
              <w:rPr>
                <w:b/>
              </w:rPr>
              <w:t xml:space="preserve">Milestones </w:t>
            </w:r>
            <w:r w:rsidR="00B938E1">
              <w:rPr>
                <w:b/>
              </w:rPr>
              <w:t>met</w:t>
            </w:r>
          </w:p>
          <w:p w:rsidR="0045354B" w:rsidRPr="00FD5A42" w:rsidRDefault="0045354B" w:rsidP="001426FC">
            <w:pPr>
              <w:pStyle w:val="TableTextEntries"/>
            </w:pPr>
            <w:r w:rsidRPr="00FD5A42">
              <w:t xml:space="preserve">A total number of 3066 women benefited from various gender activities aimed at reducing workload (access clean and safe water, wheelbarrow, </w:t>
            </w:r>
            <w:r w:rsidRPr="00FD5A42">
              <w:lastRenderedPageBreak/>
              <w:t>etc.).</w:t>
            </w:r>
          </w:p>
          <w:p w:rsidR="0045354B" w:rsidRPr="00FD5A42" w:rsidRDefault="0045354B" w:rsidP="001426FC">
            <w:pPr>
              <w:pStyle w:val="TableTextEntries"/>
              <w:rPr>
                <w:b/>
              </w:rPr>
            </w:pPr>
            <w:r w:rsidRPr="00FD5A42">
              <w:rPr>
                <w:b/>
              </w:rPr>
              <w:t>4</w:t>
            </w:r>
            <w:r w:rsidR="00AA7011">
              <w:rPr>
                <w:b/>
              </w:rPr>
              <w:t xml:space="preserve">. </w:t>
            </w:r>
            <w:r w:rsidRPr="00FD5A42">
              <w:rPr>
                <w:b/>
              </w:rPr>
              <w:t xml:space="preserve">Milestones </w:t>
            </w:r>
            <w:r w:rsidR="00B938E1">
              <w:rPr>
                <w:b/>
              </w:rPr>
              <w:t>met</w:t>
            </w:r>
            <w:r w:rsidR="00AA7011">
              <w:rPr>
                <w:b/>
              </w:rPr>
              <w:t xml:space="preserve"> </w:t>
            </w:r>
          </w:p>
          <w:p w:rsidR="0045354B" w:rsidRPr="00FD5A42" w:rsidRDefault="0045354B" w:rsidP="003C6425">
            <w:pPr>
              <w:pStyle w:val="TableTextEntries"/>
            </w:pPr>
            <w:r w:rsidRPr="00FD5A42">
              <w:t>A</w:t>
            </w:r>
            <w:r w:rsidR="007B0E42">
              <w:t xml:space="preserve">nnual </w:t>
            </w:r>
            <w:r w:rsidRPr="00FD5A42">
              <w:t>E</w:t>
            </w:r>
            <w:r w:rsidR="007B0E42">
              <w:t xml:space="preserve">valuation </w:t>
            </w:r>
            <w:r w:rsidRPr="00FD5A42">
              <w:t>W</w:t>
            </w:r>
            <w:r w:rsidR="007B0E42">
              <w:t>orkshop</w:t>
            </w:r>
            <w:r w:rsidRPr="00FD5A42">
              <w:t xml:space="preserve"> conducted last Dec 2010 with </w:t>
            </w:r>
            <w:r>
              <w:t>Government of Laos</w:t>
            </w:r>
            <w:r w:rsidRPr="00FD5A42">
              <w:t xml:space="preserve">, NGO partners and external audience present. DesInventar (disaster risk information system) is operational in </w:t>
            </w:r>
            <w:r w:rsidR="00454D5E">
              <w:t>Sayaboury</w:t>
            </w:r>
            <w:r w:rsidRPr="00FD5A42">
              <w:t xml:space="preserve"> and at </w:t>
            </w:r>
            <w:r w:rsidR="003C6425" w:rsidRPr="003C6425">
              <w:t>National Disaster Management Office</w:t>
            </w:r>
            <w:r w:rsidRPr="00FD5A42">
              <w:t xml:space="preserve"> (central) level. Integrated clearance approach once again cited as best practice and recommended approach by </w:t>
            </w:r>
            <w:proofErr w:type="gramStart"/>
            <w:r w:rsidRPr="00FD5A42">
              <w:t>an</w:t>
            </w:r>
            <w:proofErr w:type="gramEnd"/>
            <w:r w:rsidRPr="00FD5A42">
              <w:t xml:space="preserve"> </w:t>
            </w:r>
            <w:r w:rsidRPr="003C6425">
              <w:t>N</w:t>
            </w:r>
            <w:r w:rsidR="00F57036">
              <w:t xml:space="preserve">ational </w:t>
            </w:r>
            <w:r w:rsidRPr="003C6425">
              <w:t>R</w:t>
            </w:r>
            <w:r w:rsidR="00F57036">
              <w:t xml:space="preserve">egulatory </w:t>
            </w:r>
            <w:r w:rsidRPr="003C6425">
              <w:t>A</w:t>
            </w:r>
            <w:r w:rsidR="00F57036">
              <w:t>uthority</w:t>
            </w:r>
            <w:r w:rsidRPr="003C6425">
              <w:t>-sponsored</w:t>
            </w:r>
            <w:r w:rsidRPr="00FD5A42">
              <w:t xml:space="preserve"> assessment report.</w:t>
            </w:r>
          </w:p>
        </w:tc>
        <w:tc>
          <w:tcPr>
            <w:tcW w:w="3120" w:type="dxa"/>
          </w:tcPr>
          <w:p w:rsidR="0045354B" w:rsidRPr="00FD5A42" w:rsidRDefault="0045354B" w:rsidP="001426FC">
            <w:pPr>
              <w:pStyle w:val="TableTextEntries"/>
            </w:pPr>
            <w:r w:rsidRPr="00FD5A42">
              <w:lastRenderedPageBreak/>
              <w:t>1.a  Community-based  livelihood activities involving x  poor rural households</w:t>
            </w:r>
          </w:p>
          <w:p w:rsidR="0045354B" w:rsidRPr="00FD5A42" w:rsidRDefault="0045354B" w:rsidP="001426FC">
            <w:pPr>
              <w:pStyle w:val="TableTextEntries"/>
            </w:pPr>
            <w:proofErr w:type="gramStart"/>
            <w:r w:rsidRPr="00FD5A42">
              <w:t>1.b</w:t>
            </w:r>
            <w:proofErr w:type="gramEnd"/>
            <w:r w:rsidRPr="00FD5A42">
              <w:t xml:space="preserve">  Clearance and release of x hectares of land benefiting x individuals who are using cleared land to …….</w:t>
            </w:r>
          </w:p>
          <w:p w:rsidR="0045354B" w:rsidRPr="00FD5A42" w:rsidRDefault="0045354B" w:rsidP="001426FC">
            <w:pPr>
              <w:pStyle w:val="TableTextEntries"/>
            </w:pPr>
            <w:r w:rsidRPr="00FD5A42">
              <w:t>1.c  Evidence of rice shortages reduction</w:t>
            </w:r>
          </w:p>
          <w:p w:rsidR="0045354B" w:rsidRPr="00FD5A42" w:rsidRDefault="0045354B" w:rsidP="001426FC">
            <w:pPr>
              <w:pStyle w:val="TableTextEntries"/>
            </w:pPr>
            <w:r w:rsidRPr="00FD5A42">
              <w:t xml:space="preserve">2.a Khamouane </w:t>
            </w:r>
            <w:r w:rsidR="003C6425" w:rsidRPr="003C6425">
              <w:t>disaster management</w:t>
            </w:r>
            <w:r w:rsidRPr="00FD5A42">
              <w:t xml:space="preserve"> plans approved and </w:t>
            </w:r>
          </w:p>
          <w:p w:rsidR="0045354B" w:rsidRPr="00FD5A42" w:rsidRDefault="0045354B" w:rsidP="001426FC">
            <w:pPr>
              <w:pStyle w:val="TableTextEntries"/>
            </w:pPr>
            <w:r w:rsidRPr="00FD5A42">
              <w:lastRenderedPageBreak/>
              <w:t xml:space="preserve">2.b  Evidence that </w:t>
            </w:r>
            <w:r w:rsidR="003C6425" w:rsidRPr="003C6425">
              <w:t xml:space="preserve">disaster management </w:t>
            </w:r>
            <w:r w:rsidRPr="00FD5A42">
              <w:t>plans are being maintained, implemented, and utilised effectively by government and communities</w:t>
            </w:r>
          </w:p>
          <w:p w:rsidR="0045354B" w:rsidRPr="00FD5A42" w:rsidRDefault="0045354B" w:rsidP="001426FC">
            <w:pPr>
              <w:pStyle w:val="TableTextEntries"/>
            </w:pPr>
            <w:r w:rsidRPr="00FD5A42">
              <w:t>3.a   Access to essential health care services, improved rural roads, convenient water and sanitation systems, and UXO-cleared lands benefiting at least # women</w:t>
            </w:r>
          </w:p>
          <w:p w:rsidR="0045354B" w:rsidRPr="00FD5A42" w:rsidRDefault="0045354B" w:rsidP="001426FC">
            <w:pPr>
              <w:pStyle w:val="TableTextEntries"/>
            </w:pPr>
            <w:r w:rsidRPr="00FD5A42">
              <w:t>3.b  X % of women report improved health outcomes</w:t>
            </w:r>
          </w:p>
          <w:p w:rsidR="0045354B" w:rsidRPr="00FD5A42" w:rsidRDefault="0045354B" w:rsidP="001426FC">
            <w:pPr>
              <w:pStyle w:val="TableTextEntries"/>
            </w:pPr>
            <w:r w:rsidRPr="00FD5A42">
              <w:t>3.c  X % of women report reduced workloads</w:t>
            </w:r>
          </w:p>
          <w:p w:rsidR="0045354B" w:rsidRPr="00FD5A42" w:rsidRDefault="0045354B" w:rsidP="001426FC">
            <w:pPr>
              <w:pStyle w:val="TableTextEntries"/>
            </w:pPr>
            <w:r w:rsidRPr="00FD5A42">
              <w:t>4a.1</w:t>
            </w:r>
            <w:r w:rsidRPr="00FD5A42">
              <w:tab/>
              <w:t xml:space="preserve">Annual evaluation workshop undertaken with effective participation by relevant </w:t>
            </w:r>
            <w:r>
              <w:t>Government of Laos</w:t>
            </w:r>
            <w:r w:rsidRPr="00FD5A42">
              <w:t xml:space="preserve"> agencies and other relevant rural development stakeholders</w:t>
            </w:r>
          </w:p>
          <w:p w:rsidR="0045354B" w:rsidRPr="00FD5A42" w:rsidRDefault="0045354B" w:rsidP="001426FC">
            <w:pPr>
              <w:pStyle w:val="TableTextEntries"/>
            </w:pPr>
            <w:r w:rsidRPr="00FD5A42">
              <w:t xml:space="preserve">4.a.2  Evidence of effective utilisation of relevant sector fora by </w:t>
            </w:r>
            <w:r w:rsidR="003C6425" w:rsidRPr="003C6425">
              <w:t xml:space="preserve">Lao–Australia Non-Government Organisation Cooperation Agreements </w:t>
            </w:r>
            <w:r w:rsidR="003C6425">
              <w:t>(</w:t>
            </w:r>
            <w:r w:rsidRPr="003C6425">
              <w:t>LANGOCA</w:t>
            </w:r>
            <w:r w:rsidR="003C6425" w:rsidRPr="003C6425">
              <w:t>)</w:t>
            </w:r>
            <w:r w:rsidRPr="003C6425">
              <w:t xml:space="preserve"> to</w:t>
            </w:r>
            <w:r w:rsidRPr="00FD5A42">
              <w:t xml:space="preserve"> showcase and discuss lessons learnt and good practice</w:t>
            </w:r>
          </w:p>
          <w:p w:rsidR="0045354B" w:rsidRPr="00FD5A42" w:rsidRDefault="0045354B" w:rsidP="001426FC">
            <w:pPr>
              <w:pStyle w:val="TableTextEntries"/>
            </w:pPr>
            <w:r w:rsidRPr="00FD5A42">
              <w:t>4b.1</w:t>
            </w:r>
            <w:r w:rsidRPr="00FD5A42">
              <w:tab/>
              <w:t xml:space="preserve">Evidence that LANGOCA good </w:t>
            </w:r>
            <w:r w:rsidRPr="00FD5A42">
              <w:lastRenderedPageBreak/>
              <w:t xml:space="preserve">practice is influencing </w:t>
            </w:r>
            <w:r>
              <w:t>Government of Laos</w:t>
            </w:r>
            <w:r w:rsidRPr="00FD5A42">
              <w:t xml:space="preserve"> and donor policy and programs</w:t>
            </w:r>
          </w:p>
          <w:p w:rsidR="0045354B" w:rsidRPr="00FD5A42" w:rsidRDefault="0045354B" w:rsidP="001426FC">
            <w:pPr>
              <w:pStyle w:val="TableTextEntries"/>
            </w:pPr>
          </w:p>
          <w:p w:rsidR="0045354B" w:rsidRPr="00FD5A42" w:rsidRDefault="0045354B" w:rsidP="001426FC">
            <w:pPr>
              <w:pStyle w:val="TableTextEntries"/>
            </w:pPr>
          </w:p>
        </w:tc>
      </w:tr>
      <w:tr w:rsidR="0045354B" w:rsidRPr="009C5835" w:rsidTr="00427331">
        <w:trPr>
          <w:trHeight w:val="521"/>
        </w:trPr>
        <w:tc>
          <w:tcPr>
            <w:tcW w:w="2028" w:type="dxa"/>
            <w:vMerge/>
          </w:tcPr>
          <w:p w:rsidR="0045354B" w:rsidRPr="009C5835" w:rsidRDefault="0045354B" w:rsidP="001426FC">
            <w:pPr>
              <w:pStyle w:val="TableTextEntries"/>
              <w:rPr>
                <w:rFonts w:ascii="Arial" w:hAnsi="Arial" w:cs="Arial"/>
                <w:i/>
                <w:sz w:val="24"/>
                <w:szCs w:val="24"/>
              </w:rPr>
            </w:pPr>
          </w:p>
        </w:tc>
        <w:tc>
          <w:tcPr>
            <w:tcW w:w="1651" w:type="dxa"/>
            <w:tcBorders>
              <w:top w:val="nil"/>
            </w:tcBorders>
          </w:tcPr>
          <w:p w:rsidR="0045354B" w:rsidRPr="00FD5A42" w:rsidRDefault="0045354B" w:rsidP="001426FC">
            <w:pPr>
              <w:pStyle w:val="TableTextEntries"/>
            </w:pPr>
          </w:p>
        </w:tc>
        <w:tc>
          <w:tcPr>
            <w:tcW w:w="2640" w:type="dxa"/>
          </w:tcPr>
          <w:p w:rsidR="0045354B" w:rsidRDefault="0045354B" w:rsidP="001426FC">
            <w:pPr>
              <w:pStyle w:val="TableTextEntries"/>
              <w:rPr>
                <w:b/>
              </w:rPr>
            </w:pPr>
            <w:r>
              <w:rPr>
                <w:b/>
              </w:rPr>
              <w:t>ACIAR:</w:t>
            </w:r>
          </w:p>
          <w:p w:rsidR="0045354B" w:rsidRPr="009658AC" w:rsidRDefault="0045354B" w:rsidP="00F57036">
            <w:pPr>
              <w:pStyle w:val="TableTextEntries"/>
            </w:pPr>
            <w:r w:rsidRPr="0085541C">
              <w:t xml:space="preserve">Documented improvements in food and nutrition security; productivity and resilience of crop, livestock, forestry and fisheries systems; Smallholder and community livelihoods; animal and plant biosecurity; and individual and institutional </w:t>
            </w:r>
            <w:r w:rsidR="00F57036">
              <w:t xml:space="preserve">research and development </w:t>
            </w:r>
            <w:r w:rsidRPr="0085541C">
              <w:t>capacity.</w:t>
            </w:r>
          </w:p>
        </w:tc>
        <w:tc>
          <w:tcPr>
            <w:tcW w:w="3029" w:type="dxa"/>
            <w:shd w:val="clear" w:color="auto" w:fill="E6E6E6"/>
          </w:tcPr>
          <w:p w:rsidR="0045354B" w:rsidRPr="00FD5A42" w:rsidRDefault="0045354B" w:rsidP="001426FC">
            <w:pPr>
              <w:pStyle w:val="TableTextEntries"/>
              <w:rPr>
                <w:szCs w:val="20"/>
              </w:rPr>
            </w:pPr>
          </w:p>
        </w:tc>
        <w:tc>
          <w:tcPr>
            <w:tcW w:w="3120" w:type="dxa"/>
            <w:shd w:val="clear" w:color="auto" w:fill="E6E6E6"/>
          </w:tcPr>
          <w:p w:rsidR="0045354B" w:rsidRPr="00F2719E" w:rsidRDefault="0045354B" w:rsidP="001426FC">
            <w:pPr>
              <w:pStyle w:val="TableTextEntries"/>
              <w:rPr>
                <w:b/>
                <w:szCs w:val="20"/>
              </w:rPr>
            </w:pPr>
          </w:p>
        </w:tc>
        <w:tc>
          <w:tcPr>
            <w:tcW w:w="3120" w:type="dxa"/>
          </w:tcPr>
          <w:p w:rsidR="0045354B" w:rsidRDefault="0045354B" w:rsidP="001426FC">
            <w:pPr>
              <w:pStyle w:val="TableTextEntries"/>
              <w:rPr>
                <w:szCs w:val="20"/>
              </w:rPr>
            </w:pPr>
            <w:r>
              <w:rPr>
                <w:b/>
                <w:szCs w:val="20"/>
              </w:rPr>
              <w:t>ACIAR:</w:t>
            </w:r>
          </w:p>
          <w:p w:rsidR="0045354B" w:rsidRPr="0085541C" w:rsidRDefault="0045354B" w:rsidP="001426FC">
            <w:pPr>
              <w:pStyle w:val="TableTextEntries"/>
            </w:pPr>
            <w:r w:rsidRPr="0085541C">
              <w:t>1 Fish passage technology implemented in the lower Mekong basin</w:t>
            </w:r>
          </w:p>
          <w:p w:rsidR="0045354B" w:rsidRPr="0085541C" w:rsidRDefault="0045354B" w:rsidP="001426FC">
            <w:pPr>
              <w:pStyle w:val="TableTextEntries"/>
            </w:pPr>
            <w:r w:rsidRPr="0085541C">
              <w:t xml:space="preserve">2 New project commenced on agricultural policy, with special emphasis on rice. </w:t>
            </w:r>
          </w:p>
          <w:p w:rsidR="0045354B" w:rsidRPr="0085541C" w:rsidRDefault="0045354B" w:rsidP="001426FC">
            <w:pPr>
              <w:pStyle w:val="TableTextEntries"/>
            </w:pPr>
            <w:r w:rsidRPr="0085541C">
              <w:t xml:space="preserve">3 New plantation forestry value-chain project commenced, integrating log supply and processing research, with </w:t>
            </w:r>
            <w:r w:rsidR="00731F6A" w:rsidRPr="0085541C">
              <w:t>investigation</w:t>
            </w:r>
            <w:r w:rsidRPr="0085541C">
              <w:t xml:space="preserve"> of payments for environmental services across different land uses </w:t>
            </w:r>
          </w:p>
          <w:p w:rsidR="0045354B" w:rsidRPr="0085541C" w:rsidRDefault="0045354B" w:rsidP="001426FC">
            <w:pPr>
              <w:pStyle w:val="TableTextEntries"/>
            </w:pPr>
            <w:r w:rsidRPr="0085541C">
              <w:lastRenderedPageBreak/>
              <w:t>4 Analysis of provincial level extension systems completed and documented</w:t>
            </w:r>
          </w:p>
          <w:p w:rsidR="0045354B" w:rsidRPr="0085541C" w:rsidRDefault="0045354B" w:rsidP="001426FC">
            <w:pPr>
              <w:pStyle w:val="TableTextEntries"/>
            </w:pPr>
            <w:r w:rsidRPr="0085541C">
              <w:t>5 Trans</w:t>
            </w:r>
            <w:r w:rsidR="00F57036">
              <w:t>-</w:t>
            </w:r>
            <w:r w:rsidRPr="0085541C">
              <w:t>disciplinary research program implemented for rice-based farming systems in southern provinces</w:t>
            </w:r>
          </w:p>
          <w:p w:rsidR="0045354B" w:rsidRPr="0085541C" w:rsidRDefault="0045354B" w:rsidP="001426FC">
            <w:pPr>
              <w:pStyle w:val="TableTextEntries"/>
            </w:pPr>
            <w:r w:rsidRPr="0085541C">
              <w:t>6 Cost analysis of risks to human health in pig production systems completed</w:t>
            </w:r>
          </w:p>
          <w:p w:rsidR="0045354B" w:rsidRPr="0085541C" w:rsidRDefault="0045354B" w:rsidP="001426FC">
            <w:pPr>
              <w:pStyle w:val="TableTextEntries"/>
            </w:pPr>
            <w:r w:rsidRPr="0085541C">
              <w:t>7 Integrated program for ACIAR-supported livestock health and production research planned and documented</w:t>
            </w:r>
          </w:p>
          <w:p w:rsidR="0045354B" w:rsidRPr="0085541C" w:rsidRDefault="0045354B" w:rsidP="001426FC">
            <w:pPr>
              <w:pStyle w:val="TableTextEntries"/>
            </w:pPr>
            <w:r w:rsidRPr="0085541C">
              <w:t xml:space="preserve">8 A </w:t>
            </w:r>
            <w:r w:rsidRPr="00342832">
              <w:t>regional program created for a partnership with STANDZ and participating countries to assess</w:t>
            </w:r>
            <w:r w:rsidRPr="0085541C">
              <w:t xml:space="preserve"> and control livestock biosecurity risks </w:t>
            </w:r>
          </w:p>
          <w:p w:rsidR="0045354B" w:rsidRPr="009658AC" w:rsidRDefault="0045354B" w:rsidP="001426FC">
            <w:pPr>
              <w:pStyle w:val="TableTextEntries"/>
              <w:rPr>
                <w:szCs w:val="20"/>
              </w:rPr>
            </w:pPr>
            <w:r w:rsidRPr="0085541C">
              <w:t>9 Lao Agricultural Research Fund projects move from being largely ‘training-oriented’ to become more outcomes focussed.</w:t>
            </w:r>
          </w:p>
        </w:tc>
      </w:tr>
      <w:tr w:rsidR="0045354B" w:rsidRPr="009C5835" w:rsidTr="00427331">
        <w:trPr>
          <w:trHeight w:val="521"/>
        </w:trPr>
        <w:tc>
          <w:tcPr>
            <w:tcW w:w="2028" w:type="dxa"/>
            <w:vMerge/>
          </w:tcPr>
          <w:p w:rsidR="0045354B" w:rsidRPr="009C5835" w:rsidRDefault="0045354B" w:rsidP="001426FC">
            <w:pPr>
              <w:pStyle w:val="TableTextEntries"/>
              <w:rPr>
                <w:rFonts w:ascii="Arial" w:hAnsi="Arial" w:cs="Arial"/>
                <w:i/>
                <w:sz w:val="24"/>
                <w:szCs w:val="24"/>
              </w:rPr>
            </w:pPr>
          </w:p>
        </w:tc>
        <w:tc>
          <w:tcPr>
            <w:tcW w:w="1651" w:type="dxa"/>
          </w:tcPr>
          <w:p w:rsidR="0045354B" w:rsidRPr="00FD5A42" w:rsidRDefault="0045354B" w:rsidP="001426FC">
            <w:pPr>
              <w:pStyle w:val="TableTextEntries"/>
            </w:pPr>
            <w:r w:rsidRPr="00FD5A42">
              <w:t>Improved prioritisation,  delivery efficiency, and coordination of mine action activities</w:t>
            </w:r>
          </w:p>
        </w:tc>
        <w:tc>
          <w:tcPr>
            <w:tcW w:w="2640" w:type="dxa"/>
          </w:tcPr>
          <w:p w:rsidR="0045354B" w:rsidRPr="00FD5A42" w:rsidRDefault="0045354B" w:rsidP="001426FC">
            <w:pPr>
              <w:pStyle w:val="TableTextEntries"/>
            </w:pPr>
            <w:r w:rsidRPr="00FD5A42">
              <w:t>At the central level,</w:t>
            </w:r>
          </w:p>
          <w:p w:rsidR="0045354B" w:rsidRPr="00FD5A42" w:rsidRDefault="0045354B" w:rsidP="001426FC">
            <w:pPr>
              <w:pStyle w:val="TableTextEntries"/>
            </w:pPr>
            <w:r w:rsidRPr="00FD5A42">
              <w:t>1</w:t>
            </w:r>
            <w:r w:rsidR="00AA7011">
              <w:t xml:space="preserve">. </w:t>
            </w:r>
            <w:r w:rsidRPr="00FD5A42">
              <w:t>Better quality control and assurance processes and systems within NRA and UXO Lao lead to zero-accident and environment-friendly outcomes</w:t>
            </w:r>
          </w:p>
          <w:p w:rsidR="0045354B" w:rsidRPr="00FD5A42" w:rsidRDefault="0045354B" w:rsidP="001426FC">
            <w:pPr>
              <w:pStyle w:val="TableTextEntries"/>
            </w:pPr>
            <w:r w:rsidRPr="00FD5A42">
              <w:t>2</w:t>
            </w:r>
            <w:r w:rsidR="00AA7011">
              <w:t xml:space="preserve">. </w:t>
            </w:r>
            <w:r w:rsidRPr="00FD5A42">
              <w:t xml:space="preserve">Evidence of gender </w:t>
            </w:r>
            <w:r w:rsidRPr="00FD5A42">
              <w:lastRenderedPageBreak/>
              <w:t xml:space="preserve">considerations integrated into UXO clearance prioritisation process and access to cleared lands and victim assistance services  </w:t>
            </w:r>
          </w:p>
        </w:tc>
        <w:tc>
          <w:tcPr>
            <w:tcW w:w="3029" w:type="dxa"/>
          </w:tcPr>
          <w:p w:rsidR="0045354B" w:rsidRPr="00FD5A42" w:rsidRDefault="0045354B" w:rsidP="001426FC">
            <w:pPr>
              <w:pStyle w:val="TableTextEntries"/>
              <w:rPr>
                <w:szCs w:val="20"/>
              </w:rPr>
            </w:pPr>
            <w:r w:rsidRPr="00FD5A42">
              <w:rPr>
                <w:szCs w:val="20"/>
              </w:rPr>
              <w:lastRenderedPageBreak/>
              <w:t>1.a P</w:t>
            </w:r>
            <w:r w:rsidR="00E20F1C">
              <w:rPr>
                <w:szCs w:val="20"/>
              </w:rPr>
              <w:t xml:space="preserve">ost </w:t>
            </w:r>
            <w:r w:rsidRPr="00FD5A42">
              <w:rPr>
                <w:szCs w:val="20"/>
              </w:rPr>
              <w:t>C</w:t>
            </w:r>
            <w:r w:rsidR="00E20F1C">
              <w:rPr>
                <w:szCs w:val="20"/>
              </w:rPr>
              <w:t xml:space="preserve">learance </w:t>
            </w:r>
            <w:r w:rsidRPr="00FD5A42">
              <w:rPr>
                <w:szCs w:val="20"/>
              </w:rPr>
              <w:t>I</w:t>
            </w:r>
            <w:r w:rsidR="00E20F1C">
              <w:rPr>
                <w:szCs w:val="20"/>
              </w:rPr>
              <w:t xml:space="preserve">mpact </w:t>
            </w:r>
            <w:r w:rsidRPr="00FD5A42">
              <w:rPr>
                <w:szCs w:val="20"/>
              </w:rPr>
              <w:t>A</w:t>
            </w:r>
            <w:r w:rsidR="00E20F1C">
              <w:rPr>
                <w:szCs w:val="20"/>
              </w:rPr>
              <w:t>ssessment</w:t>
            </w:r>
            <w:r w:rsidRPr="00FD5A42">
              <w:rPr>
                <w:szCs w:val="20"/>
              </w:rPr>
              <w:t xml:space="preserve"> report produced</w:t>
            </w:r>
          </w:p>
          <w:p w:rsidR="0045354B" w:rsidRPr="00FD5A42" w:rsidRDefault="0045354B" w:rsidP="001426FC">
            <w:pPr>
              <w:pStyle w:val="TableTextEntries"/>
              <w:rPr>
                <w:szCs w:val="20"/>
              </w:rPr>
            </w:pPr>
            <w:r w:rsidRPr="00FD5A42">
              <w:rPr>
                <w:szCs w:val="20"/>
              </w:rPr>
              <w:t>1.b Quality Assurance and Quality Control teams in the N</w:t>
            </w:r>
            <w:r w:rsidR="00B84E96">
              <w:rPr>
                <w:szCs w:val="20"/>
              </w:rPr>
              <w:t xml:space="preserve">ational </w:t>
            </w:r>
            <w:r w:rsidRPr="00FD5A42">
              <w:rPr>
                <w:szCs w:val="20"/>
              </w:rPr>
              <w:t>R</w:t>
            </w:r>
            <w:r w:rsidR="00B84E96">
              <w:rPr>
                <w:szCs w:val="20"/>
              </w:rPr>
              <w:t xml:space="preserve">egulatory </w:t>
            </w:r>
            <w:r w:rsidRPr="00FD5A42">
              <w:rPr>
                <w:szCs w:val="20"/>
              </w:rPr>
              <w:t>A</w:t>
            </w:r>
            <w:r w:rsidR="00B84E96">
              <w:rPr>
                <w:szCs w:val="20"/>
              </w:rPr>
              <w:t>uthority</w:t>
            </w:r>
            <w:r w:rsidRPr="00FD5A42">
              <w:rPr>
                <w:szCs w:val="20"/>
              </w:rPr>
              <w:t xml:space="preserve"> and UXO Lao established</w:t>
            </w:r>
          </w:p>
          <w:p w:rsidR="0045354B" w:rsidRPr="00FD5A42" w:rsidRDefault="0045354B" w:rsidP="00427331">
            <w:pPr>
              <w:pStyle w:val="TableTextEntries"/>
              <w:spacing w:before="240"/>
              <w:rPr>
                <w:szCs w:val="20"/>
              </w:rPr>
            </w:pPr>
            <w:r w:rsidRPr="00FD5A42">
              <w:rPr>
                <w:szCs w:val="20"/>
              </w:rPr>
              <w:lastRenderedPageBreak/>
              <w:t xml:space="preserve">2.a  </w:t>
            </w:r>
            <w:r w:rsidR="007B1E6B" w:rsidRPr="007B1E6B">
              <w:rPr>
                <w:szCs w:val="20"/>
              </w:rPr>
              <w:t xml:space="preserve">Post Clearance Impact Assessment </w:t>
            </w:r>
            <w:r w:rsidRPr="00FD5A42">
              <w:rPr>
                <w:szCs w:val="20"/>
              </w:rPr>
              <w:t xml:space="preserve"> report includes credible gender outcome/impact data</w:t>
            </w:r>
          </w:p>
          <w:p w:rsidR="0045354B" w:rsidRPr="00FD5A42" w:rsidRDefault="0045354B" w:rsidP="001426FC">
            <w:pPr>
              <w:pStyle w:val="TableTextEntries"/>
              <w:rPr>
                <w:szCs w:val="20"/>
              </w:rPr>
            </w:pPr>
            <w:r w:rsidRPr="00FD5A42">
              <w:rPr>
                <w:szCs w:val="20"/>
              </w:rPr>
              <w:t xml:space="preserve">2.b  Gender disaggregated data from the community outreach programme patient records shows improved access to services </w:t>
            </w:r>
          </w:p>
          <w:p w:rsidR="0045354B" w:rsidRPr="00FD5A42" w:rsidRDefault="0045354B" w:rsidP="001426FC">
            <w:pPr>
              <w:pStyle w:val="TableTextEntries"/>
              <w:rPr>
                <w:szCs w:val="20"/>
              </w:rPr>
            </w:pPr>
          </w:p>
        </w:tc>
        <w:tc>
          <w:tcPr>
            <w:tcW w:w="3120" w:type="dxa"/>
          </w:tcPr>
          <w:p w:rsidR="0045354B" w:rsidRPr="00F2719E" w:rsidRDefault="0045354B" w:rsidP="001426FC">
            <w:pPr>
              <w:pStyle w:val="TableTextEntries"/>
              <w:rPr>
                <w:b/>
                <w:szCs w:val="20"/>
              </w:rPr>
            </w:pPr>
            <w:r w:rsidRPr="00F2719E">
              <w:rPr>
                <w:b/>
                <w:szCs w:val="20"/>
              </w:rPr>
              <w:lastRenderedPageBreak/>
              <w:t xml:space="preserve">Milestone 1.a achieved </w:t>
            </w:r>
          </w:p>
          <w:p w:rsidR="0045354B" w:rsidRPr="00FD5A42" w:rsidRDefault="0045354B" w:rsidP="001426FC">
            <w:pPr>
              <w:pStyle w:val="TableTextEntries"/>
              <w:rPr>
                <w:szCs w:val="20"/>
              </w:rPr>
            </w:pPr>
            <w:r w:rsidRPr="00FD5A42">
              <w:rPr>
                <w:szCs w:val="20"/>
              </w:rPr>
              <w:t xml:space="preserve">Data collection and analysis was completed in </w:t>
            </w:r>
            <w:r w:rsidR="00454D5E" w:rsidRPr="00FD5A42">
              <w:rPr>
                <w:szCs w:val="20"/>
              </w:rPr>
              <w:t>mid-2010</w:t>
            </w:r>
            <w:r w:rsidR="00AA7011">
              <w:rPr>
                <w:szCs w:val="20"/>
              </w:rPr>
              <w:t xml:space="preserve">. </w:t>
            </w:r>
            <w:r w:rsidRPr="00FD5A42">
              <w:rPr>
                <w:szCs w:val="20"/>
              </w:rPr>
              <w:t xml:space="preserve">The technical workshops on the research findings at district levels took place in late 2010. The final </w:t>
            </w:r>
            <w:r w:rsidR="00E20F1C" w:rsidRPr="00E20F1C">
              <w:rPr>
                <w:szCs w:val="20"/>
              </w:rPr>
              <w:t xml:space="preserve">Post Clearance Impact </w:t>
            </w:r>
            <w:proofErr w:type="gramStart"/>
            <w:r w:rsidR="00E20F1C" w:rsidRPr="00E20F1C">
              <w:rPr>
                <w:szCs w:val="20"/>
              </w:rPr>
              <w:t xml:space="preserve">Assessment </w:t>
            </w:r>
            <w:r w:rsidRPr="00FD5A42">
              <w:rPr>
                <w:szCs w:val="20"/>
              </w:rPr>
              <w:t xml:space="preserve"> report</w:t>
            </w:r>
            <w:proofErr w:type="gramEnd"/>
            <w:r w:rsidRPr="00FD5A42">
              <w:rPr>
                <w:szCs w:val="20"/>
              </w:rPr>
              <w:t xml:space="preserve"> is expected by </w:t>
            </w:r>
            <w:r w:rsidRPr="00FD5A42">
              <w:rPr>
                <w:szCs w:val="20"/>
              </w:rPr>
              <w:lastRenderedPageBreak/>
              <w:t xml:space="preserve">February 2011. </w:t>
            </w:r>
          </w:p>
          <w:p w:rsidR="0045354B" w:rsidRPr="00F2719E" w:rsidRDefault="0045354B" w:rsidP="001426FC">
            <w:pPr>
              <w:pStyle w:val="TableTextEntries"/>
              <w:rPr>
                <w:b/>
                <w:szCs w:val="20"/>
              </w:rPr>
            </w:pPr>
            <w:r w:rsidRPr="00F2719E">
              <w:rPr>
                <w:b/>
                <w:szCs w:val="20"/>
              </w:rPr>
              <w:t>Milestone 1.b partly met</w:t>
            </w:r>
          </w:p>
          <w:p w:rsidR="0045354B" w:rsidRPr="00FD5A42" w:rsidRDefault="0045354B" w:rsidP="001426FC">
            <w:pPr>
              <w:pStyle w:val="TableTextEntries"/>
              <w:rPr>
                <w:szCs w:val="20"/>
              </w:rPr>
            </w:pPr>
            <w:r w:rsidRPr="00E20F1C">
              <w:rPr>
                <w:szCs w:val="20"/>
              </w:rPr>
              <w:t>16 S</w:t>
            </w:r>
            <w:r w:rsidR="001C7185" w:rsidRPr="00E20F1C">
              <w:rPr>
                <w:szCs w:val="20"/>
              </w:rPr>
              <w:t xml:space="preserve">enior </w:t>
            </w:r>
            <w:r w:rsidRPr="00E20F1C">
              <w:rPr>
                <w:szCs w:val="20"/>
              </w:rPr>
              <w:t>E</w:t>
            </w:r>
            <w:r w:rsidR="001C7185" w:rsidRPr="00E20F1C">
              <w:rPr>
                <w:szCs w:val="20"/>
              </w:rPr>
              <w:t xml:space="preserve">xplosive </w:t>
            </w:r>
            <w:r w:rsidRPr="00E20F1C">
              <w:rPr>
                <w:szCs w:val="20"/>
              </w:rPr>
              <w:t>O</w:t>
            </w:r>
            <w:r w:rsidR="001C7185" w:rsidRPr="00E20F1C">
              <w:rPr>
                <w:szCs w:val="20"/>
              </w:rPr>
              <w:t xml:space="preserve">rdnance </w:t>
            </w:r>
            <w:r w:rsidRPr="00E20F1C">
              <w:rPr>
                <w:szCs w:val="20"/>
              </w:rPr>
              <w:t>D</w:t>
            </w:r>
            <w:r w:rsidR="001C7185" w:rsidRPr="00E20F1C">
              <w:rPr>
                <w:szCs w:val="20"/>
              </w:rPr>
              <w:t xml:space="preserve">etection </w:t>
            </w:r>
            <w:r w:rsidRPr="00E20F1C">
              <w:rPr>
                <w:szCs w:val="20"/>
              </w:rPr>
              <w:t>T</w:t>
            </w:r>
            <w:r w:rsidR="001C7185" w:rsidRPr="00E20F1C">
              <w:rPr>
                <w:szCs w:val="20"/>
              </w:rPr>
              <w:t>eam</w:t>
            </w:r>
            <w:r w:rsidRPr="00E20F1C">
              <w:rPr>
                <w:szCs w:val="20"/>
              </w:rPr>
              <w:t xml:space="preserve"> and Clearance Team Leaders in place in UXO Lao. Q</w:t>
            </w:r>
            <w:r w:rsidR="005C3B23">
              <w:rPr>
                <w:szCs w:val="20"/>
              </w:rPr>
              <w:t xml:space="preserve">uality </w:t>
            </w:r>
            <w:r w:rsidRPr="00E20F1C">
              <w:rPr>
                <w:szCs w:val="20"/>
              </w:rPr>
              <w:t>C</w:t>
            </w:r>
            <w:r w:rsidR="005C3B23">
              <w:rPr>
                <w:szCs w:val="20"/>
              </w:rPr>
              <w:t>ontrol</w:t>
            </w:r>
            <w:r w:rsidRPr="00E20F1C">
              <w:rPr>
                <w:szCs w:val="20"/>
              </w:rPr>
              <w:t xml:space="preserve"> and safety</w:t>
            </w:r>
            <w:r w:rsidRPr="00FD5A42">
              <w:rPr>
                <w:szCs w:val="20"/>
              </w:rPr>
              <w:t xml:space="preserve"> clearance were conducted for 114 cleared sites by the external mobile teams</w:t>
            </w:r>
            <w:r w:rsidR="00AA7011">
              <w:rPr>
                <w:szCs w:val="20"/>
              </w:rPr>
              <w:t xml:space="preserve">. </w:t>
            </w:r>
            <w:r w:rsidRPr="00FD5A42">
              <w:rPr>
                <w:szCs w:val="20"/>
              </w:rPr>
              <w:t xml:space="preserve">At the </w:t>
            </w:r>
            <w:r w:rsidR="00B84E96" w:rsidRPr="00B84E96">
              <w:rPr>
                <w:szCs w:val="20"/>
              </w:rPr>
              <w:t>National Regulatory Authority</w:t>
            </w:r>
            <w:r w:rsidRPr="00FD5A42">
              <w:rPr>
                <w:szCs w:val="20"/>
              </w:rPr>
              <w:t xml:space="preserve"> delays </w:t>
            </w:r>
            <w:r w:rsidR="00B56F0A">
              <w:rPr>
                <w:szCs w:val="20"/>
              </w:rPr>
              <w:t xml:space="preserve">were experienced </w:t>
            </w:r>
            <w:r w:rsidRPr="00FD5A42">
              <w:rPr>
                <w:szCs w:val="20"/>
              </w:rPr>
              <w:t>in contracting technical support to mobilize the external Q</w:t>
            </w:r>
            <w:r w:rsidR="005C3B23">
              <w:rPr>
                <w:szCs w:val="20"/>
              </w:rPr>
              <w:t xml:space="preserve">uality </w:t>
            </w:r>
            <w:r w:rsidRPr="00FD5A42">
              <w:rPr>
                <w:szCs w:val="20"/>
              </w:rPr>
              <w:t>A</w:t>
            </w:r>
            <w:r w:rsidR="005C3B23">
              <w:rPr>
                <w:szCs w:val="20"/>
              </w:rPr>
              <w:t>ssurance</w:t>
            </w:r>
            <w:r w:rsidRPr="00FD5A42">
              <w:rPr>
                <w:szCs w:val="20"/>
              </w:rPr>
              <w:t>/</w:t>
            </w:r>
            <w:r w:rsidR="005C3B23" w:rsidRPr="005C3B23">
              <w:rPr>
                <w:szCs w:val="20"/>
              </w:rPr>
              <w:t>Quality Control</w:t>
            </w:r>
            <w:r w:rsidRPr="00FD5A42">
              <w:rPr>
                <w:szCs w:val="20"/>
              </w:rPr>
              <w:t xml:space="preserve"> teams. The </w:t>
            </w:r>
            <w:r w:rsidR="0088546F" w:rsidRPr="0088546F">
              <w:rPr>
                <w:szCs w:val="20"/>
              </w:rPr>
              <w:t>Quality Assurance</w:t>
            </w:r>
            <w:r w:rsidRPr="00FD5A42">
              <w:rPr>
                <w:szCs w:val="20"/>
              </w:rPr>
              <w:t>/</w:t>
            </w:r>
            <w:r w:rsidR="0088546F" w:rsidRPr="0088546F">
              <w:rPr>
                <w:szCs w:val="20"/>
              </w:rPr>
              <w:t>Quality Control</w:t>
            </w:r>
            <w:r w:rsidRPr="00FD5A42">
              <w:rPr>
                <w:szCs w:val="20"/>
              </w:rPr>
              <w:t xml:space="preserve"> teams under </w:t>
            </w:r>
            <w:r w:rsidR="00B84E96" w:rsidRPr="00B84E96">
              <w:rPr>
                <w:szCs w:val="20"/>
              </w:rPr>
              <w:t>National Regulatory Authority</w:t>
            </w:r>
            <w:r w:rsidRPr="00FD5A42">
              <w:rPr>
                <w:szCs w:val="20"/>
              </w:rPr>
              <w:t xml:space="preserve"> will take a full responsibility to undertake external inspections in the next 3 months.</w:t>
            </w:r>
          </w:p>
          <w:p w:rsidR="0045354B" w:rsidRPr="00F2719E" w:rsidRDefault="0045354B" w:rsidP="001426FC">
            <w:pPr>
              <w:pStyle w:val="TableTextEntries"/>
              <w:rPr>
                <w:b/>
                <w:szCs w:val="20"/>
              </w:rPr>
            </w:pPr>
            <w:r w:rsidRPr="00F2719E">
              <w:rPr>
                <w:b/>
                <w:szCs w:val="20"/>
              </w:rPr>
              <w:t xml:space="preserve">Milestone 2.a </w:t>
            </w:r>
            <w:r w:rsidR="0088546F">
              <w:rPr>
                <w:b/>
                <w:szCs w:val="20"/>
              </w:rPr>
              <w:t>met</w:t>
            </w:r>
          </w:p>
          <w:p w:rsidR="0045354B" w:rsidRPr="00FD5A42" w:rsidRDefault="0045354B" w:rsidP="001426FC">
            <w:pPr>
              <w:pStyle w:val="TableTextEntries"/>
              <w:rPr>
                <w:szCs w:val="20"/>
              </w:rPr>
            </w:pPr>
            <w:r w:rsidRPr="00FD5A42">
              <w:rPr>
                <w:szCs w:val="20"/>
              </w:rPr>
              <w:t xml:space="preserve">Evidence from the recent </w:t>
            </w:r>
            <w:r w:rsidR="0088546F" w:rsidRPr="0088546F">
              <w:rPr>
                <w:szCs w:val="20"/>
              </w:rPr>
              <w:t xml:space="preserve">Post Clearance Impact </w:t>
            </w:r>
            <w:proofErr w:type="gramStart"/>
            <w:r w:rsidR="0088546F" w:rsidRPr="0088546F">
              <w:rPr>
                <w:szCs w:val="20"/>
              </w:rPr>
              <w:t xml:space="preserve">Assessment </w:t>
            </w:r>
            <w:r w:rsidRPr="00FD5A42">
              <w:rPr>
                <w:szCs w:val="20"/>
              </w:rPr>
              <w:t xml:space="preserve"> progress</w:t>
            </w:r>
            <w:proofErr w:type="gramEnd"/>
            <w:r w:rsidRPr="00FD5A42">
              <w:rPr>
                <w:szCs w:val="20"/>
              </w:rPr>
              <w:t xml:space="preserve"> report shows that almost haft of the study samples are women. Gender outcome and impact is being analysed and will be shown in the final report.</w:t>
            </w:r>
          </w:p>
          <w:p w:rsidR="0045354B" w:rsidRPr="00F2719E" w:rsidRDefault="0045354B" w:rsidP="001426FC">
            <w:pPr>
              <w:pStyle w:val="TableTextEntries"/>
              <w:rPr>
                <w:b/>
                <w:szCs w:val="20"/>
              </w:rPr>
            </w:pPr>
            <w:r w:rsidRPr="00F2719E">
              <w:rPr>
                <w:b/>
                <w:szCs w:val="20"/>
              </w:rPr>
              <w:t>Milestone 2.b partly met</w:t>
            </w:r>
          </w:p>
          <w:p w:rsidR="0045354B" w:rsidRPr="00FD5A42" w:rsidRDefault="0045354B" w:rsidP="00AD29F5">
            <w:pPr>
              <w:pStyle w:val="TableTextEntries"/>
              <w:rPr>
                <w:szCs w:val="20"/>
              </w:rPr>
            </w:pPr>
            <w:r w:rsidRPr="00FD5A42">
              <w:rPr>
                <w:szCs w:val="20"/>
              </w:rPr>
              <w:t xml:space="preserve">Activity Completion Report of </w:t>
            </w:r>
            <w:r w:rsidR="00AD29F5">
              <w:rPr>
                <w:szCs w:val="20"/>
              </w:rPr>
              <w:lastRenderedPageBreak/>
              <w:t xml:space="preserve">Cooperative </w:t>
            </w:r>
            <w:r w:rsidR="00AD29F5" w:rsidRPr="00AD29F5">
              <w:rPr>
                <w:szCs w:val="20"/>
              </w:rPr>
              <w:t>Orthotic and Prosthetic Enterprise</w:t>
            </w:r>
            <w:r w:rsidRPr="00AD29F5">
              <w:rPr>
                <w:szCs w:val="20"/>
              </w:rPr>
              <w:t xml:space="preserve"> s</w:t>
            </w:r>
            <w:r w:rsidRPr="00FD5A42">
              <w:rPr>
                <w:szCs w:val="20"/>
              </w:rPr>
              <w:t>hows that in 2010 the number of adult males who received a prosthetic was 457, compared to 65 adult females. This is compared to 111 adults males receiving an orthotic compared to 114 adult females</w:t>
            </w:r>
            <w:r w:rsidR="00AA7011">
              <w:rPr>
                <w:szCs w:val="20"/>
              </w:rPr>
              <w:t xml:space="preserve">. </w:t>
            </w:r>
            <w:r w:rsidRPr="00FD5A42">
              <w:rPr>
                <w:szCs w:val="20"/>
              </w:rPr>
              <w:t>The demand for a prosthetic could be heavily dominated by males because the most common activities for loss of limb for adults are from UXO incidents and industrial and traffic accidents.</w:t>
            </w:r>
          </w:p>
        </w:tc>
        <w:tc>
          <w:tcPr>
            <w:tcW w:w="3120" w:type="dxa"/>
          </w:tcPr>
          <w:p w:rsidR="0045354B" w:rsidRPr="00FD5A42" w:rsidRDefault="0045354B" w:rsidP="001426FC">
            <w:pPr>
              <w:pStyle w:val="TableTextEntries"/>
              <w:rPr>
                <w:szCs w:val="20"/>
              </w:rPr>
            </w:pPr>
            <w:proofErr w:type="gramStart"/>
            <w:r w:rsidRPr="00FD5A42">
              <w:rPr>
                <w:szCs w:val="20"/>
              </w:rPr>
              <w:lastRenderedPageBreak/>
              <w:t>1.a</w:t>
            </w:r>
            <w:proofErr w:type="gramEnd"/>
            <w:r w:rsidRPr="00FD5A42">
              <w:rPr>
                <w:szCs w:val="20"/>
              </w:rPr>
              <w:t xml:space="preserve">  </w:t>
            </w:r>
            <w:r w:rsidR="005C3B23" w:rsidRPr="005C3B23">
              <w:rPr>
                <w:szCs w:val="20"/>
              </w:rPr>
              <w:t xml:space="preserve">Post Clearance Impact Assessment </w:t>
            </w:r>
            <w:r w:rsidRPr="00FD5A42">
              <w:rPr>
                <w:szCs w:val="20"/>
              </w:rPr>
              <w:t xml:space="preserve"> report approved and disseminated</w:t>
            </w:r>
            <w:r w:rsidR="00AA7011">
              <w:rPr>
                <w:szCs w:val="20"/>
              </w:rPr>
              <w:t xml:space="preserve">. </w:t>
            </w:r>
          </w:p>
          <w:p w:rsidR="0045354B" w:rsidRPr="00FD5A42" w:rsidRDefault="0045354B" w:rsidP="001426FC">
            <w:pPr>
              <w:pStyle w:val="TableTextEntries"/>
              <w:rPr>
                <w:szCs w:val="20"/>
              </w:rPr>
            </w:pPr>
            <w:r w:rsidRPr="00FD5A42">
              <w:rPr>
                <w:szCs w:val="20"/>
              </w:rPr>
              <w:t xml:space="preserve">1.b  Evidence that </w:t>
            </w:r>
            <w:r w:rsidR="005C3B23" w:rsidRPr="005C3B23">
              <w:rPr>
                <w:szCs w:val="20"/>
              </w:rPr>
              <w:t xml:space="preserve">Post Clearance Impact Assessment </w:t>
            </w:r>
            <w:r w:rsidRPr="00FD5A42">
              <w:rPr>
                <w:szCs w:val="20"/>
              </w:rPr>
              <w:t xml:space="preserve"> results have shaped the sector </w:t>
            </w:r>
            <w:r w:rsidR="0038409F">
              <w:rPr>
                <w:szCs w:val="20"/>
              </w:rPr>
              <w:t>Work plan</w:t>
            </w:r>
            <w:r w:rsidRPr="00FD5A42">
              <w:rPr>
                <w:szCs w:val="20"/>
              </w:rPr>
              <w:t xml:space="preserve"> for 2012</w:t>
            </w:r>
          </w:p>
          <w:p w:rsidR="0045354B" w:rsidRPr="00FD5A42" w:rsidRDefault="0045354B" w:rsidP="001426FC">
            <w:pPr>
              <w:pStyle w:val="TableTextEntries"/>
              <w:rPr>
                <w:szCs w:val="20"/>
              </w:rPr>
            </w:pPr>
            <w:r w:rsidRPr="00FD5A42">
              <w:rPr>
                <w:szCs w:val="20"/>
              </w:rPr>
              <w:t xml:space="preserve">1.c  PRA </w:t>
            </w:r>
            <w:r w:rsidR="005C3B23" w:rsidRPr="005C3B23">
              <w:rPr>
                <w:szCs w:val="20"/>
              </w:rPr>
              <w:t>Quality Assurance</w:t>
            </w:r>
            <w:r w:rsidRPr="00FD5A42">
              <w:rPr>
                <w:szCs w:val="20"/>
              </w:rPr>
              <w:t>/</w:t>
            </w:r>
            <w:r w:rsidR="005C3B23" w:rsidRPr="005C3B23">
              <w:rPr>
                <w:szCs w:val="20"/>
              </w:rPr>
              <w:t>Quality Control</w:t>
            </w:r>
            <w:r w:rsidRPr="00FD5A42">
              <w:rPr>
                <w:szCs w:val="20"/>
              </w:rPr>
              <w:t xml:space="preserve"> provincial assessment </w:t>
            </w:r>
            <w:r w:rsidRPr="00FD5A42">
              <w:rPr>
                <w:szCs w:val="20"/>
              </w:rPr>
              <w:lastRenderedPageBreak/>
              <w:t>processes commenced</w:t>
            </w:r>
          </w:p>
          <w:p w:rsidR="0045354B" w:rsidRPr="00FD5A42" w:rsidRDefault="0045354B" w:rsidP="001426FC">
            <w:pPr>
              <w:pStyle w:val="TableTextEntries"/>
              <w:rPr>
                <w:szCs w:val="20"/>
              </w:rPr>
            </w:pPr>
            <w:r w:rsidRPr="00FD5A42">
              <w:rPr>
                <w:szCs w:val="20"/>
              </w:rPr>
              <w:t>1.d Zero UXO-related accidents for deminers</w:t>
            </w:r>
          </w:p>
          <w:p w:rsidR="0045354B" w:rsidRPr="00FD5A42" w:rsidRDefault="0045354B" w:rsidP="001426FC">
            <w:pPr>
              <w:pStyle w:val="TableTextEntries"/>
              <w:rPr>
                <w:szCs w:val="20"/>
              </w:rPr>
            </w:pPr>
            <w:r w:rsidRPr="00FD5A42">
              <w:rPr>
                <w:szCs w:val="20"/>
              </w:rPr>
              <w:t xml:space="preserve">2.a  gender findings of the </w:t>
            </w:r>
            <w:r w:rsidR="005C3B23" w:rsidRPr="005C3B23">
              <w:rPr>
                <w:szCs w:val="20"/>
              </w:rPr>
              <w:t xml:space="preserve">Post Clearance Impact Assessment </w:t>
            </w:r>
            <w:r w:rsidRPr="00FD5A42">
              <w:rPr>
                <w:szCs w:val="20"/>
              </w:rPr>
              <w:t xml:space="preserve"> incorporated into the sector </w:t>
            </w:r>
            <w:r w:rsidR="0038409F">
              <w:rPr>
                <w:szCs w:val="20"/>
              </w:rPr>
              <w:t>work plan</w:t>
            </w:r>
          </w:p>
          <w:p w:rsidR="0045354B" w:rsidRPr="00FD5A42" w:rsidRDefault="0045354B" w:rsidP="001426FC">
            <w:pPr>
              <w:pStyle w:val="TableTextEntries"/>
              <w:rPr>
                <w:szCs w:val="20"/>
              </w:rPr>
            </w:pPr>
            <w:r w:rsidRPr="00FD5A42">
              <w:rPr>
                <w:szCs w:val="20"/>
              </w:rPr>
              <w:t xml:space="preserve">2.b inclusion of gender dimension reporting into sector </w:t>
            </w:r>
            <w:r w:rsidR="0038409F">
              <w:rPr>
                <w:szCs w:val="20"/>
              </w:rPr>
              <w:t>work plan</w:t>
            </w:r>
            <w:r w:rsidRPr="00FD5A42">
              <w:rPr>
                <w:szCs w:val="20"/>
              </w:rPr>
              <w:t xml:space="preserve"> </w:t>
            </w:r>
            <w:r>
              <w:rPr>
                <w:szCs w:val="20"/>
              </w:rPr>
              <w:t>monitoring and evaluation</w:t>
            </w:r>
            <w:r w:rsidRPr="00FD5A42">
              <w:rPr>
                <w:szCs w:val="20"/>
              </w:rPr>
              <w:t xml:space="preserve"> framework</w:t>
            </w:r>
          </w:p>
          <w:p w:rsidR="0045354B" w:rsidRPr="00FD5A42" w:rsidRDefault="0045354B" w:rsidP="001426FC">
            <w:pPr>
              <w:pStyle w:val="TableTextEntries"/>
              <w:rPr>
                <w:szCs w:val="20"/>
              </w:rPr>
            </w:pPr>
            <w:r w:rsidRPr="00FD5A42">
              <w:rPr>
                <w:szCs w:val="20"/>
              </w:rPr>
              <w:t>2.c  evidence of women’s access to rehabilitation services</w:t>
            </w:r>
            <w:r w:rsidR="00437535">
              <w:rPr>
                <w:szCs w:val="20"/>
              </w:rPr>
              <w:t>—</w:t>
            </w:r>
            <w:r w:rsidRPr="00FD5A42">
              <w:rPr>
                <w:szCs w:val="20"/>
              </w:rPr>
              <w:t>including absolute and proportional information</w:t>
            </w:r>
          </w:p>
          <w:p w:rsidR="0045354B" w:rsidRPr="00FD5A42" w:rsidRDefault="0045354B" w:rsidP="001426FC">
            <w:pPr>
              <w:pStyle w:val="TableTextEntries"/>
              <w:rPr>
                <w:szCs w:val="20"/>
              </w:rPr>
            </w:pPr>
          </w:p>
        </w:tc>
      </w:tr>
      <w:tr w:rsidR="0045354B" w:rsidRPr="00FD5A42" w:rsidTr="00427331">
        <w:trPr>
          <w:trHeight w:val="703"/>
        </w:trPr>
        <w:tc>
          <w:tcPr>
            <w:tcW w:w="2028" w:type="dxa"/>
            <w:vMerge/>
          </w:tcPr>
          <w:p w:rsidR="0045354B" w:rsidRPr="00FD5A42" w:rsidRDefault="0045354B" w:rsidP="001426FC">
            <w:pPr>
              <w:pStyle w:val="TableTextEntries"/>
            </w:pPr>
          </w:p>
        </w:tc>
        <w:tc>
          <w:tcPr>
            <w:tcW w:w="1651" w:type="dxa"/>
          </w:tcPr>
          <w:p w:rsidR="0045354B" w:rsidRPr="00FD5A42" w:rsidRDefault="0045354B" w:rsidP="001426FC">
            <w:pPr>
              <w:pStyle w:val="TableTextEntries"/>
            </w:pPr>
            <w:r w:rsidRPr="00FD5A42">
              <w:t>Improved rural  infrastructure, particularly roads and electrification</w:t>
            </w:r>
          </w:p>
        </w:tc>
        <w:tc>
          <w:tcPr>
            <w:tcW w:w="2640" w:type="dxa"/>
          </w:tcPr>
          <w:p w:rsidR="0045354B" w:rsidRPr="00FD5A42" w:rsidRDefault="0045354B" w:rsidP="001426FC">
            <w:pPr>
              <w:pStyle w:val="TableTextEntries"/>
            </w:pPr>
            <w:r w:rsidRPr="00FD5A42">
              <w:t>1</w:t>
            </w:r>
            <w:r w:rsidR="00AA7011">
              <w:t xml:space="preserve">. </w:t>
            </w:r>
            <w:r w:rsidRPr="00FD5A42">
              <w:t xml:space="preserve">Increased number of households with access to improved rural infrastructure </w:t>
            </w:r>
          </w:p>
          <w:p w:rsidR="0045354B" w:rsidRPr="00FD5A42" w:rsidRDefault="0045354B" w:rsidP="001426FC">
            <w:pPr>
              <w:pStyle w:val="TableTextEntries"/>
            </w:pPr>
            <w:r w:rsidRPr="00FD5A42">
              <w:t xml:space="preserve">1.a    number of additional households with access to improved roads </w:t>
            </w:r>
          </w:p>
          <w:p w:rsidR="0045354B" w:rsidRPr="00FD5A42" w:rsidRDefault="0045354B" w:rsidP="001426FC">
            <w:pPr>
              <w:pStyle w:val="TableTextEntries"/>
            </w:pPr>
            <w:r w:rsidRPr="00FD5A42">
              <w:t xml:space="preserve">1.b     number of  additional households with access to main grid or off-grid </w:t>
            </w:r>
          </w:p>
          <w:p w:rsidR="0045354B" w:rsidRPr="00FD5A42" w:rsidRDefault="0045354B" w:rsidP="001426FC">
            <w:pPr>
              <w:pStyle w:val="TableTextEntries"/>
            </w:pPr>
            <w:r w:rsidRPr="00FD5A42">
              <w:t>2</w:t>
            </w:r>
            <w:r w:rsidR="00AA7011">
              <w:t xml:space="preserve">. </w:t>
            </w:r>
            <w:r w:rsidRPr="00FD5A42">
              <w:t>Increased number of poor rural women with access to improved rural infrastructure</w:t>
            </w:r>
          </w:p>
          <w:p w:rsidR="0045354B" w:rsidRPr="00FD5A42" w:rsidRDefault="0045354B" w:rsidP="001426FC">
            <w:pPr>
              <w:pStyle w:val="TableTextEntries"/>
            </w:pPr>
            <w:r w:rsidRPr="00FD5A42">
              <w:t xml:space="preserve">2.a     number of additional women with access to improved </w:t>
            </w:r>
            <w:r w:rsidRPr="00FD5A42">
              <w:lastRenderedPageBreak/>
              <w:t xml:space="preserve">roads </w:t>
            </w:r>
          </w:p>
          <w:p w:rsidR="0045354B" w:rsidRPr="00FD5A42" w:rsidRDefault="0045354B" w:rsidP="001426FC">
            <w:pPr>
              <w:pStyle w:val="TableTextEntries"/>
            </w:pPr>
            <w:r w:rsidRPr="00FD5A42">
              <w:t>2.b    number of  additional women with access to main grid or off-grid electricity</w:t>
            </w:r>
          </w:p>
          <w:p w:rsidR="0045354B" w:rsidRPr="00FD5A42" w:rsidRDefault="0045354B" w:rsidP="001426FC">
            <w:pPr>
              <w:pStyle w:val="TableTextEntries"/>
            </w:pPr>
            <w:r w:rsidRPr="00FD5A42">
              <w:t>3</w:t>
            </w:r>
            <w:r w:rsidR="00AA7011">
              <w:t xml:space="preserve">. </w:t>
            </w:r>
            <w:r w:rsidRPr="00FD5A42">
              <w:t xml:space="preserve">Evidence of increasing integration and implementation of mitigation measures relating to social protection (HIV, trafficking, safety) and environmental impact in rural infrastructure interventions </w:t>
            </w:r>
          </w:p>
          <w:p w:rsidR="0045354B" w:rsidRPr="00FD5A42" w:rsidRDefault="0045354B" w:rsidP="001426FC">
            <w:pPr>
              <w:pStyle w:val="TableTextEntries"/>
            </w:pPr>
            <w:r w:rsidRPr="00FD5A42">
              <w:t>3.a.</w:t>
            </w:r>
            <w:r w:rsidRPr="00FD5A42">
              <w:tab/>
              <w:t xml:space="preserve">Evidence of measures integrated into rural road projects </w:t>
            </w:r>
          </w:p>
          <w:p w:rsidR="0045354B" w:rsidRPr="00FD5A42" w:rsidRDefault="0045354B" w:rsidP="001426FC">
            <w:pPr>
              <w:pStyle w:val="TableTextEntries"/>
            </w:pPr>
            <w:r w:rsidRPr="00FD5A42">
              <w:t>3.b.</w:t>
            </w:r>
            <w:r w:rsidRPr="00FD5A42">
              <w:tab/>
              <w:t xml:space="preserve">Evidence of measures integrated into rural electrification projects </w:t>
            </w:r>
          </w:p>
        </w:tc>
        <w:tc>
          <w:tcPr>
            <w:tcW w:w="3029" w:type="dxa"/>
          </w:tcPr>
          <w:p w:rsidR="0045354B" w:rsidRPr="00FD5A42" w:rsidRDefault="0045354B" w:rsidP="001426FC">
            <w:pPr>
              <w:pStyle w:val="TableTextEntries"/>
            </w:pPr>
            <w:r w:rsidRPr="00FD5A42">
              <w:lastRenderedPageBreak/>
              <w:t>1.a.1  N</w:t>
            </w:r>
            <w:r w:rsidR="007B1E6B">
              <w:t xml:space="preserve">orthern </w:t>
            </w:r>
            <w:r w:rsidRPr="00FD5A42">
              <w:t>T</w:t>
            </w:r>
            <w:r w:rsidR="007B1E6B">
              <w:t xml:space="preserve">ransport </w:t>
            </w:r>
            <w:r w:rsidRPr="00FD5A42">
              <w:t>N</w:t>
            </w:r>
            <w:r w:rsidR="007B1E6B">
              <w:t xml:space="preserve">etwork </w:t>
            </w:r>
            <w:r w:rsidRPr="00FD5A42">
              <w:t>I</w:t>
            </w:r>
            <w:r w:rsidR="007B1E6B">
              <w:t xml:space="preserve">mprovement </w:t>
            </w:r>
            <w:r w:rsidRPr="00FD5A42">
              <w:t>P</w:t>
            </w:r>
            <w:r w:rsidR="007B1E6B">
              <w:t>roject</w:t>
            </w:r>
            <w:r w:rsidRPr="00FD5A42">
              <w:t xml:space="preserve"> (Australian output only): </w:t>
            </w:r>
            <w:r w:rsidR="007B1E6B">
              <w:t xml:space="preserve"> </w:t>
            </w:r>
            <w:r w:rsidRPr="00FD5A42">
              <w:t>38 km of section V (83</w:t>
            </w:r>
            <w:r w:rsidR="00BB2B46">
              <w:t xml:space="preserve"> </w:t>
            </w:r>
            <w:r w:rsidRPr="00FD5A42">
              <w:t xml:space="preserve">km) of the main road paved </w:t>
            </w:r>
          </w:p>
          <w:p w:rsidR="0045354B" w:rsidRPr="00FD5A42" w:rsidRDefault="0045354B" w:rsidP="001426FC">
            <w:pPr>
              <w:pStyle w:val="TableTextEntries"/>
            </w:pPr>
            <w:proofErr w:type="gramStart"/>
            <w:r w:rsidRPr="00FD5A42">
              <w:t>1.a2</w:t>
            </w:r>
            <w:proofErr w:type="gramEnd"/>
            <w:r w:rsidRPr="00FD5A42">
              <w:t xml:space="preserve">  </w:t>
            </w:r>
            <w:r w:rsidR="007B1E6B" w:rsidRPr="00FD5A42">
              <w:t>N</w:t>
            </w:r>
            <w:r w:rsidR="007B1E6B">
              <w:t xml:space="preserve">orthern </w:t>
            </w:r>
            <w:r w:rsidR="007B1E6B" w:rsidRPr="00FD5A42">
              <w:t>T</w:t>
            </w:r>
            <w:r w:rsidR="007B1E6B">
              <w:t xml:space="preserve">ransport </w:t>
            </w:r>
            <w:r w:rsidR="007B1E6B" w:rsidRPr="00FD5A42">
              <w:t>N</w:t>
            </w:r>
            <w:r w:rsidR="007B1E6B">
              <w:t xml:space="preserve">etwork </w:t>
            </w:r>
            <w:r w:rsidR="007B1E6B" w:rsidRPr="00FD5A42">
              <w:t>I</w:t>
            </w:r>
            <w:r w:rsidR="007B1E6B">
              <w:t xml:space="preserve">mprovement </w:t>
            </w:r>
            <w:r w:rsidR="007B1E6B" w:rsidRPr="00FD5A42">
              <w:t>P</w:t>
            </w:r>
            <w:r w:rsidR="007B1E6B">
              <w:t>roject</w:t>
            </w:r>
            <w:r w:rsidR="007B1E6B" w:rsidRPr="00FD5A42">
              <w:t xml:space="preserve"> </w:t>
            </w:r>
            <w:r w:rsidRPr="00FD5A42">
              <w:t xml:space="preserve"> (Australian output only):</w:t>
            </w:r>
            <w:r w:rsidR="005F759F">
              <w:t xml:space="preserve"> </w:t>
            </w:r>
            <w:r w:rsidRPr="00FD5A42">
              <w:t xml:space="preserve"> tendering for rural roads commenced.</w:t>
            </w:r>
          </w:p>
          <w:p w:rsidR="0045354B" w:rsidRPr="00FD5A42" w:rsidRDefault="0045354B" w:rsidP="001426FC">
            <w:pPr>
              <w:pStyle w:val="TableTextEntries"/>
            </w:pPr>
            <w:r w:rsidRPr="00FD5A42">
              <w:t xml:space="preserve">1.b.1  </w:t>
            </w:r>
            <w:r w:rsidRPr="007B1E6B">
              <w:t>R</w:t>
            </w:r>
            <w:r w:rsidR="007B1E6B" w:rsidRPr="007B1E6B">
              <w:t xml:space="preserve">ural </w:t>
            </w:r>
            <w:r w:rsidRPr="007B1E6B">
              <w:t>E</w:t>
            </w:r>
            <w:r w:rsidR="007B1E6B" w:rsidRPr="007B1E6B">
              <w:t xml:space="preserve">lectrification </w:t>
            </w:r>
            <w:r w:rsidRPr="007B1E6B">
              <w:t>P</w:t>
            </w:r>
            <w:r w:rsidR="007B1E6B" w:rsidRPr="007B1E6B">
              <w:t xml:space="preserve">roject Phase </w:t>
            </w:r>
            <w:r w:rsidRPr="007B1E6B">
              <w:t>1 (Australian output only): 228 of additional households gain access to main electricity grid</w:t>
            </w:r>
          </w:p>
          <w:p w:rsidR="0045354B" w:rsidRPr="00FD5A42" w:rsidRDefault="0045354B" w:rsidP="001426FC">
            <w:pPr>
              <w:pStyle w:val="TableTextEntries"/>
            </w:pPr>
            <w:r w:rsidRPr="00FD5A42">
              <w:t xml:space="preserve">1.b.2 </w:t>
            </w:r>
            <w:r w:rsidR="007B1E6B" w:rsidRPr="007B1E6B">
              <w:t>Rural Electrification Project Phase 1</w:t>
            </w:r>
            <w:r w:rsidR="007B1E6B">
              <w:t>:</w:t>
            </w:r>
            <w:r w:rsidRPr="00FD5A42">
              <w:t xml:space="preserve"> no milestone for 2010 for off-</w:t>
            </w:r>
            <w:r w:rsidRPr="00FD5A42">
              <w:lastRenderedPageBreak/>
              <w:t>grid electricity</w:t>
            </w:r>
          </w:p>
          <w:p w:rsidR="0045354B" w:rsidRPr="00FD5A42" w:rsidRDefault="0045354B" w:rsidP="001426FC">
            <w:pPr>
              <w:pStyle w:val="TableTextEntries"/>
            </w:pPr>
            <w:r w:rsidRPr="00FD5A42">
              <w:t xml:space="preserve">2.a </w:t>
            </w:r>
            <w:r w:rsidR="007B1E6B" w:rsidRPr="00FD5A42">
              <w:t>N</w:t>
            </w:r>
            <w:r w:rsidR="007B1E6B">
              <w:t xml:space="preserve">orthern </w:t>
            </w:r>
            <w:r w:rsidR="007B1E6B" w:rsidRPr="00FD5A42">
              <w:t>T</w:t>
            </w:r>
            <w:r w:rsidR="007B1E6B">
              <w:t xml:space="preserve">ransport </w:t>
            </w:r>
            <w:r w:rsidR="007B1E6B" w:rsidRPr="00FD5A42">
              <w:t>N</w:t>
            </w:r>
            <w:r w:rsidR="007B1E6B">
              <w:t xml:space="preserve">etwork </w:t>
            </w:r>
            <w:r w:rsidR="007B1E6B" w:rsidRPr="00FD5A42">
              <w:t>I</w:t>
            </w:r>
            <w:r w:rsidR="007B1E6B">
              <w:t xml:space="preserve">mprovement </w:t>
            </w:r>
            <w:r w:rsidR="007B1E6B" w:rsidRPr="00FD5A42">
              <w:t>P</w:t>
            </w:r>
            <w:r w:rsidR="007B1E6B">
              <w:t>roject</w:t>
            </w:r>
            <w:r w:rsidR="007B1E6B" w:rsidRPr="00FD5A42">
              <w:t xml:space="preserve"> </w:t>
            </w:r>
            <w:r w:rsidR="007B1E6B">
              <w:t xml:space="preserve">: </w:t>
            </w:r>
            <w:r w:rsidRPr="00FD5A42">
              <w:t xml:space="preserve"> no milestone for 2010</w:t>
            </w:r>
          </w:p>
          <w:p w:rsidR="0045354B" w:rsidRPr="00FD5A42" w:rsidRDefault="0045354B" w:rsidP="001426FC">
            <w:pPr>
              <w:pStyle w:val="TableTextEntries"/>
            </w:pPr>
            <w:r w:rsidRPr="00FD5A42">
              <w:t xml:space="preserve">2.b  </w:t>
            </w:r>
            <w:r w:rsidR="007B1E6B" w:rsidRPr="007B1E6B">
              <w:t>Rural Electrification Project Phase 1</w:t>
            </w:r>
            <w:r w:rsidR="007B1E6B">
              <w:t>:</w:t>
            </w:r>
            <w:r w:rsidRPr="00FD5A42">
              <w:t xml:space="preserve"> no milestone for 2010 </w:t>
            </w:r>
          </w:p>
          <w:p w:rsidR="0045354B" w:rsidRPr="00FD5A42" w:rsidRDefault="0045354B" w:rsidP="001426FC">
            <w:pPr>
              <w:pStyle w:val="TableTextEntries"/>
            </w:pPr>
            <w:proofErr w:type="gramStart"/>
            <w:r w:rsidRPr="00FD5A42">
              <w:t>3.a</w:t>
            </w:r>
            <w:proofErr w:type="gramEnd"/>
            <w:r w:rsidRPr="00FD5A42">
              <w:t xml:space="preserve">  </w:t>
            </w:r>
            <w:r w:rsidR="007B1E6B" w:rsidRPr="00FD5A42">
              <w:t>N</w:t>
            </w:r>
            <w:r w:rsidR="007B1E6B">
              <w:t xml:space="preserve">orthern </w:t>
            </w:r>
            <w:r w:rsidR="007B1E6B" w:rsidRPr="00FD5A42">
              <w:t>T</w:t>
            </w:r>
            <w:r w:rsidR="007B1E6B">
              <w:t xml:space="preserve">ransport </w:t>
            </w:r>
            <w:r w:rsidR="007B1E6B" w:rsidRPr="00FD5A42">
              <w:t>N</w:t>
            </w:r>
            <w:r w:rsidR="007B1E6B">
              <w:t xml:space="preserve">etwork </w:t>
            </w:r>
            <w:r w:rsidR="007B1E6B" w:rsidRPr="00FD5A42">
              <w:t>I</w:t>
            </w:r>
            <w:r w:rsidR="007B1E6B">
              <w:t xml:space="preserve">mprovement </w:t>
            </w:r>
            <w:r w:rsidR="007B1E6B" w:rsidRPr="00FD5A42">
              <w:t>P</w:t>
            </w:r>
            <w:r w:rsidR="007B1E6B">
              <w:t>roject</w:t>
            </w:r>
            <w:r w:rsidR="007B1E6B" w:rsidRPr="00FD5A42">
              <w:t xml:space="preserve"> </w:t>
            </w:r>
            <w:r w:rsidRPr="00FD5A42">
              <w:t>: no milestone for 2010.</w:t>
            </w:r>
          </w:p>
          <w:p w:rsidR="0045354B" w:rsidRPr="00FD5A42" w:rsidRDefault="0045354B" w:rsidP="001426FC">
            <w:pPr>
              <w:pStyle w:val="TableTextEntries"/>
            </w:pPr>
            <w:r w:rsidRPr="00FD5A42">
              <w:t xml:space="preserve">3.b  </w:t>
            </w:r>
            <w:r w:rsidR="007B1E6B" w:rsidRPr="007B1E6B">
              <w:t>Rural Electrification Project Phase 1</w:t>
            </w:r>
            <w:r w:rsidRPr="00FD5A42">
              <w:t xml:space="preserve">: </w:t>
            </w:r>
            <w:r w:rsidRPr="00054533">
              <w:t>J</w:t>
            </w:r>
            <w:r w:rsidR="00054533" w:rsidRPr="00054533">
              <w:t xml:space="preserve">oint </w:t>
            </w:r>
            <w:r w:rsidRPr="00054533">
              <w:t>R</w:t>
            </w:r>
            <w:r w:rsidR="00054533" w:rsidRPr="00054533">
              <w:t xml:space="preserve">eview </w:t>
            </w:r>
            <w:r w:rsidRPr="00054533">
              <w:t>M</w:t>
            </w:r>
            <w:r w:rsidR="00054533" w:rsidRPr="00054533">
              <w:t>ission</w:t>
            </w:r>
            <w:r w:rsidRPr="00FD5A42">
              <w:t xml:space="preserve"> results show implementation of mitigation measures on safety and environment impact </w:t>
            </w:r>
          </w:p>
          <w:p w:rsidR="0045354B" w:rsidRPr="00FD5A42" w:rsidRDefault="0045354B" w:rsidP="001426FC">
            <w:pPr>
              <w:pStyle w:val="TableTextEntries"/>
              <w:rPr>
                <w:b/>
              </w:rPr>
            </w:pPr>
          </w:p>
        </w:tc>
        <w:tc>
          <w:tcPr>
            <w:tcW w:w="3120" w:type="dxa"/>
          </w:tcPr>
          <w:p w:rsidR="0045354B" w:rsidRPr="00FD5A42" w:rsidRDefault="007B1E6B" w:rsidP="001426FC">
            <w:pPr>
              <w:pStyle w:val="TableTextEntries"/>
              <w:rPr>
                <w:b/>
              </w:rPr>
            </w:pPr>
            <w:r>
              <w:rPr>
                <w:b/>
              </w:rPr>
              <w:lastRenderedPageBreak/>
              <w:t>1.a.1    Milestone met</w:t>
            </w:r>
            <w:r w:rsidR="0045354B" w:rsidRPr="00FD5A42">
              <w:rPr>
                <w:b/>
              </w:rPr>
              <w:t xml:space="preserve">        </w:t>
            </w:r>
          </w:p>
          <w:p w:rsidR="0045354B" w:rsidRPr="00FD5A42" w:rsidRDefault="0045354B" w:rsidP="001426FC">
            <w:pPr>
              <w:pStyle w:val="TableTextEntries"/>
            </w:pPr>
            <w:r w:rsidRPr="00FD5A42">
              <w:t>Progress on Section V is well advance</w:t>
            </w:r>
            <w:r>
              <w:t>d with 47 km completed</w:t>
            </w:r>
            <w:r w:rsidRPr="00FD5A42">
              <w:t xml:space="preserve">: </w:t>
            </w:r>
            <w:r>
              <w:t xml:space="preserve">This represents </w:t>
            </w:r>
            <w:r w:rsidRPr="00FD5A42">
              <w:t>56.32% has been completed against 54.1% planned</w:t>
            </w:r>
            <w:r w:rsidR="00AA7011">
              <w:t xml:space="preserve">. </w:t>
            </w:r>
          </w:p>
          <w:p w:rsidR="0045354B" w:rsidRPr="00FD5A42" w:rsidRDefault="00C82DC6" w:rsidP="001426FC">
            <w:pPr>
              <w:pStyle w:val="TableTextEntries"/>
              <w:rPr>
                <w:b/>
              </w:rPr>
            </w:pPr>
            <w:r>
              <w:rPr>
                <w:b/>
              </w:rPr>
              <w:t>1.a.2    Milestone met</w:t>
            </w:r>
          </w:p>
          <w:p w:rsidR="0045354B" w:rsidRPr="00FD5A42" w:rsidRDefault="0045354B" w:rsidP="001426FC">
            <w:pPr>
              <w:pStyle w:val="TableTextEntries"/>
            </w:pPr>
            <w:proofErr w:type="gramStart"/>
            <w:r w:rsidRPr="00FD5A42">
              <w:t>bidding</w:t>
            </w:r>
            <w:proofErr w:type="gramEnd"/>
            <w:r w:rsidRPr="00FD5A42">
              <w:t xml:space="preserve"> document for rural access roads was completed. </w:t>
            </w:r>
          </w:p>
          <w:p w:rsidR="0045354B" w:rsidRPr="00FD5A42" w:rsidRDefault="0045354B" w:rsidP="001426FC">
            <w:pPr>
              <w:pStyle w:val="TableTextEntries"/>
            </w:pPr>
            <w:r w:rsidRPr="00FD5A42">
              <w:t xml:space="preserve">Invitation for tender was launched in </w:t>
            </w:r>
            <w:r w:rsidR="00454D5E" w:rsidRPr="00FD5A42">
              <w:t>mid-2010</w:t>
            </w:r>
            <w:r w:rsidRPr="00FD5A42">
              <w:t xml:space="preserve">. The short-listed contractors are being assessed. </w:t>
            </w:r>
          </w:p>
          <w:p w:rsidR="0045354B" w:rsidRPr="00FD5A42" w:rsidRDefault="0045354B" w:rsidP="001426FC">
            <w:pPr>
              <w:pStyle w:val="TableTextEntries"/>
              <w:rPr>
                <w:b/>
              </w:rPr>
            </w:pPr>
            <w:r w:rsidRPr="00FD5A42">
              <w:rPr>
                <w:b/>
              </w:rPr>
              <w:t xml:space="preserve">1b.1    Milestone not met </w:t>
            </w:r>
          </w:p>
          <w:p w:rsidR="0045354B" w:rsidRPr="00FD5A42" w:rsidRDefault="0045354B" w:rsidP="001426FC">
            <w:pPr>
              <w:pStyle w:val="TableTextEntries"/>
            </w:pPr>
            <w:r w:rsidRPr="00FD5A42">
              <w:t>delay in signing the WB/</w:t>
            </w:r>
            <w:r>
              <w:t>Government of Laos</w:t>
            </w:r>
            <w:r w:rsidRPr="00FD5A42">
              <w:t xml:space="preserve"> Grant Agreement</w:t>
            </w:r>
          </w:p>
          <w:p w:rsidR="0045354B" w:rsidRPr="00FD5A42" w:rsidRDefault="0045354B" w:rsidP="001426FC">
            <w:pPr>
              <w:pStyle w:val="TableTextEntries"/>
              <w:rPr>
                <w:b/>
              </w:rPr>
            </w:pPr>
            <w:r w:rsidRPr="00FD5A42">
              <w:rPr>
                <w:b/>
              </w:rPr>
              <w:lastRenderedPageBreak/>
              <w:t xml:space="preserve">1b.2    no milestone set </w:t>
            </w:r>
            <w:r>
              <w:rPr>
                <w:b/>
              </w:rPr>
              <w:t>for 2010</w:t>
            </w:r>
          </w:p>
          <w:p w:rsidR="0045354B" w:rsidRPr="00FD5A42" w:rsidRDefault="0045354B" w:rsidP="001426FC">
            <w:pPr>
              <w:pStyle w:val="TableTextEntries"/>
              <w:rPr>
                <w:b/>
              </w:rPr>
            </w:pPr>
            <w:proofErr w:type="gramStart"/>
            <w:r w:rsidRPr="00FD5A42">
              <w:rPr>
                <w:b/>
              </w:rPr>
              <w:t>2.a</w:t>
            </w:r>
            <w:proofErr w:type="gramEnd"/>
            <w:r w:rsidRPr="00FD5A42">
              <w:rPr>
                <w:b/>
              </w:rPr>
              <w:t>.</w:t>
            </w:r>
            <w:r w:rsidR="00075FBB">
              <w:rPr>
                <w:b/>
              </w:rPr>
              <w:t xml:space="preserve">  </w:t>
            </w:r>
            <w:r w:rsidRPr="00FD5A42">
              <w:rPr>
                <w:b/>
              </w:rPr>
              <w:t>no milestone set for 2010</w:t>
            </w:r>
          </w:p>
          <w:p w:rsidR="0045354B" w:rsidRPr="00FD5A42" w:rsidRDefault="0045354B" w:rsidP="001426FC">
            <w:pPr>
              <w:pStyle w:val="TableTextEntries"/>
              <w:rPr>
                <w:b/>
              </w:rPr>
            </w:pPr>
            <w:proofErr w:type="gramStart"/>
            <w:r w:rsidRPr="00FD5A42">
              <w:rPr>
                <w:b/>
              </w:rPr>
              <w:t>2.b</w:t>
            </w:r>
            <w:proofErr w:type="gramEnd"/>
            <w:r w:rsidRPr="00FD5A42">
              <w:rPr>
                <w:b/>
              </w:rPr>
              <w:t>.</w:t>
            </w:r>
            <w:r w:rsidR="00075FBB">
              <w:rPr>
                <w:b/>
              </w:rPr>
              <w:t xml:space="preserve">  </w:t>
            </w:r>
            <w:r w:rsidRPr="00FD5A42">
              <w:rPr>
                <w:b/>
              </w:rPr>
              <w:t>no milestone set for 2010</w:t>
            </w:r>
          </w:p>
          <w:p w:rsidR="0045354B" w:rsidRPr="00FD5A42" w:rsidRDefault="0045354B" w:rsidP="001426FC">
            <w:pPr>
              <w:pStyle w:val="TableTextEntries"/>
              <w:rPr>
                <w:b/>
              </w:rPr>
            </w:pPr>
            <w:r w:rsidRPr="00FD5A42">
              <w:rPr>
                <w:b/>
              </w:rPr>
              <w:t>3.a   no milestone set for 2010:</w:t>
            </w:r>
          </w:p>
          <w:p w:rsidR="0045354B" w:rsidRPr="00FD5A42" w:rsidRDefault="0045354B" w:rsidP="001426FC">
            <w:pPr>
              <w:pStyle w:val="TableTextEntries"/>
              <w:rPr>
                <w:color w:val="000000"/>
              </w:rPr>
            </w:pPr>
            <w:r w:rsidRPr="00FD5A42">
              <w:rPr>
                <w:color w:val="000000"/>
              </w:rPr>
              <w:t xml:space="preserve">The social development plan for HIV/AIDs </w:t>
            </w:r>
            <w:r w:rsidR="00731F6A" w:rsidRPr="00FD5A42">
              <w:rPr>
                <w:color w:val="000000"/>
              </w:rPr>
              <w:t>awareness and</w:t>
            </w:r>
            <w:r w:rsidRPr="00FD5A42">
              <w:rPr>
                <w:color w:val="000000"/>
              </w:rPr>
              <w:t xml:space="preserve"> human trafficking plans are now in place. Risks mitigation will be measured in the mission June 2011 by the Social Development Team.</w:t>
            </w:r>
          </w:p>
          <w:p w:rsidR="0045354B" w:rsidRPr="00FD5A42" w:rsidRDefault="0045354B" w:rsidP="001426FC">
            <w:pPr>
              <w:pStyle w:val="TableTextEntries"/>
              <w:rPr>
                <w:b/>
              </w:rPr>
            </w:pPr>
            <w:r w:rsidRPr="00FD5A42">
              <w:rPr>
                <w:b/>
              </w:rPr>
              <w:t xml:space="preserve">3.b   </w:t>
            </w:r>
            <w:r w:rsidR="00C82DC6">
              <w:rPr>
                <w:b/>
              </w:rPr>
              <w:t>partially met</w:t>
            </w:r>
            <w:r w:rsidRPr="00FD5A42">
              <w:rPr>
                <w:b/>
              </w:rPr>
              <w:t xml:space="preserve">       </w:t>
            </w:r>
          </w:p>
          <w:p w:rsidR="0045354B" w:rsidRPr="00FD5A42" w:rsidRDefault="0045354B" w:rsidP="00437535">
            <w:pPr>
              <w:pStyle w:val="TableTextEntries"/>
            </w:pPr>
            <w:r w:rsidRPr="00FD5A42">
              <w:t xml:space="preserve">Recent </w:t>
            </w:r>
            <w:r>
              <w:t>joint review mission</w:t>
            </w:r>
            <w:r w:rsidRPr="00FD5A42">
              <w:t xml:space="preserve"> recommended that EdL should prepare </w:t>
            </w:r>
            <w:r w:rsidR="00731F6A" w:rsidRPr="00FD5A42">
              <w:t>the Implementation</w:t>
            </w:r>
            <w:r w:rsidRPr="00FD5A42">
              <w:t xml:space="preserve"> of Safeguard Program for REP 1 Project Report which will summarize the progress of safeguards activities under the Project. The report is under preparation. The final report will be submitted to the Bank for review by the middle of October, 2010. </w:t>
            </w:r>
          </w:p>
        </w:tc>
        <w:tc>
          <w:tcPr>
            <w:tcW w:w="3120" w:type="dxa"/>
          </w:tcPr>
          <w:p w:rsidR="0045354B" w:rsidRPr="00FD5A42" w:rsidRDefault="0045354B" w:rsidP="001426FC">
            <w:pPr>
              <w:pStyle w:val="TableTextEntries"/>
              <w:rPr>
                <w:color w:val="000000"/>
              </w:rPr>
            </w:pPr>
            <w:r w:rsidRPr="00FD5A42">
              <w:rPr>
                <w:color w:val="000000"/>
              </w:rPr>
              <w:lastRenderedPageBreak/>
              <w:t>1a.1</w:t>
            </w:r>
            <w:r w:rsidRPr="00FD5A42">
              <w:rPr>
                <w:color w:val="000000"/>
              </w:rPr>
              <w:tab/>
            </w:r>
            <w:r w:rsidR="007B1E6B" w:rsidRPr="007B1E6B">
              <w:rPr>
                <w:color w:val="000000"/>
              </w:rPr>
              <w:t xml:space="preserve">Northern Transport Network Improvement Project </w:t>
            </w:r>
            <w:r w:rsidRPr="00FD5A42">
              <w:rPr>
                <w:color w:val="000000"/>
              </w:rPr>
              <w:t>:</w:t>
            </w:r>
            <w:r w:rsidR="007B1E6B">
              <w:rPr>
                <w:color w:val="000000"/>
              </w:rPr>
              <w:t xml:space="preserve"> </w:t>
            </w:r>
            <w:r w:rsidRPr="00FD5A42">
              <w:rPr>
                <w:color w:val="000000"/>
              </w:rPr>
              <w:t xml:space="preserve"> (Australian  outputs) 83 km of section V of the (main road) paved providing improved road access to 17</w:t>
            </w:r>
            <w:r w:rsidR="009B5162">
              <w:rPr>
                <w:color w:val="000000"/>
              </w:rPr>
              <w:t>,</w:t>
            </w:r>
            <w:r w:rsidRPr="00FD5A42">
              <w:rPr>
                <w:color w:val="000000"/>
              </w:rPr>
              <w:t>524 people and 3</w:t>
            </w:r>
            <w:r w:rsidR="009B5162">
              <w:rPr>
                <w:color w:val="000000"/>
              </w:rPr>
              <w:t>,</w:t>
            </w:r>
            <w:r w:rsidRPr="00FD5A42">
              <w:rPr>
                <w:color w:val="000000"/>
              </w:rPr>
              <w:t>775 households</w:t>
            </w:r>
          </w:p>
          <w:p w:rsidR="0045354B" w:rsidRPr="00FD5A42" w:rsidRDefault="0045354B" w:rsidP="001426FC">
            <w:pPr>
              <w:pStyle w:val="TableTextEntries"/>
              <w:rPr>
                <w:color w:val="000000"/>
              </w:rPr>
            </w:pPr>
            <w:r w:rsidRPr="00FD5A42">
              <w:rPr>
                <w:color w:val="000000"/>
              </w:rPr>
              <w:t>1a.2</w:t>
            </w:r>
            <w:r w:rsidRPr="00FD5A42">
              <w:rPr>
                <w:color w:val="000000"/>
              </w:rPr>
              <w:tab/>
            </w:r>
            <w:r w:rsidR="00384FD1" w:rsidRPr="00384FD1">
              <w:rPr>
                <w:color w:val="000000"/>
              </w:rPr>
              <w:t xml:space="preserve">Northern Transport Network Improvement Project </w:t>
            </w:r>
            <w:r w:rsidRPr="00FD5A42">
              <w:rPr>
                <w:color w:val="000000"/>
              </w:rPr>
              <w:t>: Rural feeder roads (Australian  outputs)</w:t>
            </w:r>
            <w:r w:rsidR="00437535">
              <w:rPr>
                <w:color w:val="000000"/>
              </w:rPr>
              <w:t>—</w:t>
            </w:r>
            <w:r w:rsidRPr="00FD5A42">
              <w:rPr>
                <w:color w:val="000000"/>
              </w:rPr>
              <w:t>113</w:t>
            </w:r>
            <w:r w:rsidR="00BB2B46">
              <w:rPr>
                <w:color w:val="000000"/>
              </w:rPr>
              <w:t xml:space="preserve"> </w:t>
            </w:r>
            <w:r w:rsidRPr="00FD5A42">
              <w:rPr>
                <w:color w:val="000000"/>
              </w:rPr>
              <w:t>km of upgraded roads completed providing improved road access to 36</w:t>
            </w:r>
            <w:r w:rsidR="009B5162">
              <w:rPr>
                <w:color w:val="000000"/>
              </w:rPr>
              <w:t>,</w:t>
            </w:r>
            <w:r w:rsidRPr="00FD5A42">
              <w:rPr>
                <w:color w:val="000000"/>
              </w:rPr>
              <w:t>327 people</w:t>
            </w:r>
          </w:p>
          <w:p w:rsidR="0045354B" w:rsidRPr="00FD5A42" w:rsidRDefault="0045354B" w:rsidP="001426FC">
            <w:pPr>
              <w:pStyle w:val="TableTextEntries"/>
              <w:rPr>
                <w:color w:val="000000"/>
              </w:rPr>
            </w:pPr>
            <w:r w:rsidRPr="00FD5A42">
              <w:rPr>
                <w:color w:val="000000"/>
              </w:rPr>
              <w:t xml:space="preserve">1.a.3  </w:t>
            </w:r>
            <w:r w:rsidR="00384FD1" w:rsidRPr="00384FD1">
              <w:rPr>
                <w:color w:val="000000"/>
              </w:rPr>
              <w:t xml:space="preserve">Northern Transport Network Improvement Project </w:t>
            </w:r>
            <w:r w:rsidRPr="00FD5A42">
              <w:rPr>
                <w:color w:val="000000"/>
              </w:rPr>
              <w:t>:</w:t>
            </w:r>
            <w:r w:rsidR="00384FD1">
              <w:rPr>
                <w:color w:val="000000"/>
              </w:rPr>
              <w:t xml:space="preserve"> </w:t>
            </w:r>
            <w:r w:rsidRPr="00FD5A42">
              <w:rPr>
                <w:color w:val="000000"/>
              </w:rPr>
              <w:t xml:space="preserve"> (whole project)  x</w:t>
            </w:r>
            <w:r w:rsidR="00437535">
              <w:rPr>
                <w:color w:val="000000"/>
              </w:rPr>
              <w:t>%</w:t>
            </w:r>
            <w:r w:rsidRPr="00FD5A42">
              <w:rPr>
                <w:color w:val="000000"/>
              </w:rPr>
              <w:t xml:space="preserve">  of total project completed</w:t>
            </w:r>
          </w:p>
          <w:p w:rsidR="0045354B" w:rsidRPr="00FD5A42" w:rsidRDefault="0045354B" w:rsidP="001426FC">
            <w:pPr>
              <w:pStyle w:val="TableTextEntries"/>
              <w:rPr>
                <w:color w:val="000000"/>
              </w:rPr>
            </w:pPr>
            <w:r w:rsidRPr="00FD5A42">
              <w:rPr>
                <w:color w:val="000000"/>
              </w:rPr>
              <w:t>1b.1</w:t>
            </w:r>
            <w:r w:rsidRPr="00FD5A42">
              <w:rPr>
                <w:color w:val="000000"/>
              </w:rPr>
              <w:tab/>
            </w:r>
            <w:r w:rsidR="00384FD1" w:rsidRPr="00384FD1">
              <w:rPr>
                <w:color w:val="000000"/>
              </w:rPr>
              <w:t xml:space="preserve">Rural Electrification Project </w:t>
            </w:r>
            <w:r w:rsidR="00384FD1" w:rsidRPr="00384FD1">
              <w:rPr>
                <w:color w:val="000000"/>
              </w:rPr>
              <w:lastRenderedPageBreak/>
              <w:t>Phase 1</w:t>
            </w:r>
            <w:r w:rsidRPr="00FD5A42">
              <w:rPr>
                <w:color w:val="000000"/>
              </w:rPr>
              <w:t>: (Australian  outputs) national grid access to an additional 11</w:t>
            </w:r>
            <w:r w:rsidR="009B5162">
              <w:rPr>
                <w:color w:val="000000"/>
              </w:rPr>
              <w:t>,</w:t>
            </w:r>
            <w:r w:rsidRPr="00FD5A42">
              <w:rPr>
                <w:color w:val="000000"/>
              </w:rPr>
              <w:t>500 households</w:t>
            </w:r>
          </w:p>
          <w:p w:rsidR="0045354B" w:rsidRPr="00FD5A42" w:rsidRDefault="0045354B" w:rsidP="001426FC">
            <w:pPr>
              <w:pStyle w:val="TableTextEntries"/>
              <w:rPr>
                <w:color w:val="000000"/>
              </w:rPr>
            </w:pPr>
            <w:r w:rsidRPr="00FD5A42">
              <w:rPr>
                <w:color w:val="000000"/>
              </w:rPr>
              <w:t>1b.2</w:t>
            </w:r>
            <w:r w:rsidRPr="00FD5A42">
              <w:rPr>
                <w:color w:val="000000"/>
              </w:rPr>
              <w:tab/>
            </w:r>
            <w:r w:rsidR="00384FD1" w:rsidRPr="00384FD1">
              <w:rPr>
                <w:color w:val="000000"/>
              </w:rPr>
              <w:t>Rural Electrification Project Phase 1</w:t>
            </w:r>
            <w:r w:rsidRPr="00FD5A42">
              <w:rPr>
                <w:color w:val="000000"/>
              </w:rPr>
              <w:t xml:space="preserve">: </w:t>
            </w:r>
            <w:r w:rsidR="00384FD1">
              <w:rPr>
                <w:color w:val="000000"/>
              </w:rPr>
              <w:t xml:space="preserve"> </w:t>
            </w:r>
            <w:r w:rsidRPr="00FD5A42">
              <w:rPr>
                <w:color w:val="000000"/>
              </w:rPr>
              <w:t>(Australian  outputs) off grid electrification to 5</w:t>
            </w:r>
            <w:r w:rsidR="009B5162">
              <w:rPr>
                <w:color w:val="000000"/>
              </w:rPr>
              <w:t>,</w:t>
            </w:r>
            <w:r w:rsidRPr="00FD5A42">
              <w:rPr>
                <w:color w:val="000000"/>
              </w:rPr>
              <w:t>220 households</w:t>
            </w:r>
          </w:p>
          <w:p w:rsidR="0045354B" w:rsidRPr="00FD5A42" w:rsidRDefault="0045354B" w:rsidP="001426FC">
            <w:pPr>
              <w:pStyle w:val="TableTextEntries"/>
              <w:rPr>
                <w:color w:val="000000"/>
              </w:rPr>
            </w:pPr>
            <w:r w:rsidRPr="00FD5A42">
              <w:rPr>
                <w:color w:val="000000"/>
              </w:rPr>
              <w:t>1b.3</w:t>
            </w:r>
            <w:r w:rsidRPr="00FD5A42">
              <w:rPr>
                <w:color w:val="000000"/>
              </w:rPr>
              <w:tab/>
            </w:r>
            <w:r w:rsidR="00384FD1" w:rsidRPr="00384FD1">
              <w:rPr>
                <w:color w:val="000000"/>
              </w:rPr>
              <w:t>Rural Electrification Project Phase 1</w:t>
            </w:r>
            <w:r w:rsidRPr="00FD5A42">
              <w:rPr>
                <w:color w:val="000000"/>
              </w:rPr>
              <w:t>:</w:t>
            </w:r>
            <w:r w:rsidR="00384FD1">
              <w:rPr>
                <w:color w:val="000000"/>
              </w:rPr>
              <w:t xml:space="preserve"> </w:t>
            </w:r>
            <w:r w:rsidRPr="00FD5A42">
              <w:rPr>
                <w:color w:val="000000"/>
              </w:rPr>
              <w:t xml:space="preserve"> (Australian  outputs) Main grid access to 8000 poor households through Power to the Poor</w:t>
            </w:r>
          </w:p>
          <w:p w:rsidR="0045354B" w:rsidRPr="00FD5A42" w:rsidRDefault="0045354B" w:rsidP="001426FC">
            <w:pPr>
              <w:pStyle w:val="TableTextEntries"/>
              <w:rPr>
                <w:color w:val="000000"/>
              </w:rPr>
            </w:pPr>
            <w:r w:rsidRPr="00FD5A42">
              <w:rPr>
                <w:color w:val="000000"/>
              </w:rPr>
              <w:t xml:space="preserve">1.b.4    </w:t>
            </w:r>
            <w:r w:rsidR="00384FD1" w:rsidRPr="00384FD1">
              <w:rPr>
                <w:color w:val="000000"/>
              </w:rPr>
              <w:t>Rural Electrification Project Phase 1</w:t>
            </w:r>
            <w:r w:rsidRPr="00FD5A42">
              <w:rPr>
                <w:color w:val="000000"/>
              </w:rPr>
              <w:t>:  (whole project) x</w:t>
            </w:r>
            <w:r w:rsidR="00437535">
              <w:rPr>
                <w:color w:val="000000"/>
              </w:rPr>
              <w:t>%</w:t>
            </w:r>
            <w:r w:rsidRPr="00FD5A42">
              <w:rPr>
                <w:color w:val="000000"/>
              </w:rPr>
              <w:t xml:space="preserve"> of total project completed</w:t>
            </w:r>
          </w:p>
          <w:p w:rsidR="0045354B" w:rsidRPr="00FD5A42" w:rsidRDefault="0045354B" w:rsidP="001426FC">
            <w:pPr>
              <w:pStyle w:val="TableTextEntries"/>
              <w:rPr>
                <w:color w:val="000000"/>
              </w:rPr>
            </w:pPr>
            <w:r w:rsidRPr="00FD5A42">
              <w:rPr>
                <w:color w:val="000000"/>
              </w:rPr>
              <w:t xml:space="preserve">2.a.1     </w:t>
            </w:r>
            <w:r w:rsidR="00384FD1" w:rsidRPr="00384FD1">
              <w:rPr>
                <w:color w:val="000000"/>
              </w:rPr>
              <w:t xml:space="preserve">Northern Transport Network Improvement Project </w:t>
            </w:r>
            <w:r w:rsidRPr="00FD5A42">
              <w:rPr>
                <w:color w:val="000000"/>
              </w:rPr>
              <w:t>:  (Australian outputs only) 8774 number of women with access to upgraded section V of main road</w:t>
            </w:r>
          </w:p>
          <w:p w:rsidR="0045354B" w:rsidRPr="00FD5A42" w:rsidRDefault="0045354B" w:rsidP="001426FC">
            <w:pPr>
              <w:pStyle w:val="TableTextEntries"/>
              <w:rPr>
                <w:color w:val="000000"/>
              </w:rPr>
            </w:pPr>
            <w:r w:rsidRPr="00FD5A42">
              <w:rPr>
                <w:color w:val="000000"/>
              </w:rPr>
              <w:t xml:space="preserve">2.a.2     </w:t>
            </w:r>
            <w:r w:rsidR="00384FD1" w:rsidRPr="00384FD1">
              <w:rPr>
                <w:color w:val="000000"/>
              </w:rPr>
              <w:t xml:space="preserve">Northern Transport Network Improvement Project </w:t>
            </w:r>
            <w:r w:rsidRPr="00FD5A42">
              <w:rPr>
                <w:color w:val="000000"/>
              </w:rPr>
              <w:t>:  (whole project)  56,648 number of women with access to upgraded roads</w:t>
            </w:r>
          </w:p>
          <w:p w:rsidR="0045354B" w:rsidRPr="00FD5A42" w:rsidRDefault="0045354B" w:rsidP="001426FC">
            <w:pPr>
              <w:pStyle w:val="TableTextEntries"/>
              <w:rPr>
                <w:color w:val="000000"/>
              </w:rPr>
            </w:pPr>
            <w:r w:rsidRPr="00FD5A42">
              <w:rPr>
                <w:color w:val="000000"/>
              </w:rPr>
              <w:t>2b.1</w:t>
            </w:r>
            <w:r w:rsidRPr="00FD5A42">
              <w:rPr>
                <w:color w:val="000000"/>
              </w:rPr>
              <w:tab/>
            </w:r>
            <w:r w:rsidR="00384FD1" w:rsidRPr="00384FD1">
              <w:rPr>
                <w:color w:val="000000"/>
              </w:rPr>
              <w:t>Rural Electrification Project Phase 1</w:t>
            </w:r>
            <w:r w:rsidRPr="00FD5A42">
              <w:rPr>
                <w:color w:val="000000"/>
              </w:rPr>
              <w:t xml:space="preserve">: </w:t>
            </w:r>
            <w:r w:rsidR="00384FD1">
              <w:rPr>
                <w:color w:val="000000"/>
              </w:rPr>
              <w:t xml:space="preserve"> </w:t>
            </w:r>
            <w:r w:rsidRPr="00FD5A42">
              <w:rPr>
                <w:color w:val="000000"/>
              </w:rPr>
              <w:t xml:space="preserve">(Australian outputs only) x number of  female-headed households with access to the main grid through </w:t>
            </w:r>
            <w:r w:rsidRPr="00FD5A42">
              <w:rPr>
                <w:color w:val="000000"/>
              </w:rPr>
              <w:lastRenderedPageBreak/>
              <w:t>P2P</w:t>
            </w:r>
          </w:p>
          <w:p w:rsidR="0045354B" w:rsidRPr="00FD5A42" w:rsidRDefault="0045354B" w:rsidP="001426FC">
            <w:pPr>
              <w:pStyle w:val="TableTextEntries"/>
              <w:rPr>
                <w:color w:val="000000"/>
              </w:rPr>
            </w:pPr>
            <w:r w:rsidRPr="00FD5A42">
              <w:rPr>
                <w:color w:val="000000"/>
              </w:rPr>
              <w:t>2b.2</w:t>
            </w:r>
            <w:r w:rsidRPr="00FD5A42">
              <w:rPr>
                <w:color w:val="000000"/>
              </w:rPr>
              <w:tab/>
            </w:r>
            <w:r w:rsidR="00384FD1" w:rsidRPr="00384FD1">
              <w:rPr>
                <w:color w:val="000000"/>
              </w:rPr>
              <w:t>Rural Electrification Project Phase 1</w:t>
            </w:r>
            <w:r w:rsidRPr="00FD5A42">
              <w:rPr>
                <w:color w:val="000000"/>
              </w:rPr>
              <w:t xml:space="preserve">: </w:t>
            </w:r>
            <w:r w:rsidR="00384FD1">
              <w:rPr>
                <w:color w:val="000000"/>
              </w:rPr>
              <w:t xml:space="preserve"> </w:t>
            </w:r>
            <w:r w:rsidRPr="00FD5A42">
              <w:rPr>
                <w:color w:val="000000"/>
              </w:rPr>
              <w:t>(whole project) x number of  female-headed households with acc</w:t>
            </w:r>
            <w:r w:rsidR="0036414D">
              <w:rPr>
                <w:color w:val="000000"/>
              </w:rPr>
              <w:t>ess to the main grid through Power to the Power</w:t>
            </w:r>
          </w:p>
          <w:p w:rsidR="0045354B" w:rsidRPr="00FD5A42" w:rsidRDefault="0045354B" w:rsidP="001426FC">
            <w:pPr>
              <w:pStyle w:val="TableTextEntries"/>
              <w:rPr>
                <w:color w:val="000000"/>
              </w:rPr>
            </w:pPr>
            <w:proofErr w:type="gramStart"/>
            <w:r w:rsidRPr="00FD5A42">
              <w:rPr>
                <w:color w:val="000000"/>
              </w:rPr>
              <w:t>3.a</w:t>
            </w:r>
            <w:proofErr w:type="gramEnd"/>
            <w:r w:rsidRPr="00FD5A42">
              <w:rPr>
                <w:color w:val="000000"/>
              </w:rPr>
              <w:t>.</w:t>
            </w:r>
            <w:r>
              <w:rPr>
                <w:color w:val="000000"/>
              </w:rPr>
              <w:t xml:space="preserve"> </w:t>
            </w:r>
            <w:r w:rsidRPr="00FD5A42">
              <w:rPr>
                <w:color w:val="000000"/>
              </w:rPr>
              <w:tab/>
            </w:r>
            <w:r w:rsidR="00384FD1" w:rsidRPr="00384FD1">
              <w:rPr>
                <w:color w:val="000000"/>
              </w:rPr>
              <w:t xml:space="preserve">Northern Transport Network Improvement Project </w:t>
            </w:r>
            <w:r w:rsidRPr="00FD5A42">
              <w:rPr>
                <w:color w:val="000000"/>
              </w:rPr>
              <w:t xml:space="preserve">: </w:t>
            </w:r>
            <w:r w:rsidRPr="003E4FC7">
              <w:rPr>
                <w:color w:val="000000"/>
              </w:rPr>
              <w:t xml:space="preserve">evidence that </w:t>
            </w:r>
            <w:r w:rsidR="0062706C" w:rsidRPr="003E4FC7">
              <w:rPr>
                <w:rFonts w:cs="Arial"/>
                <w:color w:val="000000"/>
                <w:lang w:eastAsia="en-AU"/>
              </w:rPr>
              <w:t>Asian Development Bank</w:t>
            </w:r>
            <w:r w:rsidR="0062706C" w:rsidRPr="003E4FC7">
              <w:rPr>
                <w:color w:val="000000"/>
              </w:rPr>
              <w:t xml:space="preserve"> </w:t>
            </w:r>
            <w:r w:rsidRPr="003E4FC7">
              <w:rPr>
                <w:color w:val="000000"/>
              </w:rPr>
              <w:t xml:space="preserve"> social protection and environmental</w:t>
            </w:r>
            <w:r w:rsidRPr="00FD5A42">
              <w:rPr>
                <w:color w:val="000000"/>
              </w:rPr>
              <w:t xml:space="preserve"> policies are being adhered to</w:t>
            </w:r>
          </w:p>
          <w:p w:rsidR="0045354B" w:rsidRPr="00FD5A42" w:rsidRDefault="0045354B" w:rsidP="001426FC">
            <w:pPr>
              <w:pStyle w:val="TableTextEntries"/>
            </w:pPr>
            <w:proofErr w:type="gramStart"/>
            <w:r>
              <w:rPr>
                <w:color w:val="000000"/>
              </w:rPr>
              <w:t>3.b</w:t>
            </w:r>
            <w:proofErr w:type="gramEnd"/>
            <w:r>
              <w:rPr>
                <w:color w:val="000000"/>
              </w:rPr>
              <w:t xml:space="preserve"> </w:t>
            </w:r>
            <w:r w:rsidRPr="00FD5A42">
              <w:rPr>
                <w:color w:val="000000"/>
              </w:rPr>
              <w:t>.</w:t>
            </w:r>
            <w:r w:rsidRPr="00FD5A42">
              <w:rPr>
                <w:color w:val="000000"/>
              </w:rPr>
              <w:tab/>
            </w:r>
            <w:r w:rsidR="00384FD1" w:rsidRPr="00384FD1">
              <w:rPr>
                <w:color w:val="000000"/>
              </w:rPr>
              <w:t>Rural Electrification Project Phase 1</w:t>
            </w:r>
            <w:r w:rsidRPr="00FD5A42">
              <w:rPr>
                <w:color w:val="000000"/>
              </w:rPr>
              <w:t xml:space="preserve">: </w:t>
            </w:r>
            <w:r w:rsidR="00384FD1">
              <w:rPr>
                <w:color w:val="000000"/>
              </w:rPr>
              <w:t xml:space="preserve"> </w:t>
            </w:r>
            <w:r w:rsidRPr="00FD5A42">
              <w:rPr>
                <w:color w:val="000000"/>
              </w:rPr>
              <w:t>evidence that World Bank social protection and environmental policies are being adhered to</w:t>
            </w:r>
            <w:r w:rsidR="00AA7011">
              <w:rPr>
                <w:color w:val="000000"/>
              </w:rPr>
              <w:t xml:space="preserve">. </w:t>
            </w:r>
          </w:p>
        </w:tc>
      </w:tr>
    </w:tbl>
    <w:p w:rsidR="0045354B" w:rsidRDefault="0045354B" w:rsidP="0045354B">
      <w:pPr>
        <w:pStyle w:val="Heading2"/>
        <w:numPr>
          <w:ilvl w:val="0"/>
          <w:numId w:val="0"/>
        </w:numPr>
        <w:sectPr w:rsidR="0045354B" w:rsidSect="001426FC">
          <w:headerReference w:type="even" r:id="rId21"/>
          <w:footerReference w:type="even" r:id="rId22"/>
          <w:footerReference w:type="default" r:id="rId23"/>
          <w:pgSz w:w="16840" w:h="11907" w:orient="landscape" w:code="9"/>
          <w:pgMar w:top="1814" w:right="2381" w:bottom="1618" w:left="851" w:header="851" w:footer="340" w:gutter="0"/>
          <w:cols w:space="720"/>
          <w:titlePg/>
        </w:sectPr>
      </w:pPr>
    </w:p>
    <w:p w:rsidR="0045354B" w:rsidRDefault="0045354B" w:rsidP="0045354B">
      <w:pPr>
        <w:pStyle w:val="Heading2"/>
        <w:numPr>
          <w:ilvl w:val="0"/>
          <w:numId w:val="0"/>
        </w:numPr>
        <w:rPr>
          <w:lang w:val="en-US"/>
        </w:rPr>
      </w:pPr>
      <w:bookmarkStart w:id="21" w:name="_Toc360989293"/>
      <w:r>
        <w:lastRenderedPageBreak/>
        <w:t>Annex B</w:t>
      </w:r>
      <w:r w:rsidR="006C00A1">
        <w:t>—</w:t>
      </w:r>
      <w:r>
        <w:rPr>
          <w:lang w:val="en-US"/>
        </w:rPr>
        <w:t xml:space="preserve">Laos </w:t>
      </w:r>
      <w:r w:rsidR="00361D6C">
        <w:rPr>
          <w:lang w:val="en-US"/>
        </w:rPr>
        <w:t>p</w:t>
      </w:r>
      <w:r>
        <w:rPr>
          <w:lang w:val="en-US"/>
        </w:rPr>
        <w:t>rogram</w:t>
      </w:r>
      <w:r w:rsidR="006C00A1">
        <w:rPr>
          <w:lang w:val="en-US"/>
        </w:rPr>
        <w:t>—</w:t>
      </w:r>
      <w:r w:rsidR="00361D6C">
        <w:rPr>
          <w:lang w:val="en-US"/>
        </w:rPr>
        <w:t>a</w:t>
      </w:r>
      <w:r w:rsidR="00A4687F">
        <w:rPr>
          <w:lang w:val="en-US"/>
        </w:rPr>
        <w:t>nnual t</w:t>
      </w:r>
      <w:r>
        <w:rPr>
          <w:lang w:val="en-US"/>
        </w:rPr>
        <w:t xml:space="preserve">op </w:t>
      </w:r>
      <w:r w:rsidR="00361D6C">
        <w:rPr>
          <w:lang w:val="en-US"/>
        </w:rPr>
        <w:t>r</w:t>
      </w:r>
      <w:r>
        <w:rPr>
          <w:lang w:val="en-US"/>
        </w:rPr>
        <w:t>esults</w:t>
      </w:r>
      <w:bookmarkEnd w:id="21"/>
      <w:r w:rsidRPr="00107D74">
        <w:rPr>
          <w:lang w:val="en-US"/>
        </w:rPr>
        <w:t xml:space="preserve"> </w:t>
      </w:r>
    </w:p>
    <w:p w:rsidR="0045354B" w:rsidRDefault="0045354B" w:rsidP="0045354B">
      <w:pPr>
        <w:pStyle w:val="Heading2"/>
        <w:keepNext/>
        <w:ind w:left="0"/>
      </w:pPr>
      <w:bookmarkStart w:id="22" w:name="_Toc360989294"/>
      <w:proofErr w:type="gramStart"/>
      <w:r>
        <w:t>Laos</w:t>
      </w:r>
      <w:proofErr w:type="gramEnd"/>
      <w:r>
        <w:t xml:space="preserve"> </w:t>
      </w:r>
      <w:r w:rsidR="00361D6C">
        <w:t>p</w:t>
      </w:r>
      <w:r>
        <w:t xml:space="preserve">rogram </w:t>
      </w:r>
      <w:r w:rsidR="00A713C0">
        <w:t xml:space="preserve">top </w:t>
      </w:r>
      <w:r w:rsidR="00E9203A">
        <w:t xml:space="preserve">results </w:t>
      </w:r>
      <w:r w:rsidR="001A5588">
        <w:t xml:space="preserve">achieved </w:t>
      </w:r>
      <w:r>
        <w:t>in 2010</w:t>
      </w:r>
      <w:bookmarkEnd w:id="22"/>
    </w:p>
    <w:p w:rsidR="0045354B" w:rsidRDefault="0045354B" w:rsidP="0045354B">
      <w:pPr>
        <w:pStyle w:val="Heading3"/>
        <w:keepNext/>
      </w:pPr>
      <w:bookmarkStart w:id="23" w:name="_Toc360989295"/>
      <w:r>
        <w:t>E</w:t>
      </w:r>
      <w:r w:rsidR="006C00A1">
        <w:t>ducation</w:t>
      </w:r>
      <w:bookmarkEnd w:id="23"/>
    </w:p>
    <w:p w:rsidR="0045354B" w:rsidRDefault="0045354B" w:rsidP="0045354B">
      <w:pPr>
        <w:pStyle w:val="BodyText"/>
        <w:rPr>
          <w:b/>
        </w:rPr>
      </w:pPr>
      <w:r w:rsidRPr="0066008C">
        <w:rPr>
          <w:b/>
        </w:rPr>
        <w:t xml:space="preserve">Laos </w:t>
      </w:r>
      <w:r w:rsidR="005E70A6">
        <w:rPr>
          <w:b/>
        </w:rPr>
        <w:t>d</w:t>
      </w:r>
      <w:r w:rsidRPr="0066008C">
        <w:rPr>
          <w:b/>
        </w:rPr>
        <w:t xml:space="preserve">evelopment </w:t>
      </w:r>
      <w:r w:rsidR="005E70A6">
        <w:rPr>
          <w:b/>
        </w:rPr>
        <w:t>o</w:t>
      </w:r>
      <w:r w:rsidRPr="00C52B34">
        <w:rPr>
          <w:b/>
        </w:rPr>
        <w:t>utcome</w:t>
      </w:r>
      <w:r w:rsidR="00437535">
        <w:rPr>
          <w:b/>
        </w:rPr>
        <w:t>—</w:t>
      </w:r>
      <w:r w:rsidRPr="00C52B34">
        <w:rPr>
          <w:b/>
        </w:rPr>
        <w:t>All boys and girls complete a full course of quality primary education</w:t>
      </w:r>
    </w:p>
    <w:p w:rsidR="0045354B" w:rsidRDefault="0045354B" w:rsidP="0045354B">
      <w:pPr>
        <w:pStyle w:val="BodyText"/>
      </w:pPr>
      <w:r w:rsidRPr="0066008C">
        <w:rPr>
          <w:b/>
        </w:rPr>
        <w:t>Strategy objective</w:t>
      </w:r>
      <w:r w:rsidR="00437535" w:rsidRPr="006876B7">
        <w:t>—</w:t>
      </w:r>
      <w:r w:rsidRPr="0066008C">
        <w:t>Mitigation of key constraints to equitable access to a quality basic education in targeted poor geographic areas</w:t>
      </w:r>
      <w:r w:rsidR="004F1E7F">
        <w:t>.</w:t>
      </w:r>
    </w:p>
    <w:p w:rsidR="0045354B" w:rsidRPr="00EB6793" w:rsidRDefault="0045354B" w:rsidP="0045354B">
      <w:pPr>
        <w:pStyle w:val="BodyText"/>
        <w:pBdr>
          <w:top w:val="single" w:sz="4" w:space="1" w:color="auto"/>
          <w:left w:val="single" w:sz="4" w:space="4" w:color="auto"/>
          <w:bottom w:val="single" w:sz="4" w:space="1" w:color="auto"/>
          <w:right w:val="single" w:sz="4" w:space="4" w:color="auto"/>
        </w:pBdr>
      </w:pPr>
      <w:r w:rsidRPr="00EB6793">
        <w:rPr>
          <w:b/>
        </w:rPr>
        <w:t>Target</w:t>
      </w:r>
      <w:r>
        <w:rPr>
          <w:b/>
        </w:rPr>
        <w:t xml:space="preserve"> 1</w:t>
      </w:r>
      <w:r w:rsidRPr="006876B7">
        <w:t>:</w:t>
      </w:r>
      <w:r w:rsidRPr="00EB6793">
        <w:rPr>
          <w:b/>
        </w:rPr>
        <w:t xml:space="preserve"> </w:t>
      </w:r>
      <w:r w:rsidRPr="00EB6793">
        <w:t>More than an additional 500 schools assessed as meeting the schools of quality criteria (440 in 2009)</w:t>
      </w:r>
      <w:r w:rsidR="004F1E7F">
        <w:t>.</w:t>
      </w:r>
    </w:p>
    <w:p w:rsidR="0045354B" w:rsidRPr="00C52B34" w:rsidRDefault="0045354B" w:rsidP="0045354B">
      <w:pPr>
        <w:pStyle w:val="BodyText"/>
        <w:pBdr>
          <w:top w:val="single" w:sz="4" w:space="1" w:color="auto"/>
          <w:left w:val="single" w:sz="4" w:space="4" w:color="auto"/>
          <w:bottom w:val="single" w:sz="4" w:space="1" w:color="auto"/>
          <w:right w:val="single" w:sz="4" w:space="4" w:color="auto"/>
        </w:pBdr>
        <w:rPr>
          <w:i/>
        </w:rPr>
      </w:pPr>
      <w:proofErr w:type="gramStart"/>
      <w:r w:rsidRPr="00C52B34">
        <w:rPr>
          <w:i/>
        </w:rPr>
        <w:t>Met</w:t>
      </w:r>
      <w:r w:rsidR="00AA7011">
        <w:rPr>
          <w:i/>
        </w:rPr>
        <w:t>.</w:t>
      </w:r>
      <w:proofErr w:type="gramEnd"/>
      <w:r w:rsidR="00AA7011">
        <w:rPr>
          <w:i/>
        </w:rPr>
        <w:t xml:space="preserve"> </w:t>
      </w:r>
      <w:r w:rsidRPr="00C52B34">
        <w:rPr>
          <w:i/>
        </w:rPr>
        <w:t xml:space="preserve">An </w:t>
      </w:r>
      <w:r w:rsidRPr="00D6764E">
        <w:rPr>
          <w:i/>
        </w:rPr>
        <w:t>additional 487 schools</w:t>
      </w:r>
      <w:r>
        <w:rPr>
          <w:i/>
        </w:rPr>
        <w:t xml:space="preserve"> </w:t>
      </w:r>
      <w:r w:rsidRPr="00D6764E">
        <w:rPr>
          <w:i/>
        </w:rPr>
        <w:t>assessed as meeting the schools of quality criteria, benefiting 38</w:t>
      </w:r>
      <w:r w:rsidR="00155B53">
        <w:rPr>
          <w:i/>
        </w:rPr>
        <w:t>,</w:t>
      </w:r>
      <w:r w:rsidRPr="00D6764E">
        <w:rPr>
          <w:i/>
        </w:rPr>
        <w:t>140 children and bringing</w:t>
      </w:r>
      <w:r w:rsidRPr="00C52B34">
        <w:rPr>
          <w:i/>
        </w:rPr>
        <w:t xml:space="preserve"> the cumulative total to 953 </w:t>
      </w:r>
      <w:r w:rsidR="00C21535">
        <w:rPr>
          <w:i/>
        </w:rPr>
        <w:t>(</w:t>
      </w:r>
      <w:r w:rsidRPr="00C52B34">
        <w:rPr>
          <w:i/>
        </w:rPr>
        <w:t>representing 79</w:t>
      </w:r>
      <w:r w:rsidR="00437535">
        <w:rPr>
          <w:i/>
        </w:rPr>
        <w:t xml:space="preserve"> per cent</w:t>
      </w:r>
      <w:r w:rsidRPr="00C52B34">
        <w:rPr>
          <w:i/>
        </w:rPr>
        <w:t xml:space="preserve"> of targeted schools</w:t>
      </w:r>
      <w:r w:rsidR="00C21535">
        <w:rPr>
          <w:i/>
        </w:rPr>
        <w:t>).</w:t>
      </w:r>
      <w:r>
        <w:rPr>
          <w:i/>
        </w:rPr>
        <w:t xml:space="preserve"> </w:t>
      </w:r>
    </w:p>
    <w:p w:rsidR="0045354B" w:rsidRPr="00C52B34" w:rsidRDefault="0045354B" w:rsidP="004A035D">
      <w:pPr>
        <w:pStyle w:val="BodyText"/>
        <w:pBdr>
          <w:top w:val="single" w:sz="4" w:space="1" w:color="auto"/>
          <w:left w:val="single" w:sz="4" w:space="4" w:color="auto"/>
          <w:bottom w:val="single" w:sz="4" w:space="1" w:color="auto"/>
          <w:right w:val="single" w:sz="4" w:space="4" w:color="auto"/>
        </w:pBdr>
        <w:spacing w:after="400"/>
        <w:rPr>
          <w:szCs w:val="24"/>
        </w:rPr>
      </w:pPr>
      <w:r w:rsidRPr="00EB6793">
        <w:rPr>
          <w:szCs w:val="24"/>
        </w:rPr>
        <w:t>Schools of quality</w:t>
      </w:r>
      <w:r w:rsidR="00B72333">
        <w:rPr>
          <w:szCs w:val="24"/>
        </w:rPr>
        <w:t xml:space="preserve"> </w:t>
      </w:r>
      <w:r w:rsidRPr="00EB6793">
        <w:rPr>
          <w:szCs w:val="24"/>
        </w:rPr>
        <w:t xml:space="preserve">are schools </w:t>
      </w:r>
      <w:r w:rsidR="00C21535">
        <w:rPr>
          <w:szCs w:val="24"/>
        </w:rPr>
        <w:t>with</w:t>
      </w:r>
      <w:r w:rsidRPr="00EB6793">
        <w:rPr>
          <w:szCs w:val="24"/>
        </w:rPr>
        <w:t xml:space="preserve"> appropriate classroom and ancillary building, trained teachers, teaching resources, strong leadership and community involvement, and a safe learning environment for students</w:t>
      </w:r>
      <w:r w:rsidR="00AA7011">
        <w:rPr>
          <w:szCs w:val="24"/>
        </w:rPr>
        <w:t xml:space="preserve">. </w:t>
      </w:r>
    </w:p>
    <w:p w:rsidR="0045354B" w:rsidRPr="00EB6793" w:rsidRDefault="0045354B" w:rsidP="0045354B">
      <w:pPr>
        <w:pStyle w:val="BodyText"/>
      </w:pPr>
      <w:proofErr w:type="gramStart"/>
      <w:r w:rsidRPr="00EB6793">
        <w:rPr>
          <w:b/>
        </w:rPr>
        <w:t>Strategy objective</w:t>
      </w:r>
      <w:r w:rsidR="00437535">
        <w:rPr>
          <w:b/>
        </w:rPr>
        <w:t>—</w:t>
      </w:r>
      <w:r w:rsidRPr="00EB6793">
        <w:t>Better management of Government of Laos and donor resources available to the education sector through implementation of a jointly agreed 10</w:t>
      </w:r>
      <w:r w:rsidR="00C21535">
        <w:t>-</w:t>
      </w:r>
      <w:r w:rsidRPr="00EB6793">
        <w:t>year education sector framework</w:t>
      </w:r>
      <w:r w:rsidR="004F1E7F">
        <w:t>.</w:t>
      </w:r>
      <w:proofErr w:type="gramEnd"/>
    </w:p>
    <w:p w:rsidR="0045354B" w:rsidRDefault="0045354B" w:rsidP="0045354B">
      <w:pPr>
        <w:pStyle w:val="BodyText"/>
        <w:pBdr>
          <w:top w:val="single" w:sz="4" w:space="1" w:color="auto"/>
          <w:left w:val="single" w:sz="4" w:space="4" w:color="auto"/>
          <w:bottom w:val="single" w:sz="4" w:space="1" w:color="auto"/>
          <w:right w:val="single" w:sz="4" w:space="4" w:color="auto"/>
        </w:pBdr>
      </w:pPr>
      <w:proofErr w:type="gramStart"/>
      <w:r w:rsidRPr="00EB6793">
        <w:rPr>
          <w:b/>
        </w:rPr>
        <w:t>Target 2</w:t>
      </w:r>
      <w:r w:rsidRPr="00EB6793">
        <w:t>: Major donor funding package to support Government of Laos Education Sector Development Framework approved</w:t>
      </w:r>
      <w:r w:rsidR="004F1E7F">
        <w:t>.</w:t>
      </w:r>
      <w:proofErr w:type="gramEnd"/>
    </w:p>
    <w:p w:rsidR="0045354B" w:rsidRPr="00C52B34" w:rsidRDefault="0045354B" w:rsidP="0045354B">
      <w:pPr>
        <w:pStyle w:val="BodyText"/>
        <w:pBdr>
          <w:top w:val="single" w:sz="4" w:space="1" w:color="auto"/>
          <w:left w:val="single" w:sz="4" w:space="4" w:color="auto"/>
          <w:bottom w:val="single" w:sz="4" w:space="1" w:color="auto"/>
          <w:right w:val="single" w:sz="4" w:space="4" w:color="auto"/>
        </w:pBdr>
        <w:rPr>
          <w:b/>
          <w:i/>
          <w:sz w:val="28"/>
          <w:szCs w:val="28"/>
        </w:rPr>
      </w:pPr>
      <w:proofErr w:type="gramStart"/>
      <w:r w:rsidRPr="00C52B34">
        <w:rPr>
          <w:i/>
        </w:rPr>
        <w:t>Met.</w:t>
      </w:r>
      <w:proofErr w:type="gramEnd"/>
      <w:r w:rsidRPr="00C52B34">
        <w:rPr>
          <w:i/>
        </w:rPr>
        <w:t xml:space="preserve"> Major donor funding package approved and initial implementation </w:t>
      </w:r>
      <w:r w:rsidR="00C21535">
        <w:rPr>
          <w:i/>
        </w:rPr>
        <w:t>started.</w:t>
      </w:r>
      <w:r w:rsidR="00C21535" w:rsidRPr="00C52B34">
        <w:rPr>
          <w:b/>
          <w:i/>
          <w:sz w:val="28"/>
          <w:szCs w:val="28"/>
        </w:rPr>
        <w:t xml:space="preserve"> </w:t>
      </w:r>
    </w:p>
    <w:p w:rsidR="0045354B" w:rsidRPr="00487FF0" w:rsidRDefault="0045354B" w:rsidP="0045354B">
      <w:pPr>
        <w:pStyle w:val="BodyText"/>
        <w:pBdr>
          <w:top w:val="single" w:sz="4" w:space="1" w:color="auto"/>
          <w:left w:val="single" w:sz="4" w:space="4" w:color="auto"/>
          <w:bottom w:val="single" w:sz="4" w:space="1" w:color="auto"/>
          <w:right w:val="single" w:sz="4" w:space="4" w:color="auto"/>
        </w:pBdr>
      </w:pPr>
      <w:proofErr w:type="gramStart"/>
      <w:r w:rsidRPr="00C52B34">
        <w:rPr>
          <w:b/>
        </w:rPr>
        <w:t>Target 3</w:t>
      </w:r>
      <w:r w:rsidRPr="00487FF0">
        <w:t xml:space="preserve">: </w:t>
      </w:r>
      <w:r>
        <w:t>Government of Laos</w:t>
      </w:r>
      <w:r w:rsidRPr="00487FF0">
        <w:t xml:space="preserve"> annual costed work</w:t>
      </w:r>
      <w:r w:rsidR="00E9203A">
        <w:t xml:space="preserve"> </w:t>
      </w:r>
      <w:r w:rsidRPr="00487FF0">
        <w:t>plan developed in alignment with Education Sector Development Framework and National Socio Economic Development Plan 2010</w:t>
      </w:r>
      <w:r w:rsidR="00437535">
        <w:t>–</w:t>
      </w:r>
      <w:r w:rsidRPr="00487FF0">
        <w:t>15</w:t>
      </w:r>
      <w:r w:rsidR="004F1E7F">
        <w:t>.</w:t>
      </w:r>
      <w:proofErr w:type="gramEnd"/>
    </w:p>
    <w:p w:rsidR="0045354B" w:rsidRPr="00C52B34" w:rsidRDefault="0045354B" w:rsidP="0045354B">
      <w:pPr>
        <w:pStyle w:val="BodyText"/>
        <w:pBdr>
          <w:top w:val="single" w:sz="4" w:space="1" w:color="auto"/>
          <w:left w:val="single" w:sz="4" w:space="4" w:color="auto"/>
          <w:bottom w:val="single" w:sz="4" w:space="1" w:color="auto"/>
          <w:right w:val="single" w:sz="4" w:space="4" w:color="auto"/>
        </w:pBdr>
        <w:rPr>
          <w:i/>
        </w:rPr>
      </w:pPr>
      <w:proofErr w:type="gramStart"/>
      <w:r w:rsidRPr="00C52B34">
        <w:rPr>
          <w:i/>
        </w:rPr>
        <w:t>Met</w:t>
      </w:r>
      <w:r w:rsidR="00AA7011">
        <w:rPr>
          <w:i/>
        </w:rPr>
        <w:t>.</w:t>
      </w:r>
      <w:proofErr w:type="gramEnd"/>
      <w:r w:rsidR="00AA7011">
        <w:rPr>
          <w:i/>
        </w:rPr>
        <w:t xml:space="preserve"> </w:t>
      </w:r>
      <w:r w:rsidRPr="00C52B34">
        <w:rPr>
          <w:i/>
        </w:rPr>
        <w:t>Being drafted and is aligned with Education Sector Development Plan</w:t>
      </w:r>
      <w:r w:rsidR="00C21535">
        <w:rPr>
          <w:i/>
        </w:rPr>
        <w:t>.</w:t>
      </w:r>
    </w:p>
    <w:p w:rsidR="0045354B" w:rsidRDefault="0045354B" w:rsidP="0045354B">
      <w:pPr>
        <w:pStyle w:val="BodyText"/>
      </w:pPr>
      <w:r>
        <w:t>The</w:t>
      </w:r>
      <w:r w:rsidR="00C21535">
        <w:t xml:space="preserve"> following</w:t>
      </w:r>
      <w:r>
        <w:t xml:space="preserve"> are key steps towards full Government of Laos implementation </w:t>
      </w:r>
      <w:proofErr w:type="gramStart"/>
      <w:r>
        <w:t>of the 2009</w:t>
      </w:r>
      <w:r w:rsidR="00437535">
        <w:t>–</w:t>
      </w:r>
      <w:r>
        <w:t>15 Education Sector Development Framework</w:t>
      </w:r>
      <w:proofErr w:type="gramEnd"/>
      <w:r>
        <w:t>.</w:t>
      </w:r>
    </w:p>
    <w:p w:rsidR="0045354B" w:rsidRPr="00C52B34" w:rsidRDefault="0045354B" w:rsidP="0045354B">
      <w:pPr>
        <w:pStyle w:val="Heading3"/>
        <w:keepNext/>
      </w:pPr>
      <w:bookmarkStart w:id="24" w:name="_Toc360989296"/>
      <w:r w:rsidRPr="00C52B34">
        <w:t>T</w:t>
      </w:r>
      <w:r w:rsidR="006C00A1">
        <w:t>rade and investment</w:t>
      </w:r>
      <w:bookmarkEnd w:id="24"/>
    </w:p>
    <w:p w:rsidR="0045354B" w:rsidRPr="00C52B34" w:rsidRDefault="0045354B" w:rsidP="0045354B">
      <w:pPr>
        <w:pStyle w:val="BodyText"/>
        <w:rPr>
          <w:b/>
        </w:rPr>
      </w:pPr>
      <w:r w:rsidRPr="00C52B34">
        <w:rPr>
          <w:b/>
        </w:rPr>
        <w:t xml:space="preserve">Laos </w:t>
      </w:r>
      <w:r w:rsidR="00C21535">
        <w:rPr>
          <w:b/>
        </w:rPr>
        <w:t>d</w:t>
      </w:r>
      <w:r w:rsidRPr="00C52B34">
        <w:rPr>
          <w:b/>
        </w:rPr>
        <w:t xml:space="preserve">evelopment </w:t>
      </w:r>
      <w:r w:rsidR="00C21535">
        <w:rPr>
          <w:b/>
        </w:rPr>
        <w:t>o</w:t>
      </w:r>
      <w:r w:rsidRPr="00C52B34">
        <w:rPr>
          <w:b/>
        </w:rPr>
        <w:t>utcome</w:t>
      </w:r>
      <w:r w:rsidR="00437535">
        <w:rPr>
          <w:b/>
        </w:rPr>
        <w:t>—</w:t>
      </w:r>
      <w:r w:rsidRPr="00C52B34">
        <w:rPr>
          <w:b/>
        </w:rPr>
        <w:t xml:space="preserve">Increased trade and investment in sectors which support poverty reduction </w:t>
      </w:r>
    </w:p>
    <w:p w:rsidR="0045354B" w:rsidRDefault="0045354B" w:rsidP="0045354B">
      <w:pPr>
        <w:pStyle w:val="BodyText"/>
      </w:pPr>
      <w:r w:rsidRPr="00C52B34">
        <w:rPr>
          <w:b/>
          <w:bCs/>
        </w:rPr>
        <w:t>Strategy objective</w:t>
      </w:r>
      <w:r w:rsidR="00437535" w:rsidRPr="006876B7">
        <w:rPr>
          <w:bCs/>
        </w:rPr>
        <w:t>—</w:t>
      </w:r>
      <w:r w:rsidRPr="000E6A51">
        <w:rPr>
          <w:bCs/>
        </w:rPr>
        <w:t>Policy</w:t>
      </w:r>
      <w:r w:rsidRPr="000E6A51">
        <w:t xml:space="preserve"> and institutional impediments to trade and investment addressed in sectors </w:t>
      </w:r>
      <w:r w:rsidR="004F1E7F">
        <w:t>with</w:t>
      </w:r>
      <w:r w:rsidRPr="000E6A51">
        <w:t xml:space="preserve"> high potential to contribute to inclusive growth</w:t>
      </w:r>
      <w:r w:rsidR="00C21535">
        <w:t>.</w:t>
      </w:r>
    </w:p>
    <w:p w:rsidR="0045354B" w:rsidRPr="00FE028D" w:rsidRDefault="0045354B" w:rsidP="0045354B">
      <w:pPr>
        <w:pStyle w:val="BodyText"/>
        <w:pBdr>
          <w:top w:val="single" w:sz="4" w:space="1" w:color="auto"/>
          <w:left w:val="single" w:sz="4" w:space="4" w:color="auto"/>
          <w:bottom w:val="single" w:sz="4" w:space="1" w:color="auto"/>
          <w:right w:val="single" w:sz="4" w:space="4" w:color="auto"/>
        </w:pBdr>
      </w:pPr>
      <w:proofErr w:type="gramStart"/>
      <w:r w:rsidRPr="00C52B34">
        <w:rPr>
          <w:b/>
        </w:rPr>
        <w:t>Target</w:t>
      </w:r>
      <w:r>
        <w:rPr>
          <w:b/>
        </w:rPr>
        <w:t xml:space="preserve"> 4:</w:t>
      </w:r>
      <w:r w:rsidRPr="00FE028D">
        <w:t xml:space="preserve"> Number of days to start up an enterprise reduced to less than 100 days (100 days in 2009)</w:t>
      </w:r>
      <w:r w:rsidR="004F1E7F">
        <w:t>.</w:t>
      </w:r>
      <w:proofErr w:type="gramEnd"/>
    </w:p>
    <w:p w:rsidR="0045354B" w:rsidRDefault="0045354B" w:rsidP="0045354B">
      <w:pPr>
        <w:pStyle w:val="BodyText"/>
        <w:pBdr>
          <w:top w:val="single" w:sz="4" w:space="1" w:color="auto"/>
          <w:left w:val="single" w:sz="4" w:space="4" w:color="auto"/>
          <w:bottom w:val="single" w:sz="4" w:space="1" w:color="auto"/>
          <w:right w:val="single" w:sz="4" w:space="4" w:color="auto"/>
        </w:pBdr>
      </w:pPr>
      <w:r w:rsidRPr="00C52B34">
        <w:rPr>
          <w:i/>
        </w:rPr>
        <w:t>Not met</w:t>
      </w:r>
      <w:r w:rsidR="00AA7011">
        <w:rPr>
          <w:i/>
        </w:rPr>
        <w:t xml:space="preserve">. </w:t>
      </w:r>
      <w:r w:rsidRPr="00C52B34">
        <w:rPr>
          <w:i/>
        </w:rPr>
        <w:t>Number of days is still 100</w:t>
      </w:r>
      <w:r>
        <w:t>.</w:t>
      </w:r>
    </w:p>
    <w:p w:rsidR="0045354B" w:rsidRPr="00C52B34" w:rsidRDefault="0045354B" w:rsidP="0045354B">
      <w:pPr>
        <w:pStyle w:val="Heading3"/>
        <w:keepNext/>
      </w:pPr>
      <w:bookmarkStart w:id="25" w:name="_Toc360989297"/>
      <w:r w:rsidRPr="00C52B34">
        <w:lastRenderedPageBreak/>
        <w:t>R</w:t>
      </w:r>
      <w:r w:rsidR="006C00A1">
        <w:t>ural development</w:t>
      </w:r>
      <w:bookmarkEnd w:id="25"/>
    </w:p>
    <w:p w:rsidR="0045354B" w:rsidRPr="00C52B34" w:rsidRDefault="0045354B" w:rsidP="0045354B">
      <w:pPr>
        <w:pStyle w:val="BodyText"/>
        <w:rPr>
          <w:b/>
        </w:rPr>
      </w:pPr>
      <w:proofErr w:type="gramStart"/>
      <w:r w:rsidRPr="00C52B34">
        <w:rPr>
          <w:b/>
        </w:rPr>
        <w:t>Laos</w:t>
      </w:r>
      <w:proofErr w:type="gramEnd"/>
      <w:r w:rsidRPr="00C52B34">
        <w:rPr>
          <w:b/>
        </w:rPr>
        <w:t xml:space="preserve"> </w:t>
      </w:r>
      <w:r w:rsidR="00C21535">
        <w:rPr>
          <w:b/>
        </w:rPr>
        <w:t>d</w:t>
      </w:r>
      <w:r w:rsidRPr="00C52B34">
        <w:rPr>
          <w:b/>
        </w:rPr>
        <w:t xml:space="preserve">evelopment </w:t>
      </w:r>
      <w:r w:rsidR="00C21535">
        <w:rPr>
          <w:b/>
        </w:rPr>
        <w:t>o</w:t>
      </w:r>
      <w:r w:rsidRPr="00C52B34">
        <w:rPr>
          <w:b/>
        </w:rPr>
        <w:t>utcome</w:t>
      </w:r>
      <w:r w:rsidR="00437535">
        <w:rPr>
          <w:b/>
        </w:rPr>
        <w:t>—</w:t>
      </w:r>
      <w:r w:rsidRPr="00C52B34">
        <w:rPr>
          <w:b/>
        </w:rPr>
        <w:t xml:space="preserve">Less than one quarter of the population living below the poverty line </w:t>
      </w:r>
    </w:p>
    <w:p w:rsidR="0045354B" w:rsidRPr="00C518EA" w:rsidRDefault="0045354B" w:rsidP="0045354B">
      <w:pPr>
        <w:pStyle w:val="BodyText"/>
        <w:rPr>
          <w:bCs/>
        </w:rPr>
      </w:pPr>
      <w:proofErr w:type="gramStart"/>
      <w:r w:rsidRPr="00C52B34">
        <w:rPr>
          <w:b/>
          <w:bCs/>
        </w:rPr>
        <w:t>Strategy objective</w:t>
      </w:r>
      <w:r w:rsidR="00437535" w:rsidRPr="006876B7">
        <w:rPr>
          <w:bCs/>
        </w:rPr>
        <w:t>—</w:t>
      </w:r>
      <w:r w:rsidRPr="00C518EA">
        <w:rPr>
          <w:bCs/>
        </w:rPr>
        <w:t>Improved rural infrastructure, particularly roads and electrification</w:t>
      </w:r>
      <w:r w:rsidR="004F1E7F">
        <w:rPr>
          <w:bCs/>
        </w:rPr>
        <w:t>.</w:t>
      </w:r>
      <w:proofErr w:type="gramEnd"/>
    </w:p>
    <w:p w:rsidR="0045354B" w:rsidRPr="00011136" w:rsidRDefault="0045354B" w:rsidP="0045354B">
      <w:pPr>
        <w:pStyle w:val="BodyText"/>
        <w:pBdr>
          <w:top w:val="single" w:sz="4" w:space="1" w:color="auto"/>
          <w:left w:val="single" w:sz="4" w:space="4" w:color="auto"/>
          <w:bottom w:val="single" w:sz="4" w:space="1" w:color="auto"/>
          <w:right w:val="single" w:sz="4" w:space="4" w:color="auto"/>
        </w:pBdr>
      </w:pPr>
      <w:r w:rsidRPr="00C52B34">
        <w:rPr>
          <w:b/>
        </w:rPr>
        <w:t xml:space="preserve">Target </w:t>
      </w:r>
      <w:r w:rsidR="00E9203A">
        <w:rPr>
          <w:b/>
        </w:rPr>
        <w:t>5</w:t>
      </w:r>
      <w:r>
        <w:t>:</w:t>
      </w:r>
      <w:r w:rsidRPr="00011136">
        <w:t xml:space="preserve"> 228 additional rural households gain access to the main electricity grid</w:t>
      </w:r>
      <w:r w:rsidR="004F1E7F">
        <w:t>.</w:t>
      </w:r>
    </w:p>
    <w:p w:rsidR="0045354B" w:rsidRPr="00C52B34" w:rsidRDefault="0045354B" w:rsidP="0045354B">
      <w:pPr>
        <w:pStyle w:val="BodyText"/>
        <w:pBdr>
          <w:top w:val="single" w:sz="4" w:space="1" w:color="auto"/>
          <w:left w:val="single" w:sz="4" w:space="4" w:color="auto"/>
          <w:bottom w:val="single" w:sz="4" w:space="1" w:color="auto"/>
          <w:right w:val="single" w:sz="4" w:space="4" w:color="auto"/>
        </w:pBdr>
        <w:rPr>
          <w:i/>
        </w:rPr>
      </w:pPr>
      <w:r w:rsidRPr="00C52B34">
        <w:rPr>
          <w:i/>
        </w:rPr>
        <w:t>Not met</w:t>
      </w:r>
      <w:r w:rsidR="00AA7011">
        <w:rPr>
          <w:i/>
        </w:rPr>
        <w:t xml:space="preserve">. </w:t>
      </w:r>
      <w:r w:rsidR="00664CBF">
        <w:rPr>
          <w:i/>
        </w:rPr>
        <w:t>D</w:t>
      </w:r>
      <w:r w:rsidRPr="00C52B34">
        <w:rPr>
          <w:i/>
        </w:rPr>
        <w:t>elayed signing of the World Bank</w:t>
      </w:r>
      <w:r w:rsidR="00C21535">
        <w:rPr>
          <w:i/>
        </w:rPr>
        <w:t xml:space="preserve"> – </w:t>
      </w:r>
      <w:r w:rsidRPr="00C52B34">
        <w:rPr>
          <w:i/>
        </w:rPr>
        <w:t>Government of Laos Grant Agreement has delayed implementation of Australian-funded components.</w:t>
      </w:r>
    </w:p>
    <w:p w:rsidR="00031617" w:rsidRDefault="0045354B" w:rsidP="004A035D">
      <w:pPr>
        <w:pStyle w:val="BodyText"/>
        <w:pBdr>
          <w:top w:val="single" w:sz="4" w:space="1" w:color="auto"/>
          <w:left w:val="single" w:sz="4" w:space="4" w:color="auto"/>
          <w:bottom w:val="single" w:sz="4" w:space="1" w:color="auto"/>
          <w:right w:val="single" w:sz="4" w:space="4" w:color="auto"/>
        </w:pBdr>
        <w:spacing w:after="400"/>
      </w:pPr>
      <w:proofErr w:type="gramStart"/>
      <w:r>
        <w:t xml:space="preserve">Supported under the World Bank </w:t>
      </w:r>
      <w:r w:rsidRPr="00D04E8B">
        <w:t>Rural Electrification Project</w:t>
      </w:r>
      <w:r>
        <w:t xml:space="preserve"> Phase I.</w:t>
      </w:r>
      <w:proofErr w:type="gramEnd"/>
    </w:p>
    <w:p w:rsidR="0045354B" w:rsidRDefault="0045354B" w:rsidP="0045354B">
      <w:pPr>
        <w:pStyle w:val="Heading2"/>
        <w:keepNext/>
        <w:ind w:left="0"/>
      </w:pPr>
      <w:bookmarkStart w:id="26" w:name="_Toc360989298"/>
      <w:r>
        <w:t xml:space="preserve">Laos </w:t>
      </w:r>
      <w:r w:rsidR="00361D6C">
        <w:t>p</w:t>
      </w:r>
      <w:r>
        <w:t xml:space="preserve">rogram </w:t>
      </w:r>
      <w:r w:rsidR="00A713C0">
        <w:t xml:space="preserve">top </w:t>
      </w:r>
      <w:r w:rsidR="00EB5E7D">
        <w:t>results</w:t>
      </w:r>
      <w:r>
        <w:t xml:space="preserve"> </w:t>
      </w:r>
      <w:r w:rsidR="001A5588">
        <w:t xml:space="preserve">planned </w:t>
      </w:r>
      <w:r>
        <w:t>for 2011</w:t>
      </w:r>
      <w:bookmarkEnd w:id="26"/>
      <w:r>
        <w:t xml:space="preserve"> </w:t>
      </w:r>
    </w:p>
    <w:p w:rsidR="0045354B" w:rsidRDefault="0045354B" w:rsidP="0045354B">
      <w:pPr>
        <w:pStyle w:val="Heading3"/>
        <w:keepNext/>
      </w:pPr>
      <w:bookmarkStart w:id="27" w:name="_Toc360989299"/>
      <w:r>
        <w:t>E</w:t>
      </w:r>
      <w:r w:rsidR="006C00A1">
        <w:t>ducation</w:t>
      </w:r>
      <w:bookmarkEnd w:id="27"/>
    </w:p>
    <w:p w:rsidR="0045354B" w:rsidRPr="006876B7" w:rsidRDefault="0045354B" w:rsidP="0045354B">
      <w:pPr>
        <w:pStyle w:val="BodyText"/>
        <w:rPr>
          <w:b/>
        </w:rPr>
      </w:pPr>
      <w:r w:rsidRPr="00C43E88">
        <w:rPr>
          <w:b/>
        </w:rPr>
        <w:t xml:space="preserve">Laos </w:t>
      </w:r>
      <w:r w:rsidR="00C21535">
        <w:rPr>
          <w:b/>
        </w:rPr>
        <w:t>d</w:t>
      </w:r>
      <w:r w:rsidRPr="00C43E88">
        <w:rPr>
          <w:b/>
        </w:rPr>
        <w:t xml:space="preserve">evelopment </w:t>
      </w:r>
      <w:r w:rsidR="00C21535">
        <w:rPr>
          <w:b/>
        </w:rPr>
        <w:t>o</w:t>
      </w:r>
      <w:r w:rsidRPr="00C43E88">
        <w:rPr>
          <w:b/>
        </w:rPr>
        <w:t>utcome</w:t>
      </w:r>
      <w:r w:rsidR="00437535">
        <w:rPr>
          <w:b/>
        </w:rPr>
        <w:t>—</w:t>
      </w:r>
      <w:r w:rsidRPr="006876B7">
        <w:rPr>
          <w:b/>
        </w:rPr>
        <w:t>All boys and girls complete a full course of quality primary education</w:t>
      </w:r>
    </w:p>
    <w:p w:rsidR="0045354B" w:rsidRPr="00C43E88" w:rsidRDefault="0045354B" w:rsidP="001C2440">
      <w:pPr>
        <w:pStyle w:val="FootnoteText"/>
        <w:spacing w:afterLines="80" w:after="192" w:line="280" w:lineRule="atLeast"/>
        <w:ind w:left="0" w:firstLine="0"/>
        <w:rPr>
          <w:rFonts w:ascii="Georgia" w:hAnsi="Georgia"/>
          <w:sz w:val="19"/>
          <w:szCs w:val="19"/>
        </w:rPr>
      </w:pPr>
      <w:r w:rsidRPr="0045435A">
        <w:rPr>
          <w:rFonts w:ascii="Georgia" w:hAnsi="Georgia"/>
          <w:b/>
          <w:sz w:val="19"/>
          <w:szCs w:val="19"/>
        </w:rPr>
        <w:t>Strategy objective</w:t>
      </w:r>
      <w:r w:rsidR="00437535">
        <w:rPr>
          <w:rFonts w:ascii="Georgia" w:hAnsi="Georgia"/>
          <w:b/>
          <w:sz w:val="19"/>
          <w:szCs w:val="19"/>
        </w:rPr>
        <w:t>—</w:t>
      </w:r>
      <w:r w:rsidRPr="00C43E88">
        <w:rPr>
          <w:rFonts w:ascii="Georgia" w:hAnsi="Georgia"/>
          <w:sz w:val="19"/>
          <w:szCs w:val="19"/>
        </w:rPr>
        <w:t>Mitigation of key constraints to equitable access to a quality basic education in targeted poor geographic areas</w:t>
      </w:r>
      <w:r w:rsidR="004F1E7F">
        <w:rPr>
          <w:rFonts w:ascii="Georgia" w:hAnsi="Georgia"/>
          <w:sz w:val="19"/>
          <w:szCs w:val="19"/>
        </w:rPr>
        <w:t>.</w:t>
      </w:r>
    </w:p>
    <w:p w:rsidR="0045354B" w:rsidRPr="00C43E88" w:rsidRDefault="0045354B" w:rsidP="0045354B">
      <w:pPr>
        <w:pStyle w:val="FootnoteText"/>
        <w:pBdr>
          <w:top w:val="single" w:sz="4" w:space="1" w:color="auto"/>
          <w:left w:val="single" w:sz="4" w:space="4" w:color="auto"/>
          <w:bottom w:val="single" w:sz="4" w:space="1" w:color="auto"/>
          <w:right w:val="single" w:sz="4" w:space="4" w:color="auto"/>
        </w:pBdr>
        <w:spacing w:before="80" w:afterLines="80" w:after="192" w:line="280" w:lineRule="atLeast"/>
        <w:rPr>
          <w:rFonts w:ascii="Georgia" w:hAnsi="Georgia"/>
          <w:sz w:val="19"/>
          <w:szCs w:val="19"/>
        </w:rPr>
      </w:pPr>
      <w:r w:rsidRPr="0045435A">
        <w:rPr>
          <w:rFonts w:ascii="Georgia" w:hAnsi="Georgia"/>
          <w:b/>
          <w:sz w:val="19"/>
          <w:szCs w:val="19"/>
        </w:rPr>
        <w:t>Target 1</w:t>
      </w:r>
      <w:proofErr w:type="gramStart"/>
      <w:r>
        <w:rPr>
          <w:rFonts w:ascii="Georgia" w:hAnsi="Georgia"/>
          <w:sz w:val="19"/>
          <w:szCs w:val="19"/>
        </w:rPr>
        <w:t>:</w:t>
      </w:r>
      <w:r w:rsidRPr="00C43E88">
        <w:rPr>
          <w:rFonts w:ascii="Georgia" w:hAnsi="Georgia"/>
          <w:sz w:val="19"/>
          <w:szCs w:val="19"/>
        </w:rPr>
        <w:t>More</w:t>
      </w:r>
      <w:proofErr w:type="gramEnd"/>
      <w:r w:rsidRPr="00C43E88">
        <w:rPr>
          <w:rFonts w:ascii="Georgia" w:hAnsi="Georgia"/>
          <w:sz w:val="19"/>
          <w:szCs w:val="19"/>
        </w:rPr>
        <w:t xml:space="preserve"> than 750</w:t>
      </w:r>
      <w:r>
        <w:rPr>
          <w:rFonts w:ascii="Georgia" w:hAnsi="Georgia"/>
          <w:sz w:val="19"/>
          <w:szCs w:val="19"/>
        </w:rPr>
        <w:t xml:space="preserve"> additional</w:t>
      </w:r>
      <w:r w:rsidRPr="00C43E88">
        <w:rPr>
          <w:rFonts w:ascii="Georgia" w:hAnsi="Georgia"/>
          <w:sz w:val="19"/>
          <w:szCs w:val="19"/>
        </w:rPr>
        <w:t xml:space="preserve"> </w:t>
      </w:r>
      <w:r w:rsidRPr="00AD7C2A">
        <w:rPr>
          <w:rFonts w:ascii="Georgia" w:hAnsi="Georgia"/>
          <w:sz w:val="19"/>
          <w:szCs w:val="19"/>
        </w:rPr>
        <w:t>schools upgrading quality standards to become schools</w:t>
      </w:r>
      <w:r w:rsidRPr="00C43E88">
        <w:rPr>
          <w:rFonts w:ascii="Georgia" w:hAnsi="Georgia"/>
          <w:sz w:val="19"/>
          <w:szCs w:val="19"/>
        </w:rPr>
        <w:t xml:space="preserve"> of quality</w:t>
      </w:r>
      <w:r w:rsidR="004F1E7F">
        <w:rPr>
          <w:rFonts w:ascii="Georgia" w:hAnsi="Georgia"/>
          <w:sz w:val="19"/>
          <w:szCs w:val="19"/>
        </w:rPr>
        <w:t>.</w:t>
      </w:r>
      <w:r w:rsidRPr="00C43E88">
        <w:rPr>
          <w:rFonts w:ascii="Georgia" w:hAnsi="Georgia"/>
          <w:sz w:val="19"/>
          <w:szCs w:val="19"/>
        </w:rPr>
        <w:t xml:space="preserve"> </w:t>
      </w:r>
    </w:p>
    <w:p w:rsidR="0045354B" w:rsidRDefault="0045354B" w:rsidP="0045354B">
      <w:pPr>
        <w:pStyle w:val="FootnoteText"/>
        <w:pBdr>
          <w:top w:val="single" w:sz="4" w:space="1" w:color="auto"/>
          <w:left w:val="single" w:sz="4" w:space="4" w:color="auto"/>
          <w:bottom w:val="single" w:sz="4" w:space="1" w:color="auto"/>
          <w:right w:val="single" w:sz="4" w:space="4" w:color="auto"/>
        </w:pBdr>
        <w:spacing w:afterLines="80" w:after="192" w:line="280" w:lineRule="atLeast"/>
        <w:ind w:left="0" w:firstLine="0"/>
        <w:rPr>
          <w:rFonts w:ascii="Georgia" w:hAnsi="Georgia"/>
          <w:sz w:val="19"/>
          <w:szCs w:val="19"/>
        </w:rPr>
      </w:pPr>
      <w:r w:rsidRPr="00C43E88">
        <w:rPr>
          <w:rFonts w:ascii="Georgia" w:hAnsi="Georgia"/>
          <w:sz w:val="19"/>
          <w:szCs w:val="19"/>
        </w:rPr>
        <w:t>Schools of quality have appropriate classroom and ancillary building</w:t>
      </w:r>
      <w:r>
        <w:rPr>
          <w:rFonts w:ascii="Georgia" w:hAnsi="Georgia"/>
          <w:sz w:val="19"/>
          <w:szCs w:val="19"/>
        </w:rPr>
        <w:t>s</w:t>
      </w:r>
      <w:r w:rsidRPr="00C43E88">
        <w:rPr>
          <w:rFonts w:ascii="Georgia" w:hAnsi="Georgia"/>
          <w:sz w:val="19"/>
          <w:szCs w:val="19"/>
        </w:rPr>
        <w:t>, trained teachers, teaching resources strong leadership and community involvement, and provide a safe learning environment for students</w:t>
      </w:r>
      <w:r w:rsidR="00AA7011">
        <w:rPr>
          <w:rFonts w:ascii="Georgia" w:hAnsi="Georgia"/>
          <w:sz w:val="19"/>
          <w:szCs w:val="19"/>
        </w:rPr>
        <w:t xml:space="preserve">. </w:t>
      </w:r>
    </w:p>
    <w:p w:rsidR="0045354B" w:rsidRDefault="0045354B" w:rsidP="001C2440">
      <w:pPr>
        <w:pStyle w:val="FootnoteText"/>
        <w:pBdr>
          <w:top w:val="single" w:sz="4" w:space="1" w:color="auto"/>
          <w:left w:val="single" w:sz="4" w:space="4" w:color="auto"/>
          <w:bottom w:val="single" w:sz="4" w:space="1" w:color="auto"/>
          <w:right w:val="single" w:sz="4" w:space="4" w:color="auto"/>
        </w:pBdr>
        <w:spacing w:before="80" w:afterLines="80" w:after="192" w:line="280" w:lineRule="atLeast"/>
        <w:ind w:left="0" w:firstLine="0"/>
        <w:rPr>
          <w:rFonts w:ascii="Georgia" w:hAnsi="Georgia"/>
          <w:sz w:val="19"/>
          <w:szCs w:val="19"/>
        </w:rPr>
      </w:pPr>
      <w:r>
        <w:rPr>
          <w:rFonts w:ascii="Georgia" w:hAnsi="Georgia"/>
          <w:b/>
          <w:sz w:val="19"/>
          <w:szCs w:val="19"/>
        </w:rPr>
        <w:t>Target 2</w:t>
      </w:r>
      <w:r w:rsidRPr="006876B7">
        <w:rPr>
          <w:rFonts w:ascii="Georgia" w:hAnsi="Georgia"/>
          <w:sz w:val="19"/>
          <w:szCs w:val="19"/>
        </w:rPr>
        <w:t>:</w:t>
      </w:r>
      <w:r>
        <w:rPr>
          <w:rFonts w:ascii="Georgia" w:hAnsi="Georgia"/>
          <w:b/>
          <w:sz w:val="19"/>
          <w:szCs w:val="19"/>
        </w:rPr>
        <w:t xml:space="preserve"> </w:t>
      </w:r>
      <w:r w:rsidRPr="00C43E88">
        <w:rPr>
          <w:rFonts w:ascii="Georgia" w:hAnsi="Georgia"/>
          <w:sz w:val="19"/>
          <w:szCs w:val="19"/>
        </w:rPr>
        <w:t>195</w:t>
      </w:r>
      <w:r w:rsidR="008874BC">
        <w:rPr>
          <w:rFonts w:ascii="Georgia" w:hAnsi="Georgia"/>
          <w:sz w:val="19"/>
          <w:szCs w:val="19"/>
        </w:rPr>
        <w:t xml:space="preserve"> </w:t>
      </w:r>
      <w:r>
        <w:rPr>
          <w:rFonts w:ascii="Georgia" w:hAnsi="Georgia"/>
          <w:sz w:val="19"/>
          <w:szCs w:val="19"/>
        </w:rPr>
        <w:t>incomplete schools</w:t>
      </w:r>
      <w:r w:rsidRPr="00C43E88">
        <w:rPr>
          <w:rFonts w:ascii="Georgia" w:hAnsi="Georgia"/>
          <w:sz w:val="19"/>
          <w:szCs w:val="19"/>
        </w:rPr>
        <w:t xml:space="preserve"> are </w:t>
      </w:r>
      <w:r>
        <w:rPr>
          <w:rFonts w:ascii="Georgia" w:hAnsi="Georgia"/>
          <w:sz w:val="19"/>
          <w:szCs w:val="19"/>
        </w:rPr>
        <w:t xml:space="preserve">expanded to become </w:t>
      </w:r>
      <w:r w:rsidRPr="00C43E88">
        <w:rPr>
          <w:rFonts w:ascii="Georgia" w:hAnsi="Georgia"/>
          <w:sz w:val="19"/>
          <w:szCs w:val="19"/>
        </w:rPr>
        <w:t>complet</w:t>
      </w:r>
      <w:r>
        <w:rPr>
          <w:rFonts w:ascii="Georgia" w:hAnsi="Georgia"/>
          <w:sz w:val="19"/>
          <w:szCs w:val="19"/>
        </w:rPr>
        <w:t>e</w:t>
      </w:r>
      <w:r w:rsidR="004F1E7F">
        <w:rPr>
          <w:rFonts w:ascii="Georgia" w:hAnsi="Georgia"/>
          <w:sz w:val="19"/>
          <w:szCs w:val="19"/>
        </w:rPr>
        <w:t>.</w:t>
      </w:r>
    </w:p>
    <w:p w:rsidR="0045354B" w:rsidRDefault="0045354B" w:rsidP="0045354B">
      <w:pPr>
        <w:pStyle w:val="FootnoteText"/>
        <w:pBdr>
          <w:top w:val="single" w:sz="4" w:space="1" w:color="auto"/>
          <w:left w:val="single" w:sz="4" w:space="4" w:color="auto"/>
          <w:bottom w:val="single" w:sz="4" w:space="1" w:color="auto"/>
          <w:right w:val="single" w:sz="4" w:space="4" w:color="auto"/>
        </w:pBdr>
        <w:spacing w:afterLines="80" w:after="192" w:line="280" w:lineRule="atLeast"/>
        <w:ind w:left="0" w:firstLine="0"/>
        <w:rPr>
          <w:rFonts w:ascii="Georgia" w:hAnsi="Georgia"/>
          <w:sz w:val="19"/>
          <w:szCs w:val="19"/>
        </w:rPr>
      </w:pPr>
      <w:r w:rsidRPr="00C43E88">
        <w:rPr>
          <w:rFonts w:ascii="Georgia" w:hAnsi="Georgia"/>
          <w:sz w:val="19"/>
          <w:szCs w:val="19"/>
        </w:rPr>
        <w:t xml:space="preserve">Many schools </w:t>
      </w:r>
      <w:r w:rsidR="004F1E7F">
        <w:rPr>
          <w:rFonts w:ascii="Georgia" w:hAnsi="Georgia"/>
          <w:sz w:val="19"/>
          <w:szCs w:val="19"/>
        </w:rPr>
        <w:t>do not have</w:t>
      </w:r>
      <w:r w:rsidR="004F1E7F" w:rsidRPr="00C43E88">
        <w:rPr>
          <w:rFonts w:ascii="Georgia" w:hAnsi="Georgia"/>
          <w:sz w:val="19"/>
          <w:szCs w:val="19"/>
        </w:rPr>
        <w:t xml:space="preserve"> </w:t>
      </w:r>
      <w:r w:rsidRPr="00C43E88">
        <w:rPr>
          <w:rFonts w:ascii="Georgia" w:hAnsi="Georgia"/>
          <w:sz w:val="19"/>
          <w:szCs w:val="19"/>
        </w:rPr>
        <w:t xml:space="preserve">enough class rooms to offer </w:t>
      </w:r>
      <w:proofErr w:type="gramStart"/>
      <w:r w:rsidRPr="00C43E88">
        <w:rPr>
          <w:rFonts w:ascii="Georgia" w:hAnsi="Georgia"/>
          <w:sz w:val="19"/>
          <w:szCs w:val="19"/>
        </w:rPr>
        <w:t>a full five</w:t>
      </w:r>
      <w:r w:rsidR="004F1E7F">
        <w:rPr>
          <w:rFonts w:ascii="Georgia" w:hAnsi="Georgia"/>
          <w:sz w:val="19"/>
          <w:szCs w:val="19"/>
        </w:rPr>
        <w:t>-</w:t>
      </w:r>
      <w:r w:rsidRPr="00C43E88">
        <w:rPr>
          <w:rFonts w:ascii="Georgia" w:hAnsi="Georgia"/>
          <w:sz w:val="19"/>
          <w:szCs w:val="19"/>
        </w:rPr>
        <w:t>years</w:t>
      </w:r>
      <w:proofErr w:type="gramEnd"/>
      <w:r w:rsidRPr="00C43E88">
        <w:rPr>
          <w:rFonts w:ascii="Georgia" w:hAnsi="Georgia"/>
          <w:sz w:val="19"/>
          <w:szCs w:val="19"/>
        </w:rPr>
        <w:t xml:space="preserve"> of primary school</w:t>
      </w:r>
      <w:r w:rsidR="00AA7011">
        <w:rPr>
          <w:rFonts w:ascii="Georgia" w:hAnsi="Georgia"/>
          <w:sz w:val="19"/>
          <w:szCs w:val="19"/>
        </w:rPr>
        <w:t xml:space="preserve">. </w:t>
      </w:r>
      <w:r w:rsidRPr="00C43E88">
        <w:rPr>
          <w:rFonts w:ascii="Georgia" w:hAnsi="Georgia"/>
          <w:sz w:val="19"/>
          <w:szCs w:val="19"/>
        </w:rPr>
        <w:t>School completion will increase the number of places available for primary school age children and boost primary school completion rates.</w:t>
      </w:r>
    </w:p>
    <w:p w:rsidR="0045354B" w:rsidRPr="00C43E88" w:rsidRDefault="0045354B" w:rsidP="001C2440">
      <w:pPr>
        <w:pStyle w:val="BodyText"/>
        <w:spacing w:before="0" w:afterLines="80" w:after="192"/>
      </w:pPr>
      <w:proofErr w:type="gramStart"/>
      <w:r w:rsidRPr="0045435A">
        <w:rPr>
          <w:b/>
          <w:bCs/>
        </w:rPr>
        <w:t>Strategy objective</w:t>
      </w:r>
      <w:r w:rsidR="00BE2C5E" w:rsidRPr="006876B7">
        <w:rPr>
          <w:bCs/>
        </w:rPr>
        <w:t>—</w:t>
      </w:r>
      <w:r w:rsidRPr="00C43E88">
        <w:t>Better management of Government of Laos and donor resources available to the education sector through implementation of a jointly agreed 10</w:t>
      </w:r>
      <w:r w:rsidR="004F1E7F">
        <w:t>-</w:t>
      </w:r>
      <w:r w:rsidRPr="00C43E88">
        <w:t>year education sector framework</w:t>
      </w:r>
      <w:r w:rsidR="004F1E7F">
        <w:t>.</w:t>
      </w:r>
      <w:proofErr w:type="gramEnd"/>
    </w:p>
    <w:p w:rsidR="0045354B" w:rsidRPr="00C43E88" w:rsidRDefault="0045354B" w:rsidP="001C2440">
      <w:pPr>
        <w:pStyle w:val="BodyText"/>
        <w:pBdr>
          <w:top w:val="single" w:sz="4" w:space="1" w:color="auto"/>
          <w:left w:val="single" w:sz="4" w:space="4" w:color="auto"/>
          <w:bottom w:val="single" w:sz="4" w:space="1" w:color="auto"/>
          <w:right w:val="single" w:sz="4" w:space="4" w:color="auto"/>
        </w:pBdr>
        <w:spacing w:afterLines="80" w:after="192"/>
      </w:pPr>
      <w:r w:rsidRPr="0045435A">
        <w:rPr>
          <w:b/>
        </w:rPr>
        <w:t>Target 3</w:t>
      </w:r>
      <w:r>
        <w:t xml:space="preserve">: </w:t>
      </w:r>
      <w:r w:rsidRPr="00C43E88">
        <w:t xml:space="preserve">All major education sector donors jointly assess sector progress through the </w:t>
      </w:r>
      <w:r w:rsidR="00B72333">
        <w:t>first</w:t>
      </w:r>
      <w:r w:rsidRPr="00C43E88">
        <w:t xml:space="preserve"> annual joint sector review</w:t>
      </w:r>
      <w:r w:rsidR="004F1E7F">
        <w:t>.</w:t>
      </w:r>
    </w:p>
    <w:p w:rsidR="0045354B" w:rsidRPr="00C43E88" w:rsidRDefault="0045354B" w:rsidP="0045354B">
      <w:pPr>
        <w:pStyle w:val="FootnoteText"/>
        <w:pBdr>
          <w:top w:val="single" w:sz="4" w:space="1" w:color="auto"/>
          <w:left w:val="single" w:sz="4" w:space="4" w:color="auto"/>
          <w:bottom w:val="single" w:sz="4" w:space="1" w:color="auto"/>
          <w:right w:val="single" w:sz="4" w:space="4" w:color="auto"/>
        </w:pBdr>
        <w:spacing w:afterLines="80" w:after="192" w:line="280" w:lineRule="atLeast"/>
        <w:ind w:left="0" w:firstLine="0"/>
        <w:rPr>
          <w:rFonts w:ascii="Georgia" w:hAnsi="Georgia"/>
          <w:sz w:val="19"/>
          <w:szCs w:val="19"/>
        </w:rPr>
      </w:pPr>
      <w:r w:rsidRPr="00C43E88">
        <w:rPr>
          <w:rFonts w:ascii="Georgia" w:hAnsi="Georgia"/>
          <w:sz w:val="19"/>
          <w:szCs w:val="19"/>
        </w:rPr>
        <w:t>This is a key step towards a full sector wide approach to education aid management that enhances aid impact and reduces the aid management burden on the Government of Laos.</w:t>
      </w:r>
    </w:p>
    <w:p w:rsidR="0045354B" w:rsidRDefault="0045354B" w:rsidP="0045354B">
      <w:pPr>
        <w:pStyle w:val="Heading3"/>
        <w:keepNext/>
      </w:pPr>
      <w:bookmarkStart w:id="28" w:name="_Toc360989300"/>
      <w:r w:rsidRPr="00C43E88">
        <w:t>T</w:t>
      </w:r>
      <w:r w:rsidR="006C00A1">
        <w:t>rade and investment</w:t>
      </w:r>
      <w:bookmarkEnd w:id="28"/>
    </w:p>
    <w:p w:rsidR="0045354B" w:rsidRPr="0045435A" w:rsidRDefault="0045354B" w:rsidP="0045354B">
      <w:pPr>
        <w:pStyle w:val="BodyText"/>
        <w:rPr>
          <w:b/>
          <w:bCs/>
        </w:rPr>
      </w:pPr>
      <w:r w:rsidRPr="0045435A">
        <w:rPr>
          <w:b/>
          <w:bCs/>
        </w:rPr>
        <w:t xml:space="preserve">Laos </w:t>
      </w:r>
      <w:r w:rsidR="004F1E7F">
        <w:rPr>
          <w:b/>
          <w:bCs/>
        </w:rPr>
        <w:t>d</w:t>
      </w:r>
      <w:r w:rsidRPr="0045435A">
        <w:rPr>
          <w:b/>
          <w:bCs/>
        </w:rPr>
        <w:t xml:space="preserve">evelopment </w:t>
      </w:r>
      <w:r w:rsidR="004F1E7F">
        <w:rPr>
          <w:b/>
          <w:bCs/>
        </w:rPr>
        <w:t>o</w:t>
      </w:r>
      <w:r w:rsidRPr="0045435A">
        <w:rPr>
          <w:b/>
          <w:bCs/>
        </w:rPr>
        <w:t>utcome</w:t>
      </w:r>
      <w:r w:rsidR="00431546">
        <w:rPr>
          <w:b/>
          <w:bCs/>
        </w:rPr>
        <w:t>—</w:t>
      </w:r>
      <w:r w:rsidRPr="0045435A">
        <w:rPr>
          <w:b/>
          <w:bCs/>
        </w:rPr>
        <w:t>Increased trade and investment in sectors which support poverty reduction</w:t>
      </w:r>
    </w:p>
    <w:p w:rsidR="0045354B" w:rsidRPr="00C43E88" w:rsidRDefault="0045354B" w:rsidP="001C2440">
      <w:pPr>
        <w:pStyle w:val="BodyText"/>
        <w:spacing w:before="0" w:afterLines="80" w:after="192"/>
      </w:pPr>
      <w:r w:rsidRPr="0045435A">
        <w:rPr>
          <w:b/>
          <w:bCs/>
        </w:rPr>
        <w:t>Strategy objective</w:t>
      </w:r>
      <w:r w:rsidR="00431546" w:rsidRPr="006876B7">
        <w:rPr>
          <w:bCs/>
        </w:rPr>
        <w:t>—</w:t>
      </w:r>
      <w:r w:rsidRPr="00C43E88">
        <w:rPr>
          <w:bCs/>
        </w:rPr>
        <w:t>Policy</w:t>
      </w:r>
      <w:r w:rsidRPr="00C43E88">
        <w:t xml:space="preserve"> and institutional impediments to trade and investment addressed in sectors that have high potential to contribute to inclusive growth</w:t>
      </w:r>
      <w:r w:rsidR="004F1E7F">
        <w:t>.</w:t>
      </w:r>
    </w:p>
    <w:p w:rsidR="0045354B" w:rsidRPr="00C43E88" w:rsidRDefault="0045354B" w:rsidP="0045354B">
      <w:pPr>
        <w:pStyle w:val="FootnoteText"/>
        <w:pBdr>
          <w:top w:val="single" w:sz="4" w:space="1" w:color="auto"/>
          <w:left w:val="single" w:sz="4" w:space="4" w:color="auto"/>
          <w:bottom w:val="single" w:sz="4" w:space="1" w:color="auto"/>
          <w:right w:val="single" w:sz="4" w:space="4" w:color="auto"/>
        </w:pBdr>
        <w:spacing w:before="80" w:line="280" w:lineRule="atLeast"/>
        <w:ind w:left="0" w:firstLine="0"/>
        <w:rPr>
          <w:rFonts w:ascii="Georgia" w:hAnsi="Georgia"/>
          <w:sz w:val="19"/>
          <w:szCs w:val="19"/>
        </w:rPr>
      </w:pPr>
      <w:proofErr w:type="gramStart"/>
      <w:r w:rsidRPr="0045435A">
        <w:rPr>
          <w:rFonts w:ascii="Georgia" w:hAnsi="Georgia"/>
          <w:b/>
          <w:sz w:val="19"/>
          <w:szCs w:val="19"/>
        </w:rPr>
        <w:lastRenderedPageBreak/>
        <w:t>Target 4</w:t>
      </w:r>
      <w:r>
        <w:rPr>
          <w:rFonts w:ascii="Georgia" w:hAnsi="Georgia"/>
          <w:sz w:val="19"/>
          <w:szCs w:val="19"/>
        </w:rPr>
        <w:t xml:space="preserve">: </w:t>
      </w:r>
      <w:r w:rsidRPr="00C43E88">
        <w:rPr>
          <w:rFonts w:ascii="Georgia" w:hAnsi="Georgia"/>
          <w:sz w:val="19"/>
          <w:szCs w:val="19"/>
        </w:rPr>
        <w:t>Number of days to start up an enterprise reduced to less than 100 days (100 days</w:t>
      </w:r>
      <w:r w:rsidR="00B72333">
        <w:rPr>
          <w:rFonts w:ascii="Georgia" w:hAnsi="Georgia"/>
          <w:sz w:val="19"/>
          <w:szCs w:val="19"/>
        </w:rPr>
        <w:br/>
      </w:r>
      <w:r w:rsidRPr="00C43E88">
        <w:rPr>
          <w:rFonts w:ascii="Georgia" w:hAnsi="Georgia"/>
          <w:sz w:val="19"/>
          <w:szCs w:val="19"/>
        </w:rPr>
        <w:t>in 2010)</w:t>
      </w:r>
      <w:r w:rsidR="004F1E7F">
        <w:rPr>
          <w:rFonts w:ascii="Georgia" w:hAnsi="Georgia"/>
          <w:sz w:val="19"/>
          <w:szCs w:val="19"/>
        </w:rPr>
        <w:t>.</w:t>
      </w:r>
      <w:proofErr w:type="gramEnd"/>
    </w:p>
    <w:p w:rsidR="0045354B" w:rsidRPr="00C43E88" w:rsidRDefault="0045354B" w:rsidP="00427331">
      <w:pPr>
        <w:pStyle w:val="Heading3"/>
        <w:keepNext/>
        <w:spacing w:before="480"/>
        <w:rPr>
          <w:rFonts w:ascii="Georgia" w:hAnsi="Georgia"/>
          <w:sz w:val="19"/>
          <w:szCs w:val="19"/>
        </w:rPr>
      </w:pPr>
      <w:bookmarkStart w:id="29" w:name="_Toc360989301"/>
      <w:r w:rsidRPr="00C43E88">
        <w:t>R</w:t>
      </w:r>
      <w:r w:rsidR="006C00A1">
        <w:t>ural development</w:t>
      </w:r>
      <w:bookmarkEnd w:id="29"/>
    </w:p>
    <w:p w:rsidR="0045354B" w:rsidRPr="0045435A" w:rsidRDefault="0045354B" w:rsidP="0045354B">
      <w:pPr>
        <w:pStyle w:val="FootnoteText"/>
        <w:spacing w:before="80" w:after="80" w:line="280" w:lineRule="atLeast"/>
        <w:ind w:left="0" w:firstLine="0"/>
        <w:rPr>
          <w:rFonts w:ascii="Georgia" w:hAnsi="Georgia"/>
          <w:b/>
          <w:sz w:val="19"/>
          <w:szCs w:val="19"/>
        </w:rPr>
      </w:pPr>
      <w:proofErr w:type="gramStart"/>
      <w:r w:rsidRPr="0045435A">
        <w:rPr>
          <w:rFonts w:ascii="Georgia" w:hAnsi="Georgia"/>
          <w:b/>
          <w:sz w:val="19"/>
          <w:szCs w:val="19"/>
        </w:rPr>
        <w:t>Laos</w:t>
      </w:r>
      <w:proofErr w:type="gramEnd"/>
      <w:r w:rsidRPr="0045435A">
        <w:rPr>
          <w:rFonts w:ascii="Georgia" w:hAnsi="Georgia"/>
          <w:b/>
          <w:sz w:val="19"/>
          <w:szCs w:val="19"/>
        </w:rPr>
        <w:t xml:space="preserve"> </w:t>
      </w:r>
      <w:r w:rsidR="004F1E7F">
        <w:rPr>
          <w:rFonts w:ascii="Georgia" w:hAnsi="Georgia"/>
          <w:b/>
          <w:sz w:val="19"/>
          <w:szCs w:val="19"/>
        </w:rPr>
        <w:t>d</w:t>
      </w:r>
      <w:r w:rsidRPr="0045435A">
        <w:rPr>
          <w:rFonts w:ascii="Georgia" w:hAnsi="Georgia"/>
          <w:b/>
          <w:sz w:val="19"/>
          <w:szCs w:val="19"/>
        </w:rPr>
        <w:t xml:space="preserve">evelopment </w:t>
      </w:r>
      <w:r w:rsidR="004F1E7F">
        <w:rPr>
          <w:rFonts w:ascii="Georgia" w:hAnsi="Georgia"/>
          <w:b/>
          <w:sz w:val="19"/>
          <w:szCs w:val="19"/>
        </w:rPr>
        <w:t>o</w:t>
      </w:r>
      <w:r w:rsidRPr="0045435A">
        <w:rPr>
          <w:rFonts w:ascii="Georgia" w:hAnsi="Georgia"/>
          <w:b/>
          <w:sz w:val="19"/>
          <w:szCs w:val="19"/>
        </w:rPr>
        <w:t>utcome</w:t>
      </w:r>
      <w:r w:rsidR="00431546">
        <w:rPr>
          <w:rFonts w:ascii="Georgia" w:hAnsi="Georgia"/>
          <w:b/>
          <w:sz w:val="19"/>
          <w:szCs w:val="19"/>
        </w:rPr>
        <w:t>—</w:t>
      </w:r>
      <w:r w:rsidRPr="0045435A">
        <w:rPr>
          <w:rFonts w:ascii="Georgia" w:hAnsi="Georgia"/>
          <w:b/>
          <w:sz w:val="19"/>
          <w:szCs w:val="19"/>
        </w:rPr>
        <w:t xml:space="preserve">Less than one quarter of the population living below the national poverty line </w:t>
      </w:r>
    </w:p>
    <w:p w:rsidR="0045354B" w:rsidRPr="00C43E88" w:rsidRDefault="0045354B" w:rsidP="001C2440">
      <w:pPr>
        <w:pStyle w:val="BodyText"/>
        <w:spacing w:before="0" w:afterLines="80" w:after="192"/>
        <w:rPr>
          <w:bCs/>
        </w:rPr>
      </w:pPr>
      <w:proofErr w:type="gramStart"/>
      <w:r w:rsidRPr="0045435A">
        <w:rPr>
          <w:b/>
          <w:bCs/>
        </w:rPr>
        <w:t>Strategy objective</w:t>
      </w:r>
      <w:r w:rsidR="00431546" w:rsidRPr="006876B7">
        <w:rPr>
          <w:bCs/>
        </w:rPr>
        <w:t>—</w:t>
      </w:r>
      <w:r w:rsidRPr="00C43E88">
        <w:rPr>
          <w:bCs/>
        </w:rPr>
        <w:t>Improved rural infrastructure, particularly roads and electrification</w:t>
      </w:r>
      <w:r w:rsidR="004F1E7F">
        <w:rPr>
          <w:bCs/>
        </w:rPr>
        <w:t>.</w:t>
      </w:r>
      <w:proofErr w:type="gramEnd"/>
    </w:p>
    <w:p w:rsidR="0045354B" w:rsidRPr="00C43E88" w:rsidRDefault="0045354B" w:rsidP="001C2440">
      <w:pPr>
        <w:pStyle w:val="FootnoteText"/>
        <w:pBdr>
          <w:top w:val="single" w:sz="4" w:space="1" w:color="auto"/>
          <w:left w:val="single" w:sz="4" w:space="4" w:color="auto"/>
          <w:bottom w:val="single" w:sz="4" w:space="1" w:color="auto"/>
          <w:right w:val="single" w:sz="4" w:space="4" w:color="auto"/>
        </w:pBdr>
        <w:spacing w:before="80" w:afterLines="80" w:after="192" w:line="280" w:lineRule="atLeast"/>
        <w:ind w:left="0" w:firstLine="0"/>
        <w:rPr>
          <w:rFonts w:ascii="Georgia" w:hAnsi="Georgia"/>
          <w:sz w:val="19"/>
          <w:szCs w:val="19"/>
        </w:rPr>
      </w:pPr>
      <w:r w:rsidRPr="0045435A">
        <w:rPr>
          <w:rFonts w:ascii="Georgia" w:hAnsi="Georgia"/>
          <w:b/>
          <w:sz w:val="19"/>
          <w:szCs w:val="19"/>
        </w:rPr>
        <w:t>Target 5</w:t>
      </w:r>
      <w:r>
        <w:rPr>
          <w:rFonts w:ascii="Georgia" w:hAnsi="Georgia"/>
          <w:sz w:val="19"/>
          <w:szCs w:val="19"/>
        </w:rPr>
        <w:t xml:space="preserve">: </w:t>
      </w:r>
      <w:r w:rsidRPr="00C43E88">
        <w:rPr>
          <w:rFonts w:ascii="Georgia" w:hAnsi="Georgia"/>
          <w:sz w:val="19"/>
          <w:szCs w:val="19"/>
        </w:rPr>
        <w:t>19</w:t>
      </w:r>
      <w:r w:rsidR="00155B53">
        <w:rPr>
          <w:rFonts w:ascii="Georgia" w:hAnsi="Georgia"/>
          <w:sz w:val="19"/>
          <w:szCs w:val="19"/>
        </w:rPr>
        <w:t>,</w:t>
      </w:r>
      <w:r w:rsidRPr="00C43E88">
        <w:rPr>
          <w:rFonts w:ascii="Georgia" w:hAnsi="Georgia"/>
          <w:sz w:val="19"/>
          <w:szCs w:val="19"/>
        </w:rPr>
        <w:t>500 additional rural households gain access to the main electricity grid</w:t>
      </w:r>
      <w:r w:rsidR="004F1E7F">
        <w:rPr>
          <w:rFonts w:ascii="Georgia" w:hAnsi="Georgia"/>
          <w:sz w:val="19"/>
          <w:szCs w:val="19"/>
        </w:rPr>
        <w:t>.</w:t>
      </w:r>
    </w:p>
    <w:p w:rsidR="0045354B" w:rsidRPr="00C43E88" w:rsidRDefault="0045354B" w:rsidP="0045354B">
      <w:pPr>
        <w:pStyle w:val="BodyText"/>
        <w:pBdr>
          <w:top w:val="single" w:sz="4" w:space="1" w:color="auto"/>
          <w:left w:val="single" w:sz="4" w:space="4" w:color="auto"/>
          <w:bottom w:val="single" w:sz="4" w:space="1" w:color="auto"/>
          <w:right w:val="single" w:sz="4" w:space="4" w:color="auto"/>
        </w:pBdr>
        <w:spacing w:before="0" w:afterLines="80" w:after="192"/>
      </w:pPr>
      <w:proofErr w:type="gramStart"/>
      <w:r w:rsidRPr="00C43E88">
        <w:t>Supported under the World Bank Rural Electrification Project Phase I.</w:t>
      </w:r>
      <w:proofErr w:type="gramEnd"/>
    </w:p>
    <w:p w:rsidR="0045354B" w:rsidRDefault="0045354B" w:rsidP="0045354B">
      <w:pPr>
        <w:pStyle w:val="Heading2"/>
        <w:keepNext/>
        <w:ind w:left="0"/>
      </w:pPr>
      <w:r>
        <w:br w:type="page"/>
      </w:r>
      <w:bookmarkStart w:id="30" w:name="_Toc360989302"/>
      <w:r>
        <w:lastRenderedPageBreak/>
        <w:t>Annex C</w:t>
      </w:r>
      <w:r w:rsidR="006C00A1">
        <w:t>—</w:t>
      </w:r>
      <w:r>
        <w:t xml:space="preserve">Management </w:t>
      </w:r>
      <w:r w:rsidR="00651EC2">
        <w:t>c</w:t>
      </w:r>
      <w:r>
        <w:t>onsequences</w:t>
      </w:r>
      <w:bookmarkEnd w:id="30"/>
    </w:p>
    <w:p w:rsidR="0045354B" w:rsidRDefault="0045354B" w:rsidP="0045354B">
      <w:pPr>
        <w:pStyle w:val="Caption"/>
      </w:pPr>
      <w:r>
        <w:t xml:space="preserve">Table </w:t>
      </w:r>
      <w:r w:rsidR="00FC2D35">
        <w:fldChar w:fldCharType="begin"/>
      </w:r>
      <w:r w:rsidR="00FC2D35">
        <w:instrText xml:space="preserve"> SEQ Table \* MERGEFORMAT </w:instrText>
      </w:r>
      <w:r w:rsidR="00FC2D35">
        <w:fldChar w:fldCharType="separate"/>
      </w:r>
      <w:r w:rsidR="00FB3FE4">
        <w:rPr>
          <w:noProof/>
        </w:rPr>
        <w:t>3</w:t>
      </w:r>
      <w:r w:rsidR="00FC2D35">
        <w:rPr>
          <w:noProof/>
        </w:rPr>
        <w:fldChar w:fldCharType="end"/>
      </w:r>
      <w:r w:rsidR="00FA0D47">
        <w:t>: Action</w:t>
      </w:r>
      <w:r>
        <w:t xml:space="preserve"> </w:t>
      </w:r>
      <w:r w:rsidR="00EB5E7D">
        <w:t xml:space="preserve">taken </w:t>
      </w:r>
      <w:r w:rsidR="002E31B1">
        <w:t xml:space="preserve">in 2010 </w:t>
      </w:r>
      <w:r w:rsidR="008B6655">
        <w:t>to address</w:t>
      </w:r>
      <w:r w:rsidR="00FA0D47">
        <w:t xml:space="preserve"> </w:t>
      </w:r>
      <w:r w:rsidR="00EB5E7D">
        <w:t>management consequences</w:t>
      </w:r>
      <w:r w:rsidR="002E31B1">
        <w:t xml:space="preserve"> identified in 2009</w:t>
      </w:r>
      <w:r w:rsidR="00986CB7">
        <w:rPr>
          <w:rStyle w:val="FootnoteReference"/>
        </w:rPr>
        <w:footnoteReference w:id="18"/>
      </w:r>
    </w:p>
    <w:tbl>
      <w:tblPr>
        <w:tblW w:w="0" w:type="auto"/>
        <w:tblInd w:w="57" w:type="dxa"/>
        <w:tblLayout w:type="fixed"/>
        <w:tblLook w:val="0000" w:firstRow="0" w:lastRow="0" w:firstColumn="0" w:lastColumn="0" w:noHBand="0" w:noVBand="0"/>
      </w:tblPr>
      <w:tblGrid>
        <w:gridCol w:w="3969"/>
        <w:gridCol w:w="3969"/>
      </w:tblGrid>
      <w:tr w:rsidR="0045354B" w:rsidTr="004A035D">
        <w:trPr>
          <w:cantSplit/>
          <w:tblHeader/>
        </w:trPr>
        <w:tc>
          <w:tcPr>
            <w:tcW w:w="3969" w:type="dxa"/>
            <w:tcBorders>
              <w:top w:val="single" w:sz="12" w:space="0" w:color="auto"/>
            </w:tcBorders>
            <w:shd w:val="clear" w:color="auto" w:fill="auto"/>
            <w:tcMar>
              <w:left w:w="57" w:type="dxa"/>
              <w:right w:w="57" w:type="dxa"/>
            </w:tcMar>
          </w:tcPr>
          <w:p w:rsidR="0045354B" w:rsidRDefault="0045354B" w:rsidP="001426FC">
            <w:pPr>
              <w:pStyle w:val="TableTextColumnHeading"/>
            </w:pPr>
            <w:r>
              <w:t>Item</w:t>
            </w:r>
          </w:p>
        </w:tc>
        <w:tc>
          <w:tcPr>
            <w:tcW w:w="3969" w:type="dxa"/>
            <w:tcBorders>
              <w:top w:val="single" w:sz="12" w:space="0" w:color="auto"/>
            </w:tcBorders>
            <w:shd w:val="clear" w:color="auto" w:fill="auto"/>
            <w:tcMar>
              <w:left w:w="57" w:type="dxa"/>
              <w:right w:w="57" w:type="dxa"/>
            </w:tcMar>
          </w:tcPr>
          <w:p w:rsidR="0045354B" w:rsidRDefault="0045354B" w:rsidP="001426FC">
            <w:pPr>
              <w:pStyle w:val="TableTextColumnHeading"/>
            </w:pPr>
            <w:r>
              <w:t>Status 2010</w:t>
            </w:r>
          </w:p>
        </w:tc>
      </w:tr>
      <w:tr w:rsidR="0045354B" w:rsidTr="004A035D">
        <w:trPr>
          <w:cantSplit/>
        </w:trPr>
        <w:tc>
          <w:tcPr>
            <w:tcW w:w="3969" w:type="dxa"/>
            <w:tcBorders>
              <w:bottom w:val="single" w:sz="2" w:space="0" w:color="auto"/>
            </w:tcBorders>
            <w:shd w:val="clear" w:color="auto" w:fill="auto"/>
            <w:tcMar>
              <w:left w:w="57" w:type="dxa"/>
              <w:right w:w="57" w:type="dxa"/>
            </w:tcMar>
          </w:tcPr>
          <w:p w:rsidR="0045354B" w:rsidRDefault="0045354B" w:rsidP="001426FC">
            <w:pPr>
              <w:pStyle w:val="TableTextColumnHeading"/>
            </w:pPr>
          </w:p>
        </w:tc>
        <w:tc>
          <w:tcPr>
            <w:tcW w:w="3969" w:type="dxa"/>
            <w:tcBorders>
              <w:bottom w:val="single" w:sz="2" w:space="0" w:color="auto"/>
            </w:tcBorders>
            <w:shd w:val="clear" w:color="auto" w:fill="auto"/>
            <w:tcMar>
              <w:left w:w="57" w:type="dxa"/>
              <w:right w:w="57" w:type="dxa"/>
            </w:tcMar>
          </w:tcPr>
          <w:p w:rsidR="0045354B" w:rsidRDefault="0045354B" w:rsidP="001426FC">
            <w:pPr>
              <w:pStyle w:val="TableTextColumnHeading"/>
            </w:pPr>
          </w:p>
        </w:tc>
      </w:tr>
      <w:tr w:rsidR="0045354B" w:rsidTr="004A035D">
        <w:trPr>
          <w:cantSplit/>
        </w:trPr>
        <w:tc>
          <w:tcPr>
            <w:tcW w:w="3969" w:type="dxa"/>
            <w:tcBorders>
              <w:top w:val="single" w:sz="2" w:space="0" w:color="auto"/>
            </w:tcBorders>
            <w:shd w:val="clear" w:color="auto" w:fill="auto"/>
            <w:tcMar>
              <w:left w:w="57" w:type="dxa"/>
              <w:right w:w="57" w:type="dxa"/>
            </w:tcMar>
          </w:tcPr>
          <w:p w:rsidR="0045354B" w:rsidRDefault="0045354B" w:rsidP="001426FC">
            <w:pPr>
              <w:pStyle w:val="TableTextEntries"/>
            </w:pPr>
            <w:r>
              <w:t xml:space="preserve">Country Strategy Review </w:t>
            </w:r>
          </w:p>
        </w:tc>
        <w:tc>
          <w:tcPr>
            <w:tcW w:w="3969" w:type="dxa"/>
            <w:tcBorders>
              <w:top w:val="single" w:sz="2" w:space="0" w:color="auto"/>
            </w:tcBorders>
            <w:shd w:val="clear" w:color="auto" w:fill="auto"/>
            <w:tcMar>
              <w:left w:w="57" w:type="dxa"/>
              <w:right w:w="57" w:type="dxa"/>
            </w:tcMar>
          </w:tcPr>
          <w:p w:rsidR="0045354B" w:rsidRDefault="0045354B" w:rsidP="008874BC">
            <w:pPr>
              <w:pStyle w:val="TableTextEntries"/>
            </w:pPr>
            <w:r>
              <w:t>The review was deferred to the second half of 2011 calendar year due in part to more urgent work priorities</w:t>
            </w:r>
            <w:r w:rsidR="00AA7011">
              <w:t xml:space="preserve">. </w:t>
            </w:r>
            <w:r>
              <w:t xml:space="preserve">This will also allow for finalisation of the </w:t>
            </w:r>
            <w:r w:rsidR="00031617">
              <w:t>7</w:t>
            </w:r>
            <w:r w:rsidR="00031617" w:rsidRPr="00031617">
              <w:rPr>
                <w:vertAlign w:val="superscript"/>
              </w:rPr>
              <w:t>th</w:t>
            </w:r>
            <w:r w:rsidR="00031617">
              <w:t xml:space="preserve"> </w:t>
            </w:r>
            <w:r>
              <w:t>NSEDP</w:t>
            </w:r>
            <w:r w:rsidR="008874BC">
              <w:t>.</w:t>
            </w:r>
          </w:p>
        </w:tc>
      </w:tr>
      <w:tr w:rsidR="0045354B" w:rsidTr="004A035D">
        <w:trPr>
          <w:cantSplit/>
        </w:trPr>
        <w:tc>
          <w:tcPr>
            <w:tcW w:w="3969" w:type="dxa"/>
            <w:shd w:val="clear" w:color="auto" w:fill="auto"/>
            <w:tcMar>
              <w:left w:w="57" w:type="dxa"/>
              <w:right w:w="57" w:type="dxa"/>
            </w:tcMar>
          </w:tcPr>
          <w:p w:rsidR="0045354B" w:rsidRDefault="0045354B" w:rsidP="001426FC">
            <w:pPr>
              <w:pStyle w:val="TableTextEntries"/>
            </w:pPr>
            <w:r>
              <w:t>Response to Gender Stocktake</w:t>
            </w:r>
          </w:p>
        </w:tc>
        <w:tc>
          <w:tcPr>
            <w:tcW w:w="3969" w:type="dxa"/>
            <w:shd w:val="clear" w:color="auto" w:fill="auto"/>
            <w:tcMar>
              <w:left w:w="57" w:type="dxa"/>
              <w:right w:w="57" w:type="dxa"/>
            </w:tcMar>
          </w:tcPr>
          <w:p w:rsidR="0045354B" w:rsidRDefault="0045354B" w:rsidP="00651EC2">
            <w:pPr>
              <w:pStyle w:val="TableTextEntries"/>
            </w:pPr>
            <w:r>
              <w:t xml:space="preserve">Implementation of recommendations from the gender stocktake has been slow but is now being taken forward by </w:t>
            </w:r>
            <w:r w:rsidR="00651EC2">
              <w:t>g</w:t>
            </w:r>
            <w:r>
              <w:t>ender focal points who have prepared a work</w:t>
            </w:r>
            <w:r w:rsidR="00031617">
              <w:t xml:space="preserve"> </w:t>
            </w:r>
            <w:r>
              <w:t>plan for implementing key recommendations</w:t>
            </w:r>
            <w:r w:rsidR="00AA7011">
              <w:t xml:space="preserve">. </w:t>
            </w:r>
            <w:r>
              <w:t>Focal points are participating in AusAID gender network activities</w:t>
            </w:r>
            <w:r w:rsidR="00AA7011">
              <w:t xml:space="preserve">. </w:t>
            </w:r>
            <w:r>
              <w:t>Electronic and hard copy resource documents related to specific sectors have been centrally located and staff made aware of these resources. Gender training for staff (in Lao language) is planned for July 2011 and will include work with each sector team to outline gender tasks for the 2011</w:t>
            </w:r>
            <w:r w:rsidR="00431546">
              <w:t>–</w:t>
            </w:r>
            <w:r>
              <w:t>12 financial year (</w:t>
            </w:r>
            <w:r w:rsidR="00651EC2">
              <w:t>for example</w:t>
            </w:r>
            <w:proofErr w:type="gramStart"/>
            <w:r w:rsidR="00651EC2">
              <w:t xml:space="preserve">, </w:t>
            </w:r>
            <w:r>
              <w:t xml:space="preserve"> training</w:t>
            </w:r>
            <w:proofErr w:type="gramEnd"/>
            <w:r>
              <w:t xml:space="preserve"> for counterparts)</w:t>
            </w:r>
            <w:r w:rsidR="00AA7011">
              <w:t xml:space="preserve">. </w:t>
            </w:r>
            <w:r>
              <w:t xml:space="preserve">Specific activities to support gender in Laos have been identified for implementation in 2011, including a comic book competition to raise awareness of gender issues in secondary schools and consultations for </w:t>
            </w:r>
            <w:r w:rsidR="00651EC2">
              <w:t>w</w:t>
            </w:r>
            <w:r>
              <w:t xml:space="preserve">omen in </w:t>
            </w:r>
            <w:r w:rsidR="00651EC2">
              <w:t>l</w:t>
            </w:r>
            <w:r>
              <w:t>eadership activities with Australian alumni.</w:t>
            </w:r>
          </w:p>
        </w:tc>
      </w:tr>
      <w:tr w:rsidR="0045354B" w:rsidTr="004A035D">
        <w:trPr>
          <w:cantSplit/>
        </w:trPr>
        <w:tc>
          <w:tcPr>
            <w:tcW w:w="3969" w:type="dxa"/>
            <w:shd w:val="clear" w:color="auto" w:fill="auto"/>
            <w:tcMar>
              <w:left w:w="57" w:type="dxa"/>
              <w:right w:w="57" w:type="dxa"/>
            </w:tcMar>
          </w:tcPr>
          <w:p w:rsidR="0045354B" w:rsidRDefault="0045354B" w:rsidP="001426FC">
            <w:pPr>
              <w:pStyle w:val="TableTextEntries"/>
            </w:pPr>
            <w:r w:rsidRPr="00696567">
              <w:t xml:space="preserve">Finalise Anti-Corruption Plan by </w:t>
            </w:r>
            <w:r>
              <w:t>end 2010</w:t>
            </w:r>
          </w:p>
        </w:tc>
        <w:tc>
          <w:tcPr>
            <w:tcW w:w="3969" w:type="dxa"/>
            <w:shd w:val="clear" w:color="auto" w:fill="auto"/>
            <w:tcMar>
              <w:left w:w="57" w:type="dxa"/>
              <w:right w:w="57" w:type="dxa"/>
            </w:tcMar>
          </w:tcPr>
          <w:p w:rsidR="0045354B" w:rsidRDefault="0045354B" w:rsidP="001426FC">
            <w:pPr>
              <w:pStyle w:val="TableTextEntries"/>
            </w:pPr>
            <w:r>
              <w:t>Not yet completed due to more urgent work priorities</w:t>
            </w:r>
            <w:r w:rsidR="00AA7011">
              <w:t xml:space="preserve">. </w:t>
            </w:r>
            <w:r>
              <w:t>To be progressed in 2011.</w:t>
            </w:r>
          </w:p>
        </w:tc>
      </w:tr>
      <w:tr w:rsidR="0045354B" w:rsidTr="004A035D">
        <w:trPr>
          <w:cantSplit/>
        </w:trPr>
        <w:tc>
          <w:tcPr>
            <w:tcW w:w="3969" w:type="dxa"/>
            <w:shd w:val="clear" w:color="auto" w:fill="auto"/>
            <w:tcMar>
              <w:left w:w="57" w:type="dxa"/>
              <w:right w:w="57" w:type="dxa"/>
            </w:tcMar>
          </w:tcPr>
          <w:p w:rsidR="0045354B" w:rsidRPr="00696567" w:rsidRDefault="0045354B" w:rsidP="001426FC">
            <w:pPr>
              <w:pStyle w:val="TableTextEntries"/>
            </w:pPr>
            <w:r>
              <w:t xml:space="preserve">Performance Assessment Framework </w:t>
            </w:r>
          </w:p>
        </w:tc>
        <w:tc>
          <w:tcPr>
            <w:tcW w:w="3969" w:type="dxa"/>
            <w:shd w:val="clear" w:color="auto" w:fill="auto"/>
            <w:tcMar>
              <w:left w:w="57" w:type="dxa"/>
              <w:right w:w="57" w:type="dxa"/>
            </w:tcMar>
          </w:tcPr>
          <w:p w:rsidR="0045354B" w:rsidRDefault="00A84077" w:rsidP="001426FC">
            <w:pPr>
              <w:pStyle w:val="TableTextEntries"/>
            </w:pPr>
            <w:r>
              <w:t>Performance Assessment Framework</w:t>
            </w:r>
            <w:r w:rsidR="0045354B">
              <w:t xml:space="preserve"> refined progressively throughout 2010 to reduce the number of milestones, ensure their ongoing relevance and confirm availability of data</w:t>
            </w:r>
            <w:r w:rsidR="00AA7011">
              <w:t xml:space="preserve">. </w:t>
            </w:r>
            <w:r w:rsidR="0045354B">
              <w:t>2011 milestones have been included in the PAF attached at Annex B.</w:t>
            </w:r>
          </w:p>
        </w:tc>
      </w:tr>
    </w:tbl>
    <w:p w:rsidR="0045354B" w:rsidRDefault="0045354B" w:rsidP="0045354B">
      <w:pPr>
        <w:pStyle w:val="Caption"/>
      </w:pPr>
      <w:bookmarkStart w:id="31" w:name="_Toc201650409"/>
      <w:r>
        <w:t xml:space="preserve">Table </w:t>
      </w:r>
      <w:r w:rsidR="00FC2D35">
        <w:fldChar w:fldCharType="begin"/>
      </w:r>
      <w:r w:rsidR="00FC2D35">
        <w:instrText xml:space="preserve"> SEQ Table \* MERGEFORMAT </w:instrText>
      </w:r>
      <w:r w:rsidR="00FC2D35">
        <w:fldChar w:fldCharType="separate"/>
      </w:r>
      <w:r w:rsidR="00FB3FE4">
        <w:rPr>
          <w:noProof/>
        </w:rPr>
        <w:t>4</w:t>
      </w:r>
      <w:r w:rsidR="00FC2D35">
        <w:rPr>
          <w:noProof/>
        </w:rPr>
        <w:fldChar w:fldCharType="end"/>
      </w:r>
      <w:r>
        <w:t>:</w:t>
      </w:r>
      <w:bookmarkEnd w:id="31"/>
      <w:r w:rsidR="002E31B1">
        <w:t xml:space="preserve">  </w:t>
      </w:r>
      <w:r>
        <w:t xml:space="preserve">Management </w:t>
      </w:r>
      <w:r w:rsidR="00FA0D47">
        <w:t xml:space="preserve">consequences </w:t>
      </w:r>
      <w:r w:rsidR="0001291E">
        <w:t>to be addressed in 2011</w:t>
      </w:r>
      <w:r w:rsidR="002E31B1">
        <w:rPr>
          <w:rStyle w:val="FootnoteReference"/>
        </w:rPr>
        <w:footnoteReference w:id="19"/>
      </w:r>
    </w:p>
    <w:tbl>
      <w:tblPr>
        <w:tblW w:w="0" w:type="auto"/>
        <w:tblInd w:w="57" w:type="dxa"/>
        <w:tblLayout w:type="fixed"/>
        <w:tblLook w:val="0000" w:firstRow="0" w:lastRow="0" w:firstColumn="0" w:lastColumn="0" w:noHBand="0" w:noVBand="0"/>
      </w:tblPr>
      <w:tblGrid>
        <w:gridCol w:w="3969"/>
        <w:gridCol w:w="3969"/>
      </w:tblGrid>
      <w:tr w:rsidR="0045354B" w:rsidTr="004A035D">
        <w:trPr>
          <w:cantSplit/>
          <w:tblHeader/>
        </w:trPr>
        <w:tc>
          <w:tcPr>
            <w:tcW w:w="3969" w:type="dxa"/>
            <w:tcBorders>
              <w:top w:val="single" w:sz="12" w:space="0" w:color="auto"/>
            </w:tcBorders>
            <w:shd w:val="clear" w:color="auto" w:fill="auto"/>
            <w:tcMar>
              <w:left w:w="57" w:type="dxa"/>
              <w:right w:w="57" w:type="dxa"/>
            </w:tcMar>
          </w:tcPr>
          <w:p w:rsidR="0045354B" w:rsidRDefault="0045354B" w:rsidP="001426FC">
            <w:pPr>
              <w:pStyle w:val="TableTextColumnHeading"/>
            </w:pPr>
            <w:r>
              <w:t>Item</w:t>
            </w:r>
          </w:p>
        </w:tc>
        <w:tc>
          <w:tcPr>
            <w:tcW w:w="3969" w:type="dxa"/>
            <w:tcBorders>
              <w:top w:val="single" w:sz="12" w:space="0" w:color="auto"/>
            </w:tcBorders>
            <w:shd w:val="clear" w:color="auto" w:fill="auto"/>
            <w:tcMar>
              <w:left w:w="57" w:type="dxa"/>
              <w:right w:w="57" w:type="dxa"/>
            </w:tcMar>
          </w:tcPr>
          <w:p w:rsidR="0045354B" w:rsidRDefault="0045354B" w:rsidP="001426FC">
            <w:pPr>
              <w:pStyle w:val="TableTextColumnHeading"/>
            </w:pPr>
            <w:r>
              <w:t>Comment</w:t>
            </w:r>
          </w:p>
        </w:tc>
      </w:tr>
      <w:tr w:rsidR="0045354B" w:rsidTr="004A035D">
        <w:trPr>
          <w:cantSplit/>
        </w:trPr>
        <w:tc>
          <w:tcPr>
            <w:tcW w:w="3969" w:type="dxa"/>
            <w:tcBorders>
              <w:bottom w:val="single" w:sz="2" w:space="0" w:color="auto"/>
            </w:tcBorders>
            <w:shd w:val="clear" w:color="auto" w:fill="auto"/>
            <w:tcMar>
              <w:left w:w="57" w:type="dxa"/>
              <w:right w:w="57" w:type="dxa"/>
            </w:tcMar>
          </w:tcPr>
          <w:p w:rsidR="0045354B" w:rsidRDefault="0045354B" w:rsidP="001426FC">
            <w:pPr>
              <w:pStyle w:val="TableTextColumnHeading"/>
            </w:pPr>
          </w:p>
        </w:tc>
        <w:tc>
          <w:tcPr>
            <w:tcW w:w="3969" w:type="dxa"/>
            <w:tcBorders>
              <w:bottom w:val="single" w:sz="2" w:space="0" w:color="auto"/>
            </w:tcBorders>
            <w:shd w:val="clear" w:color="auto" w:fill="auto"/>
            <w:tcMar>
              <w:left w:w="57" w:type="dxa"/>
              <w:right w:w="57" w:type="dxa"/>
            </w:tcMar>
          </w:tcPr>
          <w:p w:rsidR="0045354B" w:rsidRDefault="0045354B" w:rsidP="001426FC">
            <w:pPr>
              <w:pStyle w:val="TableTextColumnHeading"/>
            </w:pPr>
          </w:p>
        </w:tc>
      </w:tr>
      <w:tr w:rsidR="0045354B" w:rsidTr="004A035D">
        <w:trPr>
          <w:cantSplit/>
        </w:trPr>
        <w:tc>
          <w:tcPr>
            <w:tcW w:w="3969" w:type="dxa"/>
            <w:tcBorders>
              <w:top w:val="single" w:sz="2" w:space="0" w:color="auto"/>
            </w:tcBorders>
            <w:shd w:val="clear" w:color="auto" w:fill="auto"/>
            <w:tcMar>
              <w:left w:w="57" w:type="dxa"/>
              <w:right w:w="57" w:type="dxa"/>
            </w:tcMar>
          </w:tcPr>
          <w:p w:rsidR="0045354B" w:rsidRDefault="0045354B" w:rsidP="001426FC">
            <w:pPr>
              <w:pStyle w:val="TableTextEntries"/>
            </w:pPr>
            <w:r>
              <w:t xml:space="preserve">Undertake review of the country strategy </w:t>
            </w:r>
          </w:p>
        </w:tc>
        <w:tc>
          <w:tcPr>
            <w:tcW w:w="3969" w:type="dxa"/>
            <w:tcBorders>
              <w:top w:val="single" w:sz="2" w:space="0" w:color="auto"/>
            </w:tcBorders>
            <w:shd w:val="clear" w:color="auto" w:fill="auto"/>
            <w:tcMar>
              <w:left w:w="57" w:type="dxa"/>
              <w:right w:w="57" w:type="dxa"/>
            </w:tcMar>
          </w:tcPr>
          <w:p w:rsidR="0045354B" w:rsidRDefault="0045354B" w:rsidP="001426FC">
            <w:pPr>
              <w:pStyle w:val="TableTextEntries"/>
            </w:pPr>
            <w:r>
              <w:t>Give particular regard to contextual changes: 7</w:t>
            </w:r>
            <w:r w:rsidRPr="00FF4E51">
              <w:rPr>
                <w:vertAlign w:val="superscript"/>
              </w:rPr>
              <w:t>th</w:t>
            </w:r>
            <w:r>
              <w:t xml:space="preserve"> NSEDP, major investment, aid effectiveness review, likely budget scenarios.</w:t>
            </w:r>
          </w:p>
        </w:tc>
      </w:tr>
      <w:tr w:rsidR="0045354B" w:rsidTr="004A035D">
        <w:trPr>
          <w:cantSplit/>
        </w:trPr>
        <w:tc>
          <w:tcPr>
            <w:tcW w:w="3969" w:type="dxa"/>
            <w:shd w:val="clear" w:color="auto" w:fill="auto"/>
            <w:tcMar>
              <w:left w:w="57" w:type="dxa"/>
              <w:right w:w="57" w:type="dxa"/>
            </w:tcMar>
          </w:tcPr>
          <w:p w:rsidR="0045354B" w:rsidRDefault="0045354B" w:rsidP="001426FC">
            <w:pPr>
              <w:pStyle w:val="TableTextEntries"/>
            </w:pPr>
            <w:r>
              <w:t>Identify and undertake analysis of issues necessary to inform delivery strategies</w:t>
            </w:r>
          </w:p>
        </w:tc>
        <w:tc>
          <w:tcPr>
            <w:tcW w:w="3969" w:type="dxa"/>
            <w:shd w:val="clear" w:color="auto" w:fill="auto"/>
            <w:tcMar>
              <w:left w:w="57" w:type="dxa"/>
              <w:right w:w="57" w:type="dxa"/>
            </w:tcMar>
          </w:tcPr>
          <w:p w:rsidR="0045354B" w:rsidRDefault="0045354B" w:rsidP="001426FC">
            <w:pPr>
              <w:pStyle w:val="TableTextEntries"/>
            </w:pPr>
            <w:r>
              <w:t>Include resettlement, political economy</w:t>
            </w:r>
          </w:p>
        </w:tc>
      </w:tr>
      <w:tr w:rsidR="0045354B" w:rsidTr="004A035D">
        <w:trPr>
          <w:cantSplit/>
        </w:trPr>
        <w:tc>
          <w:tcPr>
            <w:tcW w:w="3969" w:type="dxa"/>
            <w:shd w:val="clear" w:color="auto" w:fill="auto"/>
            <w:tcMar>
              <w:left w:w="57" w:type="dxa"/>
              <w:right w:w="57" w:type="dxa"/>
            </w:tcMar>
          </w:tcPr>
          <w:p w:rsidR="0045354B" w:rsidRDefault="0045354B" w:rsidP="001426FC">
            <w:pPr>
              <w:pStyle w:val="TableTextEntries"/>
            </w:pPr>
            <w:r>
              <w:t xml:space="preserve">Prepare delivery strategies for each of the pillars, with priority given to (i) rural development, (ii) education and (iii) trade </w:t>
            </w:r>
          </w:p>
        </w:tc>
        <w:tc>
          <w:tcPr>
            <w:tcW w:w="3969" w:type="dxa"/>
            <w:shd w:val="clear" w:color="auto" w:fill="auto"/>
            <w:tcMar>
              <w:left w:w="57" w:type="dxa"/>
              <w:right w:w="57" w:type="dxa"/>
            </w:tcMar>
          </w:tcPr>
          <w:p w:rsidR="0045354B" w:rsidRDefault="0045354B" w:rsidP="001426FC">
            <w:pPr>
              <w:pStyle w:val="TableTextEntries"/>
            </w:pPr>
            <w:r>
              <w:t>Include human resource capacity needs</w:t>
            </w:r>
          </w:p>
        </w:tc>
      </w:tr>
      <w:tr w:rsidR="0045354B" w:rsidTr="004A035D">
        <w:trPr>
          <w:cantSplit/>
        </w:trPr>
        <w:tc>
          <w:tcPr>
            <w:tcW w:w="3969" w:type="dxa"/>
            <w:shd w:val="clear" w:color="auto" w:fill="auto"/>
            <w:tcMar>
              <w:left w:w="57" w:type="dxa"/>
              <w:right w:w="57" w:type="dxa"/>
            </w:tcMar>
          </w:tcPr>
          <w:p w:rsidR="0045354B" w:rsidRDefault="0045354B" w:rsidP="001426FC">
            <w:pPr>
              <w:pStyle w:val="TableTextEntries"/>
            </w:pPr>
            <w:r>
              <w:t xml:space="preserve">Address workload issues, partly through the allocation of two additional positions to Vientiane Post </w:t>
            </w:r>
          </w:p>
        </w:tc>
        <w:tc>
          <w:tcPr>
            <w:tcW w:w="3969" w:type="dxa"/>
            <w:shd w:val="clear" w:color="auto" w:fill="auto"/>
            <w:tcMar>
              <w:left w:w="57" w:type="dxa"/>
              <w:right w:w="57" w:type="dxa"/>
            </w:tcMar>
          </w:tcPr>
          <w:p w:rsidR="0045354B" w:rsidRDefault="0045354B" w:rsidP="001426FC">
            <w:pPr>
              <w:pStyle w:val="TableTextEntries"/>
            </w:pPr>
            <w:r>
              <w:t xml:space="preserve">Noting that the program will </w:t>
            </w:r>
            <w:r w:rsidRPr="00FF4E51">
              <w:rPr>
                <w:u w:val="single"/>
              </w:rPr>
              <w:t xml:space="preserve">not </w:t>
            </w:r>
            <w:r>
              <w:t>be able to scale up in the absence of additional resources</w:t>
            </w:r>
          </w:p>
        </w:tc>
      </w:tr>
      <w:tr w:rsidR="0045354B" w:rsidTr="004A035D">
        <w:trPr>
          <w:cantSplit/>
        </w:trPr>
        <w:tc>
          <w:tcPr>
            <w:tcW w:w="3969" w:type="dxa"/>
            <w:shd w:val="clear" w:color="auto" w:fill="auto"/>
            <w:tcMar>
              <w:left w:w="57" w:type="dxa"/>
              <w:right w:w="57" w:type="dxa"/>
            </w:tcMar>
          </w:tcPr>
          <w:p w:rsidR="0045354B" w:rsidRDefault="0045354B" w:rsidP="001426FC">
            <w:pPr>
              <w:pStyle w:val="TableTextEntries"/>
            </w:pPr>
            <w:r>
              <w:t>Continue implementation of the gender work</w:t>
            </w:r>
            <w:r w:rsidR="00EB5E7D">
              <w:t xml:space="preserve"> </w:t>
            </w:r>
            <w:r>
              <w:t>plan</w:t>
            </w:r>
          </w:p>
        </w:tc>
        <w:tc>
          <w:tcPr>
            <w:tcW w:w="3969" w:type="dxa"/>
            <w:shd w:val="clear" w:color="auto" w:fill="auto"/>
            <w:tcMar>
              <w:left w:w="57" w:type="dxa"/>
              <w:right w:w="57" w:type="dxa"/>
            </w:tcMar>
          </w:tcPr>
          <w:p w:rsidR="0045354B" w:rsidRDefault="0045354B" w:rsidP="001426FC">
            <w:pPr>
              <w:pStyle w:val="TableTextEntries"/>
            </w:pPr>
          </w:p>
        </w:tc>
      </w:tr>
      <w:tr w:rsidR="0045354B" w:rsidTr="004A035D">
        <w:trPr>
          <w:cantSplit/>
        </w:trPr>
        <w:tc>
          <w:tcPr>
            <w:tcW w:w="3969" w:type="dxa"/>
            <w:shd w:val="clear" w:color="auto" w:fill="auto"/>
            <w:tcMar>
              <w:left w:w="57" w:type="dxa"/>
              <w:right w:w="57" w:type="dxa"/>
            </w:tcMar>
          </w:tcPr>
          <w:p w:rsidR="0045354B" w:rsidRDefault="0045354B" w:rsidP="001426FC">
            <w:pPr>
              <w:pStyle w:val="TableTextEntries"/>
            </w:pPr>
            <w:r>
              <w:t>Prepare and implement anti-corruption plan</w:t>
            </w:r>
          </w:p>
        </w:tc>
        <w:tc>
          <w:tcPr>
            <w:tcW w:w="3969" w:type="dxa"/>
            <w:shd w:val="clear" w:color="auto" w:fill="auto"/>
            <w:tcMar>
              <w:left w:w="57" w:type="dxa"/>
              <w:right w:w="57" w:type="dxa"/>
            </w:tcMar>
          </w:tcPr>
          <w:p w:rsidR="0045354B" w:rsidRDefault="0045354B" w:rsidP="001426FC">
            <w:pPr>
              <w:pStyle w:val="TableTextEntries"/>
            </w:pPr>
          </w:p>
        </w:tc>
      </w:tr>
    </w:tbl>
    <w:p w:rsidR="00427331" w:rsidRDefault="00427331" w:rsidP="00427331">
      <w:pPr>
        <w:pStyle w:val="Heading2"/>
      </w:pPr>
    </w:p>
    <w:sectPr w:rsidR="00427331" w:rsidSect="00E77D0C">
      <w:headerReference w:type="even" r:id="rId24"/>
      <w:footerReference w:type="even" r:id="rId25"/>
      <w:footerReference w:type="default" r:id="rId26"/>
      <w:footerReference w:type="first" r:id="rId27"/>
      <w:pgSz w:w="11907" w:h="16840" w:code="9"/>
      <w:pgMar w:top="2381" w:right="2155" w:bottom="851" w:left="1814" w:header="851"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6F1" w:rsidRDefault="00DA26F1">
      <w:r>
        <w:separator/>
      </w:r>
    </w:p>
    <w:p w:rsidR="00DA26F1" w:rsidRDefault="00DA26F1"/>
  </w:endnote>
  <w:endnote w:type="continuationSeparator" w:id="0">
    <w:p w:rsidR="00DA26F1" w:rsidRDefault="00DA26F1">
      <w:r>
        <w:continuationSeparator/>
      </w:r>
    </w:p>
    <w:p w:rsidR="00DA26F1" w:rsidRDefault="00DA26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FE4" w:rsidRPr="00AD612A" w:rsidRDefault="008558F6">
    <w:pPr>
      <w:pStyle w:val="Footer"/>
    </w:pPr>
    <w:r>
      <w:rPr>
        <w:noProof/>
        <w:color w:val="54534A"/>
        <w:lang w:val="en-US" w:eastAsia="en-US"/>
      </w:rPr>
      <w:drawing>
        <wp:anchor distT="0" distB="0" distL="114300" distR="114300" simplePos="0" relativeHeight="251656704" behindDoc="1" locked="0" layoutInCell="0" allowOverlap="1">
          <wp:simplePos x="0" y="0"/>
          <wp:positionH relativeFrom="page">
            <wp:posOffset>0</wp:posOffset>
          </wp:positionH>
          <wp:positionV relativeFrom="page">
            <wp:posOffset>8821420</wp:posOffset>
          </wp:positionV>
          <wp:extent cx="396240" cy="1508125"/>
          <wp:effectExtent l="0" t="0" r="3810" b="0"/>
          <wp:wrapNone/>
          <wp:docPr id="275" name="Picture 275" descr="AusAID_MDG_2_factsheet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AusAID_MDG_2_factsheet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 cy="150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FB3FE4" w:rsidRPr="007C1ECE">
      <w:tab/>
    </w:r>
    <w:r w:rsidR="00FB3FE4">
      <w:tab/>
    </w:r>
    <w:r w:rsidR="00FB3FE4">
      <w:tab/>
    </w:r>
    <w:r w:rsidR="00FB3FE4">
      <w:rPr>
        <w:rStyle w:val="PageNumber"/>
      </w:rPr>
      <w:fldChar w:fldCharType="begin"/>
    </w:r>
    <w:r w:rsidR="00FB3FE4">
      <w:rPr>
        <w:rStyle w:val="PageNumber"/>
      </w:rPr>
      <w:instrText xml:space="preserve"> PAGE </w:instrText>
    </w:r>
    <w:r w:rsidR="00FB3FE4">
      <w:rPr>
        <w:rStyle w:val="PageNumber"/>
      </w:rPr>
      <w:fldChar w:fldCharType="separate"/>
    </w:r>
    <w:r w:rsidR="00FB3FE4">
      <w:rPr>
        <w:rStyle w:val="PageNumber"/>
        <w:noProof/>
      </w:rPr>
      <w:t>28</w:t>
    </w:r>
    <w:r w:rsidR="00FB3FE4">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FE4" w:rsidRPr="004A4B6B" w:rsidRDefault="008558F6" w:rsidP="001260C2">
    <w:pPr>
      <w:pStyle w:val="Footer"/>
    </w:pPr>
    <w:r>
      <w:rPr>
        <w:noProof/>
        <w:lang w:val="en-US" w:eastAsia="en-US"/>
      </w:rPr>
      <w:drawing>
        <wp:anchor distT="0" distB="0" distL="114300" distR="114300" simplePos="0" relativeHeight="251658752" behindDoc="1" locked="0" layoutInCell="1" allowOverlap="1">
          <wp:simplePos x="0" y="0"/>
          <wp:positionH relativeFrom="page">
            <wp:posOffset>0</wp:posOffset>
          </wp:positionH>
          <wp:positionV relativeFrom="page">
            <wp:posOffset>0</wp:posOffset>
          </wp:positionV>
          <wp:extent cx="7560310" cy="10694035"/>
          <wp:effectExtent l="0" t="0" r="2540" b="0"/>
          <wp:wrapNone/>
          <wp:docPr id="277" name="Picture 277"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r w:rsidR="00FB3FE4">
      <w:tab/>
    </w:r>
    <w:r w:rsidR="00FB3FE4">
      <w:fldChar w:fldCharType="begin"/>
    </w:r>
    <w:r w:rsidR="00FB3FE4">
      <w:instrText xml:space="preserve"> STYLEREF  Title </w:instrText>
    </w:r>
    <w:r w:rsidR="00FB3FE4">
      <w:fldChar w:fldCharType="separate"/>
    </w:r>
    <w:r w:rsidR="00FC2D35">
      <w:rPr>
        <w:noProof/>
      </w:rPr>
      <w:t>Lao PDR Development Cooperation Report 2010</w:t>
    </w:r>
    <w:r w:rsidR="00FB3FE4">
      <w:fldChar w:fldCharType="end"/>
    </w:r>
    <w:r w:rsidR="00FB3FE4">
      <w:rPr>
        <w:rStyle w:val="PageNumber"/>
      </w:rPr>
      <w:tab/>
    </w:r>
    <w:r w:rsidR="00FB3FE4">
      <w:rPr>
        <w:rStyle w:val="PageNumber"/>
      </w:rPr>
      <w:tab/>
    </w:r>
    <w:r w:rsidR="00FB3FE4" w:rsidRPr="004A26C9">
      <w:rPr>
        <w:rStyle w:val="PageNumber"/>
      </w:rPr>
      <w:fldChar w:fldCharType="begin"/>
    </w:r>
    <w:r w:rsidR="00FB3FE4" w:rsidRPr="004A26C9">
      <w:rPr>
        <w:rStyle w:val="PageNumber"/>
      </w:rPr>
      <w:instrText xml:space="preserve"> PAGE </w:instrText>
    </w:r>
    <w:r w:rsidR="00FB3FE4" w:rsidRPr="004A26C9">
      <w:rPr>
        <w:rStyle w:val="PageNumber"/>
      </w:rPr>
      <w:fldChar w:fldCharType="separate"/>
    </w:r>
    <w:r w:rsidR="00FC2D35">
      <w:rPr>
        <w:rStyle w:val="PageNumber"/>
        <w:noProof/>
      </w:rPr>
      <w:t>16</w:t>
    </w:r>
    <w:r w:rsidR="00FB3FE4" w:rsidRPr="004A26C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FE4" w:rsidRDefault="00FB3FE4">
    <w:pPr>
      <w:pStyle w:val="Footer"/>
    </w:pPr>
    <w:r>
      <w:tab/>
    </w:r>
    <w:r>
      <w:tab/>
    </w:r>
    <w:r>
      <w:tab/>
    </w:r>
    <w:r>
      <w:rPr>
        <w:rStyle w:val="PageNumber"/>
      </w:rPr>
      <w:fldChar w:fldCharType="begin"/>
    </w:r>
    <w:r>
      <w:rPr>
        <w:rStyle w:val="PageNumber"/>
      </w:rPr>
      <w:instrText xml:space="preserve"> PAGE </w:instrText>
    </w:r>
    <w:r>
      <w:rPr>
        <w:rStyle w:val="PageNumber"/>
      </w:rPr>
      <w:fldChar w:fldCharType="separate"/>
    </w:r>
    <w:r w:rsidR="00FC2D35">
      <w:rPr>
        <w:rStyle w:val="PageNumber"/>
        <w:noProof/>
      </w:rPr>
      <w:t>17</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FE4" w:rsidRPr="00AD612A" w:rsidRDefault="008558F6">
    <w:pPr>
      <w:pStyle w:val="Footer"/>
    </w:pPr>
    <w:r>
      <w:rPr>
        <w:noProof/>
        <w:color w:val="54534A"/>
        <w:lang w:val="en-US" w:eastAsia="en-US"/>
      </w:rPr>
      <w:drawing>
        <wp:anchor distT="0" distB="0" distL="114300" distR="114300" simplePos="0" relativeHeight="251659776" behindDoc="1" locked="0" layoutInCell="0" allowOverlap="1">
          <wp:simplePos x="0" y="0"/>
          <wp:positionH relativeFrom="page">
            <wp:posOffset>0</wp:posOffset>
          </wp:positionH>
          <wp:positionV relativeFrom="page">
            <wp:posOffset>8821420</wp:posOffset>
          </wp:positionV>
          <wp:extent cx="396240" cy="1508125"/>
          <wp:effectExtent l="0" t="0" r="3810" b="0"/>
          <wp:wrapNone/>
          <wp:docPr id="278" name="Picture 278" descr="AusAID_MDG_2_factsheet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AusAID_MDG_2_factsheet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 cy="150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FB3FE4" w:rsidRPr="007C1ECE">
      <w:tab/>
    </w:r>
    <w:r w:rsidR="00FB3FE4">
      <w:tab/>
    </w:r>
    <w:r w:rsidR="00FB3FE4">
      <w:tab/>
    </w:r>
    <w:r w:rsidR="00FB3FE4">
      <w:rPr>
        <w:rStyle w:val="PageNumber"/>
      </w:rPr>
      <w:fldChar w:fldCharType="begin"/>
    </w:r>
    <w:r w:rsidR="00FB3FE4">
      <w:rPr>
        <w:rStyle w:val="PageNumber"/>
      </w:rPr>
      <w:instrText xml:space="preserve"> PAGE </w:instrText>
    </w:r>
    <w:r w:rsidR="00FB3FE4">
      <w:rPr>
        <w:rStyle w:val="PageNumber"/>
      </w:rPr>
      <w:fldChar w:fldCharType="separate"/>
    </w:r>
    <w:r w:rsidR="00FB3FE4">
      <w:rPr>
        <w:rStyle w:val="PageNumber"/>
        <w:noProof/>
      </w:rPr>
      <w:t>28</w:t>
    </w:r>
    <w:r w:rsidR="00FB3FE4">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FE4" w:rsidRPr="004A4B6B" w:rsidRDefault="008558F6" w:rsidP="001260C2">
    <w:pPr>
      <w:pStyle w:val="Footer"/>
    </w:pPr>
    <w:r>
      <w:rPr>
        <w:noProof/>
        <w:lang w:val="en-US" w:eastAsia="en-US"/>
      </w:rPr>
      <w:drawing>
        <wp:anchor distT="0" distB="0" distL="114300" distR="114300" simplePos="0" relativeHeight="251661824" behindDoc="1" locked="0" layoutInCell="1" allowOverlap="1">
          <wp:simplePos x="0" y="0"/>
          <wp:positionH relativeFrom="page">
            <wp:posOffset>0</wp:posOffset>
          </wp:positionH>
          <wp:positionV relativeFrom="page">
            <wp:posOffset>0</wp:posOffset>
          </wp:positionV>
          <wp:extent cx="7560310" cy="10694035"/>
          <wp:effectExtent l="0" t="0" r="2540" b="0"/>
          <wp:wrapNone/>
          <wp:docPr id="280" name="Picture 280"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r w:rsidR="00FB3FE4">
      <w:tab/>
    </w:r>
    <w:r w:rsidR="00FB3FE4">
      <w:fldChar w:fldCharType="begin"/>
    </w:r>
    <w:r w:rsidR="00FB3FE4">
      <w:instrText xml:space="preserve"> STYLEREF  Title </w:instrText>
    </w:r>
    <w:r w:rsidR="00FB3FE4">
      <w:fldChar w:fldCharType="separate"/>
    </w:r>
    <w:r w:rsidR="00FC2D35">
      <w:rPr>
        <w:noProof/>
      </w:rPr>
      <w:t>Lao PDR Development Cooperation Report 2010</w:t>
    </w:r>
    <w:r w:rsidR="00FB3FE4">
      <w:fldChar w:fldCharType="end"/>
    </w:r>
    <w:r w:rsidR="00FB3FE4">
      <w:rPr>
        <w:rStyle w:val="PageNumber"/>
      </w:rPr>
      <w:tab/>
    </w:r>
    <w:r w:rsidR="00FB3FE4">
      <w:rPr>
        <w:rStyle w:val="PageNumber"/>
      </w:rPr>
      <w:tab/>
    </w:r>
    <w:r w:rsidR="00FB3FE4" w:rsidRPr="004A26C9">
      <w:rPr>
        <w:rStyle w:val="PageNumber"/>
      </w:rPr>
      <w:fldChar w:fldCharType="begin"/>
    </w:r>
    <w:r w:rsidR="00FB3FE4" w:rsidRPr="004A26C9">
      <w:rPr>
        <w:rStyle w:val="PageNumber"/>
      </w:rPr>
      <w:instrText xml:space="preserve"> PAGE </w:instrText>
    </w:r>
    <w:r w:rsidR="00FB3FE4" w:rsidRPr="004A26C9">
      <w:rPr>
        <w:rStyle w:val="PageNumber"/>
      </w:rPr>
      <w:fldChar w:fldCharType="separate"/>
    </w:r>
    <w:r w:rsidR="00FC2D35">
      <w:rPr>
        <w:rStyle w:val="PageNumber"/>
        <w:noProof/>
      </w:rPr>
      <w:t>18</w:t>
    </w:r>
    <w:r w:rsidR="00FB3FE4" w:rsidRPr="004A26C9">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FE4" w:rsidRPr="00AD612A" w:rsidRDefault="008558F6">
    <w:pPr>
      <w:pStyle w:val="Footer"/>
    </w:pPr>
    <w:r>
      <w:rPr>
        <w:noProof/>
        <w:color w:val="54534A"/>
        <w:lang w:val="en-US" w:eastAsia="en-US"/>
      </w:rPr>
      <w:drawing>
        <wp:anchor distT="0" distB="0" distL="114300" distR="114300" simplePos="0" relativeHeight="251653632" behindDoc="1" locked="0" layoutInCell="0" allowOverlap="1">
          <wp:simplePos x="0" y="0"/>
          <wp:positionH relativeFrom="page">
            <wp:posOffset>0</wp:posOffset>
          </wp:positionH>
          <wp:positionV relativeFrom="page">
            <wp:posOffset>8821420</wp:posOffset>
          </wp:positionV>
          <wp:extent cx="396240" cy="1508125"/>
          <wp:effectExtent l="0" t="0" r="3810" b="0"/>
          <wp:wrapNone/>
          <wp:docPr id="256" name="Picture 256" descr="AusAID_MDG_2_factsheet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AusAID_MDG_2_factsheet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 cy="150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FB3FE4" w:rsidRPr="007C1ECE">
      <w:tab/>
    </w:r>
    <w:r w:rsidR="00FB3FE4">
      <w:tab/>
    </w:r>
    <w:r w:rsidR="00FB3FE4">
      <w:tab/>
    </w:r>
    <w:r w:rsidR="00FB3FE4">
      <w:rPr>
        <w:rStyle w:val="PageNumber"/>
      </w:rPr>
      <w:fldChar w:fldCharType="begin"/>
    </w:r>
    <w:r w:rsidR="00FB3FE4">
      <w:rPr>
        <w:rStyle w:val="PageNumber"/>
      </w:rPr>
      <w:instrText xml:space="preserve"> PAGE </w:instrText>
    </w:r>
    <w:r w:rsidR="00FB3FE4">
      <w:rPr>
        <w:rStyle w:val="PageNumber"/>
      </w:rPr>
      <w:fldChar w:fldCharType="separate"/>
    </w:r>
    <w:r w:rsidR="00FB3FE4">
      <w:rPr>
        <w:rStyle w:val="PageNumber"/>
        <w:noProof/>
      </w:rPr>
      <w:t>28</w:t>
    </w:r>
    <w:r w:rsidR="00FB3FE4">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FE4" w:rsidRPr="004A4B6B" w:rsidRDefault="008558F6" w:rsidP="001260C2">
    <w:pPr>
      <w:pStyle w:val="Footer"/>
    </w:pPr>
    <w:r>
      <w:rPr>
        <w:noProof/>
        <w:lang w:val="en-US" w:eastAsia="en-US"/>
      </w:rPr>
      <w:drawing>
        <wp:anchor distT="0" distB="0" distL="114300" distR="114300" simplePos="0" relativeHeight="251655680" behindDoc="1" locked="0" layoutInCell="1" allowOverlap="1">
          <wp:simplePos x="0" y="0"/>
          <wp:positionH relativeFrom="page">
            <wp:posOffset>0</wp:posOffset>
          </wp:positionH>
          <wp:positionV relativeFrom="page">
            <wp:posOffset>0</wp:posOffset>
          </wp:positionV>
          <wp:extent cx="7560310" cy="10694035"/>
          <wp:effectExtent l="0" t="0" r="2540" b="0"/>
          <wp:wrapNone/>
          <wp:docPr id="274" name="Picture 274"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r w:rsidR="00FB3FE4">
      <w:tab/>
    </w:r>
    <w:r w:rsidR="00FB3FE4">
      <w:fldChar w:fldCharType="begin"/>
    </w:r>
    <w:r w:rsidR="00FB3FE4">
      <w:instrText xml:space="preserve"> STYLEREF  Title </w:instrText>
    </w:r>
    <w:r w:rsidR="00FB3FE4">
      <w:fldChar w:fldCharType="separate"/>
    </w:r>
    <w:r w:rsidR="00FC2D35">
      <w:rPr>
        <w:noProof/>
      </w:rPr>
      <w:t>Lao PDR Development Cooperation Report 2010</w:t>
    </w:r>
    <w:r w:rsidR="00FB3FE4">
      <w:fldChar w:fldCharType="end"/>
    </w:r>
    <w:r w:rsidR="00FB3FE4">
      <w:rPr>
        <w:rStyle w:val="PageNumber"/>
      </w:rPr>
      <w:tab/>
    </w:r>
    <w:r w:rsidR="00FB3FE4">
      <w:rPr>
        <w:rStyle w:val="PageNumber"/>
      </w:rPr>
      <w:tab/>
    </w:r>
    <w:r w:rsidR="00FB3FE4" w:rsidRPr="004A26C9">
      <w:rPr>
        <w:rStyle w:val="PageNumber"/>
      </w:rPr>
      <w:fldChar w:fldCharType="begin"/>
    </w:r>
    <w:r w:rsidR="00FB3FE4" w:rsidRPr="004A26C9">
      <w:rPr>
        <w:rStyle w:val="PageNumber"/>
      </w:rPr>
      <w:instrText xml:space="preserve"> PAGE </w:instrText>
    </w:r>
    <w:r w:rsidR="00FB3FE4" w:rsidRPr="004A26C9">
      <w:rPr>
        <w:rStyle w:val="PageNumber"/>
      </w:rPr>
      <w:fldChar w:fldCharType="separate"/>
    </w:r>
    <w:r w:rsidR="00FC2D35">
      <w:rPr>
        <w:rStyle w:val="PageNumber"/>
        <w:noProof/>
      </w:rPr>
      <w:t>32</w:t>
    </w:r>
    <w:r w:rsidR="00FB3FE4" w:rsidRPr="004A26C9">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FE4" w:rsidRDefault="00FB3FE4">
    <w:pPr>
      <w:pStyle w:val="Footer"/>
    </w:pPr>
    <w:r>
      <w:tab/>
    </w:r>
    <w:r>
      <w:tab/>
    </w:r>
    <w:r>
      <w:tab/>
    </w:r>
    <w:r>
      <w:rPr>
        <w:rStyle w:val="PageNumber"/>
      </w:rPr>
      <w:fldChar w:fldCharType="begin"/>
    </w:r>
    <w:r>
      <w:rPr>
        <w:rStyle w:val="PageNumber"/>
      </w:rPr>
      <w:instrText xml:space="preserve"> PAGE </w:instrText>
    </w:r>
    <w:r>
      <w:rPr>
        <w:rStyle w:val="PageNumber"/>
      </w:rPr>
      <w:fldChar w:fldCharType="separate"/>
    </w:r>
    <w:r w:rsidR="00FC2D35">
      <w:rPr>
        <w:rStyle w:val="PageNumber"/>
        <w:noProof/>
      </w:rPr>
      <w:t>28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6F1" w:rsidRDefault="00DA26F1" w:rsidP="00D62AA4">
      <w:pPr>
        <w:spacing w:before="60" w:after="40" w:line="180" w:lineRule="exact"/>
      </w:pPr>
      <w:r>
        <w:continuationSeparator/>
      </w:r>
    </w:p>
  </w:footnote>
  <w:footnote w:type="continuationSeparator" w:id="0">
    <w:p w:rsidR="00DA26F1" w:rsidRDefault="00DA26F1">
      <w:r>
        <w:continuationSeparator/>
      </w:r>
    </w:p>
    <w:p w:rsidR="00DA26F1" w:rsidRDefault="00DA26F1"/>
  </w:footnote>
  <w:footnote w:type="continuationNotice" w:id="1">
    <w:p w:rsidR="00DA26F1" w:rsidRDefault="00DA26F1"/>
    <w:p w:rsidR="00DA26F1" w:rsidRDefault="00DA26F1"/>
  </w:footnote>
  <w:footnote w:id="2">
    <w:p w:rsidR="00FB3FE4" w:rsidRPr="00C724E0" w:rsidRDefault="00FB3FE4" w:rsidP="0045354B">
      <w:pPr>
        <w:pStyle w:val="FootnoteText"/>
      </w:pPr>
      <w:r>
        <w:rPr>
          <w:rStyle w:val="FootnoteReference"/>
        </w:rPr>
        <w:footnoteRef/>
      </w:r>
      <w:r>
        <w:t xml:space="preserve"> </w:t>
      </w:r>
      <w:r w:rsidRPr="00C724E0">
        <w:rPr>
          <w:i/>
        </w:rPr>
        <w:t>Lao Economic Update</w:t>
      </w:r>
      <w:r w:rsidRPr="00C724E0">
        <w:t>, World Bank, March 2011.</w:t>
      </w:r>
    </w:p>
  </w:footnote>
  <w:footnote w:id="3">
    <w:p w:rsidR="00FB3FE4" w:rsidRPr="00C724E0" w:rsidRDefault="00FB3FE4" w:rsidP="0045354B">
      <w:pPr>
        <w:pStyle w:val="FootnoteText"/>
      </w:pPr>
      <w:r w:rsidRPr="00C724E0">
        <w:rPr>
          <w:rStyle w:val="FootnoteReference"/>
        </w:rPr>
        <w:footnoteRef/>
      </w:r>
      <w:r w:rsidRPr="00C724E0">
        <w:t xml:space="preserve"> Program Document for Seventh Poverty Reduction Support Operation, World Bank, March 2011.</w:t>
      </w:r>
    </w:p>
  </w:footnote>
  <w:footnote w:id="4">
    <w:p w:rsidR="00FB3FE4" w:rsidRPr="00C724E0" w:rsidRDefault="00FB3FE4" w:rsidP="0045354B">
      <w:pPr>
        <w:pStyle w:val="FootnoteText"/>
      </w:pPr>
      <w:r w:rsidRPr="00C724E0">
        <w:rPr>
          <w:rStyle w:val="FootnoteReference"/>
        </w:rPr>
        <w:footnoteRef/>
      </w:r>
      <w:r w:rsidRPr="00C724E0">
        <w:t xml:space="preserve"> Lao Expenditure and Consumption Survey (LECS) 2007–08, Ministry of Planning and Investment, Department of Statistics, 2010.</w:t>
      </w:r>
    </w:p>
  </w:footnote>
  <w:footnote w:id="5">
    <w:p w:rsidR="00FB3FE4" w:rsidRPr="00C724E0" w:rsidRDefault="00FB3FE4" w:rsidP="0045354B">
      <w:pPr>
        <w:pStyle w:val="FootnoteText"/>
        <w:ind w:left="0" w:firstLine="0"/>
      </w:pPr>
      <w:r w:rsidRPr="00C724E0">
        <w:rPr>
          <w:rStyle w:val="FootnoteReference"/>
        </w:rPr>
        <w:footnoteRef/>
      </w:r>
      <w:r w:rsidRPr="00C724E0">
        <w:t xml:space="preserve"> This is the most commonly used measure of income inequality. The coefficient varies between 0, which reflects complete equality and 1 (or 100), which indicates complete inequality (one person has all the income or consumption, all others have none). The Gini index for Laos in 2002–03 was 32.6, increasing to 35.4 in 2007–08. </w:t>
      </w:r>
    </w:p>
  </w:footnote>
  <w:footnote w:id="6">
    <w:p w:rsidR="00FB3FE4" w:rsidRPr="00C724E0" w:rsidRDefault="00FB3FE4" w:rsidP="0045354B">
      <w:pPr>
        <w:pStyle w:val="FootnoteText"/>
      </w:pPr>
      <w:r w:rsidRPr="00C724E0">
        <w:rPr>
          <w:rStyle w:val="FootnoteReference"/>
        </w:rPr>
        <w:footnoteRef/>
      </w:r>
      <w:r w:rsidRPr="00C724E0">
        <w:t xml:space="preserve"> LECS 2007–08, p. 27.</w:t>
      </w:r>
    </w:p>
  </w:footnote>
  <w:footnote w:id="7">
    <w:p w:rsidR="00FB3FE4" w:rsidRDefault="00FB3FE4" w:rsidP="0045354B">
      <w:pPr>
        <w:pStyle w:val="FootnoteText"/>
      </w:pPr>
      <w:r w:rsidRPr="00C724E0">
        <w:rPr>
          <w:rStyle w:val="FootnoteReference"/>
        </w:rPr>
        <w:footnoteRef/>
      </w:r>
      <w:r w:rsidRPr="00C724E0">
        <w:t xml:space="preserve"> Lao PDR Economic Monitor, World Bank, May 2011.</w:t>
      </w:r>
    </w:p>
  </w:footnote>
  <w:footnote w:id="8">
    <w:p w:rsidR="00FB3FE4" w:rsidRDefault="00FB3FE4" w:rsidP="0045354B">
      <w:pPr>
        <w:pStyle w:val="FootnoteText"/>
      </w:pPr>
      <w:r>
        <w:rPr>
          <w:rStyle w:val="FootnoteReference"/>
        </w:rPr>
        <w:footnoteRef/>
      </w:r>
      <w:r>
        <w:t xml:space="preserve"> Figure was provided by Ministry of Finance during Poverty Reduction Support Operation meetings in March 2011.</w:t>
      </w:r>
    </w:p>
  </w:footnote>
  <w:footnote w:id="9">
    <w:p w:rsidR="00FB3FE4" w:rsidRDefault="00FB3FE4" w:rsidP="0045354B">
      <w:pPr>
        <w:pStyle w:val="FootnoteText"/>
      </w:pPr>
      <w:r>
        <w:rPr>
          <w:rStyle w:val="FootnoteReference"/>
        </w:rPr>
        <w:footnoteRef/>
      </w:r>
      <w:r>
        <w:t xml:space="preserve"> </w:t>
      </w:r>
      <w:r w:rsidRPr="006876B7">
        <w:rPr>
          <w:i/>
        </w:rPr>
        <w:t>Lao PDR Development Report 2010: Natural Resources Management for Sustainable Development</w:t>
      </w:r>
      <w:r>
        <w:t>, World Bank, 2011</w:t>
      </w:r>
    </w:p>
  </w:footnote>
  <w:footnote w:id="10">
    <w:p w:rsidR="00FB3FE4" w:rsidRDefault="00FB3FE4" w:rsidP="0045354B">
      <w:pPr>
        <w:pStyle w:val="FootnoteText"/>
        <w:ind w:left="0" w:firstLine="0"/>
      </w:pPr>
      <w:r>
        <w:rPr>
          <w:rStyle w:val="FootnoteReference"/>
        </w:rPr>
        <w:footnoteRef/>
      </w:r>
      <w:r>
        <w:t xml:space="preserve"> </w:t>
      </w:r>
      <w:r w:rsidRPr="00EA67A6">
        <w:t>Foreign Aid Implementation Report</w:t>
      </w:r>
      <w:r>
        <w:t xml:space="preserve"> (FY 2008–09), Ministry of Planning and Investment, Department of International Cooperation, Vientiane, September 2010.  </w:t>
      </w:r>
    </w:p>
  </w:footnote>
  <w:footnote w:id="11">
    <w:p w:rsidR="00FB3FE4" w:rsidRDefault="00FB3FE4" w:rsidP="0045354B">
      <w:pPr>
        <w:pStyle w:val="FootnoteText"/>
        <w:ind w:left="0" w:firstLine="0"/>
      </w:pPr>
      <w:r>
        <w:rPr>
          <w:rStyle w:val="FootnoteReference"/>
        </w:rPr>
        <w:footnoteRef/>
      </w:r>
      <w:r>
        <w:t xml:space="preserve"> </w:t>
      </w:r>
      <w:r w:rsidRPr="00A8182B">
        <w:t xml:space="preserve">Currently, one indicator used to monitor MDG goal 2 on universal primary education is School Survival Rate to Grade 5. This is defined as the </w:t>
      </w:r>
      <w:r>
        <w:t>percentage</w:t>
      </w:r>
      <w:r w:rsidRPr="00A8182B">
        <w:t xml:space="preserve"> of pupils </w:t>
      </w:r>
      <w:r>
        <w:t xml:space="preserve">enrolled in Grade 1 of primary education </w:t>
      </w:r>
      <w:r w:rsidRPr="00A8182B">
        <w:t xml:space="preserve">who reach </w:t>
      </w:r>
      <w:r>
        <w:t>G</w:t>
      </w:r>
      <w:r w:rsidRPr="00A8182B">
        <w:t>rade 5</w:t>
      </w:r>
      <w:r>
        <w:t xml:space="preserve">. </w:t>
      </w:r>
    </w:p>
  </w:footnote>
  <w:footnote w:id="12">
    <w:p w:rsidR="00FB3FE4" w:rsidRDefault="00FB3FE4" w:rsidP="0045354B">
      <w:pPr>
        <w:pStyle w:val="FootnoteText"/>
      </w:pPr>
      <w:r>
        <w:rPr>
          <w:rStyle w:val="FootnoteReference"/>
        </w:rPr>
        <w:footnoteRef/>
      </w:r>
      <w:r>
        <w:t xml:space="preserve"> </w:t>
      </w:r>
      <w:r w:rsidRPr="006876B7">
        <w:rPr>
          <w:i/>
        </w:rPr>
        <w:t>Lao Economic Update</w:t>
      </w:r>
      <w:r>
        <w:t>, World Bank, March 2011.</w:t>
      </w:r>
    </w:p>
  </w:footnote>
  <w:footnote w:id="13">
    <w:p w:rsidR="00FB3FE4" w:rsidRDefault="00FB3FE4" w:rsidP="0045354B">
      <w:pPr>
        <w:pStyle w:val="FootnoteText"/>
      </w:pPr>
      <w:r>
        <w:rPr>
          <w:rStyle w:val="FootnoteReference"/>
        </w:rPr>
        <w:footnoteRef/>
      </w:r>
      <w:r>
        <w:t xml:space="preserve"> Country Report: Laos, Economist Intelligence Unit, London, June 2011.</w:t>
      </w:r>
    </w:p>
  </w:footnote>
  <w:footnote w:id="14">
    <w:p w:rsidR="00FB3FE4" w:rsidRDefault="00FB3FE4" w:rsidP="0045354B">
      <w:pPr>
        <w:pStyle w:val="FootnoteText"/>
      </w:pPr>
      <w:r>
        <w:rPr>
          <w:rStyle w:val="FootnoteReference"/>
        </w:rPr>
        <w:footnoteRef/>
      </w:r>
      <w:r>
        <w:t xml:space="preserve"> Note: this result does not necessarily mean Laos’ performance worsened. This is a comparative ranking and can reflect improved performance by other countries or the inclusion of additional countries. Also, the data used in the Ease of Doing Business Report are based on domestic laws, regulations and administrative procedures. Not all data reflect actual practice. </w:t>
      </w:r>
    </w:p>
  </w:footnote>
  <w:footnote w:id="15">
    <w:p w:rsidR="00FB3FE4" w:rsidRDefault="00FB3FE4" w:rsidP="0045354B">
      <w:pPr>
        <w:pStyle w:val="FootnoteText"/>
      </w:pPr>
      <w:r>
        <w:rPr>
          <w:rStyle w:val="FootnoteReference"/>
        </w:rPr>
        <w:footnoteRef/>
      </w:r>
      <w:r>
        <w:t xml:space="preserve"> </w:t>
      </w:r>
      <w:proofErr w:type="gramStart"/>
      <w:r>
        <w:t>Lao Expenditure and Consumption Survey 2007–08, Ministry of Planning and Investment, Department of Statistics, 2010.</w:t>
      </w:r>
      <w:proofErr w:type="gramEnd"/>
    </w:p>
  </w:footnote>
  <w:footnote w:id="16">
    <w:p w:rsidR="00FB3FE4" w:rsidRDefault="00FB3FE4" w:rsidP="0045354B">
      <w:pPr>
        <w:pStyle w:val="FootnoteText"/>
      </w:pPr>
      <w:r>
        <w:rPr>
          <w:rStyle w:val="FootnoteReference"/>
        </w:rPr>
        <w:footnoteRef/>
      </w:r>
      <w:r>
        <w:t xml:space="preserve"> Crop and Food Security Assessment Mission, </w:t>
      </w:r>
      <w:r w:rsidRPr="00514A88">
        <w:t>FAO</w:t>
      </w:r>
      <w:r>
        <w:t xml:space="preserve"> and WFP, November 2010. </w:t>
      </w:r>
    </w:p>
  </w:footnote>
  <w:footnote w:id="17">
    <w:p w:rsidR="00FB3FE4" w:rsidRPr="005410C6" w:rsidRDefault="00FB3FE4" w:rsidP="0045354B">
      <w:pPr>
        <w:pStyle w:val="FootnoteText"/>
      </w:pPr>
      <w:r>
        <w:rPr>
          <w:rStyle w:val="FootnoteReference"/>
        </w:rPr>
        <w:footnoteRef/>
      </w:r>
      <w:r w:rsidRPr="005410C6">
        <w:rPr>
          <w:lang w:val="en-US"/>
        </w:rPr>
        <w:t>Programme Funding Priorities and Gaps</w:t>
      </w:r>
      <w:r>
        <w:rPr>
          <w:lang w:val="en-US"/>
        </w:rPr>
        <w:t xml:space="preserve">: </w:t>
      </w:r>
      <w:r w:rsidRPr="005410C6">
        <w:rPr>
          <w:lang w:val="en-US"/>
        </w:rPr>
        <w:t>2010-2012</w:t>
      </w:r>
      <w:r>
        <w:rPr>
          <w:lang w:val="en-US"/>
        </w:rPr>
        <w:t>, UNDP, New York, November 2010</w:t>
      </w:r>
      <w:r w:rsidRPr="005410C6">
        <w:t xml:space="preserve"> </w:t>
      </w:r>
    </w:p>
  </w:footnote>
  <w:footnote w:id="18">
    <w:p w:rsidR="002E31B1" w:rsidRDefault="00986CB7" w:rsidP="002E31B1">
      <w:pPr>
        <w:pStyle w:val="FootnoteText"/>
      </w:pPr>
      <w:r>
        <w:rPr>
          <w:rStyle w:val="FootnoteReference"/>
        </w:rPr>
        <w:footnoteRef/>
      </w:r>
      <w:r>
        <w:t xml:space="preserve"> </w:t>
      </w:r>
      <w:r w:rsidR="002E31B1">
        <w:t xml:space="preserve">Management consequences identified at the end of 2009 and an assessment as to whether </w:t>
      </w:r>
      <w:r w:rsidR="003011B5">
        <w:t xml:space="preserve">they were addressed in </w:t>
      </w:r>
      <w:r w:rsidR="002E31B1">
        <w:t>2010.</w:t>
      </w:r>
    </w:p>
  </w:footnote>
  <w:footnote w:id="19">
    <w:p w:rsidR="002E31B1" w:rsidRDefault="002E31B1" w:rsidP="00427331">
      <w:pPr>
        <w:pStyle w:val="FootnoteText"/>
      </w:pPr>
      <w:r>
        <w:rPr>
          <w:rStyle w:val="FootnoteReference"/>
        </w:rPr>
        <w:footnoteRef/>
      </w:r>
      <w:r>
        <w:t xml:space="preserve"> Management consequences identified at the end of 2010 to be </w:t>
      </w:r>
      <w:r w:rsidR="0001291E">
        <w:t>addressed</w:t>
      </w:r>
      <w:r>
        <w:t xml:space="preserve"> in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FE4" w:rsidRDefault="008558F6" w:rsidP="00B7603F">
    <w:pPr>
      <w:pStyle w:val="Header"/>
      <w:jc w:val="left"/>
    </w:pPr>
    <w:r>
      <w:rPr>
        <w:noProof/>
        <w:lang w:val="en-US" w:eastAsia="en-US"/>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0310" cy="10694035"/>
          <wp:effectExtent l="0" t="0" r="2540" b="0"/>
          <wp:wrapNone/>
          <wp:docPr id="276" name="Picture 276"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FE4" w:rsidRDefault="008558F6" w:rsidP="00B7603F">
    <w:pPr>
      <w:pStyle w:val="Header"/>
      <w:jc w:val="left"/>
    </w:pPr>
    <w:r>
      <w:rPr>
        <w:noProof/>
        <w:lang w:val="en-US" w:eastAsia="en-US"/>
      </w:rPr>
      <w:drawing>
        <wp:anchor distT="0" distB="0" distL="114300" distR="114300" simplePos="0" relativeHeight="251660800" behindDoc="1" locked="0" layoutInCell="1" allowOverlap="1">
          <wp:simplePos x="0" y="0"/>
          <wp:positionH relativeFrom="page">
            <wp:posOffset>0</wp:posOffset>
          </wp:positionH>
          <wp:positionV relativeFrom="page">
            <wp:posOffset>0</wp:posOffset>
          </wp:positionV>
          <wp:extent cx="7560310" cy="10694035"/>
          <wp:effectExtent l="0" t="0" r="2540" b="0"/>
          <wp:wrapNone/>
          <wp:docPr id="279" name="Picture 279"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FE4" w:rsidRDefault="008558F6" w:rsidP="00B7603F">
    <w:pPr>
      <w:pStyle w:val="Header"/>
      <w:jc w:val="left"/>
    </w:pPr>
    <w:r>
      <w:rPr>
        <w:noProof/>
        <w:lang w:val="en-US" w:eastAsia="en-US"/>
      </w:rPr>
      <w:drawing>
        <wp:anchor distT="0" distB="0" distL="114300" distR="114300" simplePos="0" relativeHeight="251654656" behindDoc="1" locked="0" layoutInCell="1" allowOverlap="1">
          <wp:simplePos x="0" y="0"/>
          <wp:positionH relativeFrom="page">
            <wp:posOffset>0</wp:posOffset>
          </wp:positionH>
          <wp:positionV relativeFrom="page">
            <wp:posOffset>0</wp:posOffset>
          </wp:positionV>
          <wp:extent cx="7560310" cy="10694035"/>
          <wp:effectExtent l="0" t="0" r="2540" b="0"/>
          <wp:wrapNone/>
          <wp:docPr id="262" name="Picture 262" descr="AusAID_facsheet_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AusAID_facsheet_D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7B7DD8"/>
    <w:multiLevelType w:val="hybridMultilevel"/>
    <w:tmpl w:val="3EA6F6DE"/>
    <w:lvl w:ilvl="0" w:tplc="FA6227BC">
      <w:start w:val="1"/>
      <w:numFmt w:val="lowerLetter"/>
      <w:pStyle w:val="TableListNumber2"/>
      <w:lvlText w:val="%1."/>
      <w:lvlJc w:val="left"/>
      <w:pPr>
        <w:tabs>
          <w:tab w:val="num" w:pos="454"/>
        </w:tabs>
        <w:ind w:left="454" w:hanging="227"/>
      </w:pPr>
      <w:rPr>
        <w:rFonts w:hint="default"/>
      </w:rPr>
    </w:lvl>
    <w:lvl w:ilvl="1" w:tplc="C6E0F2A2" w:tentative="1">
      <w:start w:val="1"/>
      <w:numFmt w:val="lowerLetter"/>
      <w:lvlText w:val="%2."/>
      <w:lvlJc w:val="left"/>
      <w:pPr>
        <w:tabs>
          <w:tab w:val="num" w:pos="1440"/>
        </w:tabs>
        <w:ind w:left="1440" w:hanging="360"/>
      </w:pPr>
    </w:lvl>
    <w:lvl w:ilvl="2" w:tplc="F410C406" w:tentative="1">
      <w:start w:val="1"/>
      <w:numFmt w:val="lowerRoman"/>
      <w:lvlText w:val="%3."/>
      <w:lvlJc w:val="right"/>
      <w:pPr>
        <w:tabs>
          <w:tab w:val="num" w:pos="2160"/>
        </w:tabs>
        <w:ind w:left="2160" w:hanging="180"/>
      </w:pPr>
    </w:lvl>
    <w:lvl w:ilvl="3" w:tplc="AD66A014" w:tentative="1">
      <w:start w:val="1"/>
      <w:numFmt w:val="decimal"/>
      <w:lvlText w:val="%4."/>
      <w:lvlJc w:val="left"/>
      <w:pPr>
        <w:tabs>
          <w:tab w:val="num" w:pos="2880"/>
        </w:tabs>
        <w:ind w:left="2880" w:hanging="360"/>
      </w:pPr>
    </w:lvl>
    <w:lvl w:ilvl="4" w:tplc="BD72384E" w:tentative="1">
      <w:start w:val="1"/>
      <w:numFmt w:val="lowerLetter"/>
      <w:lvlText w:val="%5."/>
      <w:lvlJc w:val="left"/>
      <w:pPr>
        <w:tabs>
          <w:tab w:val="num" w:pos="3600"/>
        </w:tabs>
        <w:ind w:left="3600" w:hanging="360"/>
      </w:pPr>
    </w:lvl>
    <w:lvl w:ilvl="5" w:tplc="6EA2BB3C" w:tentative="1">
      <w:start w:val="1"/>
      <w:numFmt w:val="lowerRoman"/>
      <w:lvlText w:val="%6."/>
      <w:lvlJc w:val="right"/>
      <w:pPr>
        <w:tabs>
          <w:tab w:val="num" w:pos="4320"/>
        </w:tabs>
        <w:ind w:left="4320" w:hanging="180"/>
      </w:pPr>
    </w:lvl>
    <w:lvl w:ilvl="6" w:tplc="884A0568" w:tentative="1">
      <w:start w:val="1"/>
      <w:numFmt w:val="decimal"/>
      <w:lvlText w:val="%7."/>
      <w:lvlJc w:val="left"/>
      <w:pPr>
        <w:tabs>
          <w:tab w:val="num" w:pos="5040"/>
        </w:tabs>
        <w:ind w:left="5040" w:hanging="360"/>
      </w:pPr>
    </w:lvl>
    <w:lvl w:ilvl="7" w:tplc="C9DEF8F6" w:tentative="1">
      <w:start w:val="1"/>
      <w:numFmt w:val="lowerLetter"/>
      <w:lvlText w:val="%8."/>
      <w:lvlJc w:val="left"/>
      <w:pPr>
        <w:tabs>
          <w:tab w:val="num" w:pos="5760"/>
        </w:tabs>
        <w:ind w:left="5760" w:hanging="360"/>
      </w:pPr>
    </w:lvl>
    <w:lvl w:ilvl="8" w:tplc="803E5544" w:tentative="1">
      <w:start w:val="1"/>
      <w:numFmt w:val="lowerRoman"/>
      <w:lvlText w:val="%9."/>
      <w:lvlJc w:val="right"/>
      <w:pPr>
        <w:tabs>
          <w:tab w:val="num" w:pos="6480"/>
        </w:tabs>
        <w:ind w:left="6480" w:hanging="180"/>
      </w:pPr>
    </w:lvl>
  </w:abstractNum>
  <w:abstractNum w:abstractNumId="2">
    <w:nsid w:val="180665BC"/>
    <w:multiLevelType w:val="hybridMultilevel"/>
    <w:tmpl w:val="4DC601BA"/>
    <w:lvl w:ilvl="0" w:tplc="5D98112C">
      <w:start w:val="1"/>
      <w:numFmt w:val="decimal"/>
      <w:pStyle w:val="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436F75"/>
    <w:multiLevelType w:val="hybridMultilevel"/>
    <w:tmpl w:val="615A334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5">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233F6B"/>
    <w:multiLevelType w:val="hybridMultilevel"/>
    <w:tmpl w:val="53929CB2"/>
    <w:lvl w:ilvl="0" w:tplc="280E1212">
      <w:start w:val="1"/>
      <w:numFmt w:val="lowerLetter"/>
      <w:pStyle w:val="BoxListNumber2"/>
      <w:lvlText w:val="%1."/>
      <w:lvlJc w:val="left"/>
      <w:pPr>
        <w:tabs>
          <w:tab w:val="num" w:pos="567"/>
        </w:tabs>
        <w:ind w:left="567" w:hanging="283"/>
      </w:pPr>
      <w:rPr>
        <w:rFonts w:hint="default"/>
      </w:rPr>
    </w:lvl>
    <w:lvl w:ilvl="1" w:tplc="B4D4D5CE" w:tentative="1">
      <w:start w:val="1"/>
      <w:numFmt w:val="lowerLetter"/>
      <w:lvlText w:val="%2."/>
      <w:lvlJc w:val="left"/>
      <w:pPr>
        <w:tabs>
          <w:tab w:val="num" w:pos="1440"/>
        </w:tabs>
        <w:ind w:left="1440" w:hanging="360"/>
      </w:pPr>
    </w:lvl>
    <w:lvl w:ilvl="2" w:tplc="D0E203CC" w:tentative="1">
      <w:start w:val="1"/>
      <w:numFmt w:val="lowerRoman"/>
      <w:lvlText w:val="%3."/>
      <w:lvlJc w:val="right"/>
      <w:pPr>
        <w:tabs>
          <w:tab w:val="num" w:pos="2160"/>
        </w:tabs>
        <w:ind w:left="2160" w:hanging="180"/>
      </w:pPr>
    </w:lvl>
    <w:lvl w:ilvl="3" w:tplc="1AC8C6A8" w:tentative="1">
      <w:start w:val="1"/>
      <w:numFmt w:val="decimal"/>
      <w:lvlText w:val="%4."/>
      <w:lvlJc w:val="left"/>
      <w:pPr>
        <w:tabs>
          <w:tab w:val="num" w:pos="2880"/>
        </w:tabs>
        <w:ind w:left="2880" w:hanging="360"/>
      </w:pPr>
    </w:lvl>
    <w:lvl w:ilvl="4" w:tplc="AAF62C0E" w:tentative="1">
      <w:start w:val="1"/>
      <w:numFmt w:val="lowerLetter"/>
      <w:lvlText w:val="%5."/>
      <w:lvlJc w:val="left"/>
      <w:pPr>
        <w:tabs>
          <w:tab w:val="num" w:pos="3600"/>
        </w:tabs>
        <w:ind w:left="3600" w:hanging="360"/>
      </w:pPr>
    </w:lvl>
    <w:lvl w:ilvl="5" w:tplc="7EA645D2" w:tentative="1">
      <w:start w:val="1"/>
      <w:numFmt w:val="lowerRoman"/>
      <w:lvlText w:val="%6."/>
      <w:lvlJc w:val="right"/>
      <w:pPr>
        <w:tabs>
          <w:tab w:val="num" w:pos="4320"/>
        </w:tabs>
        <w:ind w:left="4320" w:hanging="180"/>
      </w:pPr>
    </w:lvl>
    <w:lvl w:ilvl="6" w:tplc="DB084596" w:tentative="1">
      <w:start w:val="1"/>
      <w:numFmt w:val="decimal"/>
      <w:lvlText w:val="%7."/>
      <w:lvlJc w:val="left"/>
      <w:pPr>
        <w:tabs>
          <w:tab w:val="num" w:pos="5040"/>
        </w:tabs>
        <w:ind w:left="5040" w:hanging="360"/>
      </w:pPr>
    </w:lvl>
    <w:lvl w:ilvl="7" w:tplc="D8502570" w:tentative="1">
      <w:start w:val="1"/>
      <w:numFmt w:val="lowerLetter"/>
      <w:lvlText w:val="%8."/>
      <w:lvlJc w:val="left"/>
      <w:pPr>
        <w:tabs>
          <w:tab w:val="num" w:pos="5760"/>
        </w:tabs>
        <w:ind w:left="5760" w:hanging="360"/>
      </w:pPr>
    </w:lvl>
    <w:lvl w:ilvl="8" w:tplc="7CAA009A" w:tentative="1">
      <w:start w:val="1"/>
      <w:numFmt w:val="lowerRoman"/>
      <w:lvlText w:val="%9."/>
      <w:lvlJc w:val="right"/>
      <w:pPr>
        <w:tabs>
          <w:tab w:val="num" w:pos="6480"/>
        </w:tabs>
        <w:ind w:left="6480" w:hanging="180"/>
      </w:pPr>
    </w:lvl>
  </w:abstractNum>
  <w:abstractNum w:abstractNumId="7">
    <w:nsid w:val="46CD579B"/>
    <w:multiLevelType w:val="hybridMultilevel"/>
    <w:tmpl w:val="36F2514A"/>
    <w:lvl w:ilvl="0" w:tplc="12E67A9C">
      <w:start w:val="1"/>
      <w:numFmt w:val="bullet"/>
      <w:pStyle w:val="BoxListBullet"/>
      <w:lvlText w:val="&gt;"/>
      <w:lvlJc w:val="left"/>
      <w:pPr>
        <w:tabs>
          <w:tab w:val="num" w:pos="284"/>
        </w:tabs>
        <w:ind w:left="284" w:hanging="284"/>
      </w:pPr>
      <w:rPr>
        <w:rFonts w:hint="default"/>
        <w:color w:val="auto"/>
      </w:rPr>
    </w:lvl>
    <w:lvl w:ilvl="1" w:tplc="4AE6BFA4" w:tentative="1">
      <w:start w:val="1"/>
      <w:numFmt w:val="bullet"/>
      <w:lvlText w:val="o"/>
      <w:lvlJc w:val="left"/>
      <w:pPr>
        <w:tabs>
          <w:tab w:val="num" w:pos="1440"/>
        </w:tabs>
        <w:ind w:left="1440" w:hanging="360"/>
      </w:pPr>
      <w:rPr>
        <w:rFonts w:ascii="Courier New" w:hAnsi="Courier New" w:cs="Courier New" w:hint="default"/>
      </w:rPr>
    </w:lvl>
    <w:lvl w:ilvl="2" w:tplc="ABCEA264" w:tentative="1">
      <w:start w:val="1"/>
      <w:numFmt w:val="bullet"/>
      <w:lvlText w:val=""/>
      <w:lvlJc w:val="left"/>
      <w:pPr>
        <w:tabs>
          <w:tab w:val="num" w:pos="2160"/>
        </w:tabs>
        <w:ind w:left="2160" w:hanging="360"/>
      </w:pPr>
      <w:rPr>
        <w:rFonts w:ascii="Wingdings" w:hAnsi="Wingdings" w:hint="default"/>
      </w:rPr>
    </w:lvl>
    <w:lvl w:ilvl="3" w:tplc="616028D6" w:tentative="1">
      <w:start w:val="1"/>
      <w:numFmt w:val="bullet"/>
      <w:lvlText w:val=""/>
      <w:lvlJc w:val="left"/>
      <w:pPr>
        <w:tabs>
          <w:tab w:val="num" w:pos="2880"/>
        </w:tabs>
        <w:ind w:left="2880" w:hanging="360"/>
      </w:pPr>
      <w:rPr>
        <w:rFonts w:ascii="Symbol" w:hAnsi="Symbol" w:hint="default"/>
      </w:rPr>
    </w:lvl>
    <w:lvl w:ilvl="4" w:tplc="26481BE6" w:tentative="1">
      <w:start w:val="1"/>
      <w:numFmt w:val="bullet"/>
      <w:lvlText w:val="o"/>
      <w:lvlJc w:val="left"/>
      <w:pPr>
        <w:tabs>
          <w:tab w:val="num" w:pos="3600"/>
        </w:tabs>
        <w:ind w:left="3600" w:hanging="360"/>
      </w:pPr>
      <w:rPr>
        <w:rFonts w:ascii="Courier New" w:hAnsi="Courier New" w:cs="Courier New" w:hint="default"/>
      </w:rPr>
    </w:lvl>
    <w:lvl w:ilvl="5" w:tplc="95E62350" w:tentative="1">
      <w:start w:val="1"/>
      <w:numFmt w:val="bullet"/>
      <w:lvlText w:val=""/>
      <w:lvlJc w:val="left"/>
      <w:pPr>
        <w:tabs>
          <w:tab w:val="num" w:pos="4320"/>
        </w:tabs>
        <w:ind w:left="4320" w:hanging="360"/>
      </w:pPr>
      <w:rPr>
        <w:rFonts w:ascii="Wingdings" w:hAnsi="Wingdings" w:hint="default"/>
      </w:rPr>
    </w:lvl>
    <w:lvl w:ilvl="6" w:tplc="1B76D03E" w:tentative="1">
      <w:start w:val="1"/>
      <w:numFmt w:val="bullet"/>
      <w:lvlText w:val=""/>
      <w:lvlJc w:val="left"/>
      <w:pPr>
        <w:tabs>
          <w:tab w:val="num" w:pos="5040"/>
        </w:tabs>
        <w:ind w:left="5040" w:hanging="360"/>
      </w:pPr>
      <w:rPr>
        <w:rFonts w:ascii="Symbol" w:hAnsi="Symbol" w:hint="default"/>
      </w:rPr>
    </w:lvl>
    <w:lvl w:ilvl="7" w:tplc="75FCEA50" w:tentative="1">
      <w:start w:val="1"/>
      <w:numFmt w:val="bullet"/>
      <w:lvlText w:val="o"/>
      <w:lvlJc w:val="left"/>
      <w:pPr>
        <w:tabs>
          <w:tab w:val="num" w:pos="5760"/>
        </w:tabs>
        <w:ind w:left="5760" w:hanging="360"/>
      </w:pPr>
      <w:rPr>
        <w:rFonts w:ascii="Courier New" w:hAnsi="Courier New" w:cs="Courier New" w:hint="default"/>
      </w:rPr>
    </w:lvl>
    <w:lvl w:ilvl="8" w:tplc="8E5AA544" w:tentative="1">
      <w:start w:val="1"/>
      <w:numFmt w:val="bullet"/>
      <w:lvlText w:val=""/>
      <w:lvlJc w:val="left"/>
      <w:pPr>
        <w:tabs>
          <w:tab w:val="num" w:pos="6480"/>
        </w:tabs>
        <w:ind w:left="6480" w:hanging="360"/>
      </w:pPr>
      <w:rPr>
        <w:rFonts w:ascii="Wingdings" w:hAnsi="Wingdings" w:hint="default"/>
      </w:rPr>
    </w:lvl>
  </w:abstractNum>
  <w:abstractNum w:abstractNumId="8">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598A5214"/>
    <w:multiLevelType w:val="hybridMultilevel"/>
    <w:tmpl w:val="0B5AC610"/>
    <w:lvl w:ilvl="0" w:tplc="AF943FEC">
      <w:start w:val="1"/>
      <w:numFmt w:val="decimal"/>
      <w:pStyle w:val="TableListNumber"/>
      <w:lvlText w:val="%1."/>
      <w:lvlJc w:val="left"/>
      <w:pPr>
        <w:tabs>
          <w:tab w:val="num" w:pos="227"/>
        </w:tabs>
        <w:ind w:left="227" w:hanging="227"/>
      </w:pPr>
      <w:rPr>
        <w:rFonts w:hint="default"/>
      </w:rPr>
    </w:lvl>
    <w:lvl w:ilvl="1" w:tplc="CBEE28FC">
      <w:start w:val="1"/>
      <w:numFmt w:val="lowerLetter"/>
      <w:lvlText w:val="%2."/>
      <w:lvlJc w:val="left"/>
      <w:pPr>
        <w:tabs>
          <w:tab w:val="num" w:pos="1440"/>
        </w:tabs>
        <w:ind w:left="1440" w:hanging="360"/>
      </w:pPr>
    </w:lvl>
    <w:lvl w:ilvl="2" w:tplc="CCDCACDA" w:tentative="1">
      <w:start w:val="1"/>
      <w:numFmt w:val="lowerRoman"/>
      <w:lvlText w:val="%3."/>
      <w:lvlJc w:val="right"/>
      <w:pPr>
        <w:tabs>
          <w:tab w:val="num" w:pos="2160"/>
        </w:tabs>
        <w:ind w:left="2160" w:hanging="180"/>
      </w:pPr>
    </w:lvl>
    <w:lvl w:ilvl="3" w:tplc="A8AEC0A4" w:tentative="1">
      <w:start w:val="1"/>
      <w:numFmt w:val="decimal"/>
      <w:lvlText w:val="%4."/>
      <w:lvlJc w:val="left"/>
      <w:pPr>
        <w:tabs>
          <w:tab w:val="num" w:pos="2880"/>
        </w:tabs>
        <w:ind w:left="2880" w:hanging="360"/>
      </w:pPr>
    </w:lvl>
    <w:lvl w:ilvl="4" w:tplc="FB2ED028" w:tentative="1">
      <w:start w:val="1"/>
      <w:numFmt w:val="lowerLetter"/>
      <w:lvlText w:val="%5."/>
      <w:lvlJc w:val="left"/>
      <w:pPr>
        <w:tabs>
          <w:tab w:val="num" w:pos="3600"/>
        </w:tabs>
        <w:ind w:left="3600" w:hanging="360"/>
      </w:pPr>
    </w:lvl>
    <w:lvl w:ilvl="5" w:tplc="3DE6006C" w:tentative="1">
      <w:start w:val="1"/>
      <w:numFmt w:val="lowerRoman"/>
      <w:lvlText w:val="%6."/>
      <w:lvlJc w:val="right"/>
      <w:pPr>
        <w:tabs>
          <w:tab w:val="num" w:pos="4320"/>
        </w:tabs>
        <w:ind w:left="4320" w:hanging="180"/>
      </w:pPr>
    </w:lvl>
    <w:lvl w:ilvl="6" w:tplc="A0B6D44E" w:tentative="1">
      <w:start w:val="1"/>
      <w:numFmt w:val="decimal"/>
      <w:lvlText w:val="%7."/>
      <w:lvlJc w:val="left"/>
      <w:pPr>
        <w:tabs>
          <w:tab w:val="num" w:pos="5040"/>
        </w:tabs>
        <w:ind w:left="5040" w:hanging="360"/>
      </w:pPr>
    </w:lvl>
    <w:lvl w:ilvl="7" w:tplc="6054D0CC" w:tentative="1">
      <w:start w:val="1"/>
      <w:numFmt w:val="lowerLetter"/>
      <w:lvlText w:val="%8."/>
      <w:lvlJc w:val="left"/>
      <w:pPr>
        <w:tabs>
          <w:tab w:val="num" w:pos="5760"/>
        </w:tabs>
        <w:ind w:left="5760" w:hanging="360"/>
      </w:pPr>
    </w:lvl>
    <w:lvl w:ilvl="8" w:tplc="A732A284" w:tentative="1">
      <w:start w:val="1"/>
      <w:numFmt w:val="lowerRoman"/>
      <w:lvlText w:val="%9."/>
      <w:lvlJc w:val="right"/>
      <w:pPr>
        <w:tabs>
          <w:tab w:val="num" w:pos="6480"/>
        </w:tabs>
        <w:ind w:left="6480" w:hanging="180"/>
      </w:pPr>
    </w:lvl>
  </w:abstractNum>
  <w:abstractNum w:abstractNumId="11">
    <w:nsid w:val="62DB43CB"/>
    <w:multiLevelType w:val="hybridMultilevel"/>
    <w:tmpl w:val="0F3E422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3EC277D"/>
    <w:multiLevelType w:val="hybridMultilevel"/>
    <w:tmpl w:val="5622DCD2"/>
    <w:lvl w:ilvl="0" w:tplc="F280E2B4">
      <w:start w:val="1"/>
      <w:numFmt w:val="bullet"/>
      <w:pStyle w:val="QuoteBullet"/>
      <w:lvlText w:val="•"/>
      <w:lvlJc w:val="left"/>
      <w:pPr>
        <w:tabs>
          <w:tab w:val="num" w:pos="567"/>
        </w:tabs>
        <w:ind w:left="567" w:hanging="283"/>
      </w:pPr>
      <w:rPr>
        <w:rFonts w:ascii="Garamond" w:hAnsi="Garamond"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4F264CF"/>
    <w:multiLevelType w:val="multilevel"/>
    <w:tmpl w:val="DD5A44F4"/>
    <w:lvl w:ilvl="0">
      <w:start w:val="1"/>
      <w:numFmt w:val="none"/>
      <w:suff w:val="nothing"/>
      <w:lvlText w:val=""/>
      <w:lvlJc w:val="left"/>
      <w:pPr>
        <w:ind w:left="-32767" w:firstLine="0"/>
      </w:pPr>
      <w:rPr>
        <w:rFonts w:hint="default"/>
        <w:b w:val="0"/>
        <w:i w:val="0"/>
        <w:color w:val="54534A"/>
      </w:rPr>
    </w:lvl>
    <w:lvl w:ilvl="1">
      <w:start w:val="1"/>
      <w:numFmt w:val="none"/>
      <w:pStyle w:val="Heading2"/>
      <w:suff w:val="nothing"/>
      <w:lvlText w:val=""/>
      <w:lvlJc w:val="left"/>
      <w:pPr>
        <w:ind w:left="-32767" w:firstLine="0"/>
      </w:pPr>
      <w:rPr>
        <w:rFonts w:hint="default"/>
      </w:rPr>
    </w:lvl>
    <w:lvl w:ilvl="2">
      <w:start w:val="1"/>
      <w:numFmt w:val="none"/>
      <w:lvlRestart w:val="0"/>
      <w:pStyle w:val="Heading3"/>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14">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69C85D98"/>
    <w:multiLevelType w:val="hybridMultilevel"/>
    <w:tmpl w:val="D1B23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7">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9E1124E"/>
    <w:multiLevelType w:val="hybridMultilevel"/>
    <w:tmpl w:val="6D42E656"/>
    <w:lvl w:ilvl="0" w:tplc="071E8280">
      <w:start w:val="1"/>
      <w:numFmt w:val="lowerLetter"/>
      <w:pStyle w:val="ListNumber2"/>
      <w:lvlText w:val="%1."/>
      <w:lvlJc w:val="left"/>
      <w:pPr>
        <w:tabs>
          <w:tab w:val="num" w:pos="567"/>
        </w:tabs>
        <w:ind w:left="567" w:hanging="283"/>
      </w:pPr>
      <w:rPr>
        <w:rFonts w:hint="default"/>
      </w:rPr>
    </w:lvl>
    <w:lvl w:ilvl="1" w:tplc="D166E2E8" w:tentative="1">
      <w:start w:val="1"/>
      <w:numFmt w:val="lowerLetter"/>
      <w:lvlText w:val="%2."/>
      <w:lvlJc w:val="left"/>
      <w:pPr>
        <w:tabs>
          <w:tab w:val="num" w:pos="1440"/>
        </w:tabs>
        <w:ind w:left="1440" w:hanging="360"/>
      </w:pPr>
    </w:lvl>
    <w:lvl w:ilvl="2" w:tplc="590A2C74" w:tentative="1">
      <w:start w:val="1"/>
      <w:numFmt w:val="lowerRoman"/>
      <w:lvlText w:val="%3."/>
      <w:lvlJc w:val="right"/>
      <w:pPr>
        <w:tabs>
          <w:tab w:val="num" w:pos="2160"/>
        </w:tabs>
        <w:ind w:left="2160" w:hanging="180"/>
      </w:pPr>
    </w:lvl>
    <w:lvl w:ilvl="3" w:tplc="DBD06BF2" w:tentative="1">
      <w:start w:val="1"/>
      <w:numFmt w:val="decimal"/>
      <w:lvlText w:val="%4."/>
      <w:lvlJc w:val="left"/>
      <w:pPr>
        <w:tabs>
          <w:tab w:val="num" w:pos="2880"/>
        </w:tabs>
        <w:ind w:left="2880" w:hanging="360"/>
      </w:pPr>
    </w:lvl>
    <w:lvl w:ilvl="4" w:tplc="88B0513E" w:tentative="1">
      <w:start w:val="1"/>
      <w:numFmt w:val="lowerLetter"/>
      <w:lvlText w:val="%5."/>
      <w:lvlJc w:val="left"/>
      <w:pPr>
        <w:tabs>
          <w:tab w:val="num" w:pos="3600"/>
        </w:tabs>
        <w:ind w:left="3600" w:hanging="360"/>
      </w:pPr>
    </w:lvl>
    <w:lvl w:ilvl="5" w:tplc="37DC7344" w:tentative="1">
      <w:start w:val="1"/>
      <w:numFmt w:val="lowerRoman"/>
      <w:lvlText w:val="%6."/>
      <w:lvlJc w:val="right"/>
      <w:pPr>
        <w:tabs>
          <w:tab w:val="num" w:pos="4320"/>
        </w:tabs>
        <w:ind w:left="4320" w:hanging="180"/>
      </w:pPr>
    </w:lvl>
    <w:lvl w:ilvl="6" w:tplc="56DCC69A" w:tentative="1">
      <w:start w:val="1"/>
      <w:numFmt w:val="decimal"/>
      <w:lvlText w:val="%7."/>
      <w:lvlJc w:val="left"/>
      <w:pPr>
        <w:tabs>
          <w:tab w:val="num" w:pos="5040"/>
        </w:tabs>
        <w:ind w:left="5040" w:hanging="360"/>
      </w:pPr>
    </w:lvl>
    <w:lvl w:ilvl="7" w:tplc="95A08664" w:tentative="1">
      <w:start w:val="1"/>
      <w:numFmt w:val="lowerLetter"/>
      <w:lvlText w:val="%8."/>
      <w:lvlJc w:val="left"/>
      <w:pPr>
        <w:tabs>
          <w:tab w:val="num" w:pos="5760"/>
        </w:tabs>
        <w:ind w:left="5760" w:hanging="360"/>
      </w:pPr>
    </w:lvl>
    <w:lvl w:ilvl="8" w:tplc="28EC5238" w:tentative="1">
      <w:start w:val="1"/>
      <w:numFmt w:val="lowerRoman"/>
      <w:lvlText w:val="%9."/>
      <w:lvlJc w:val="right"/>
      <w:pPr>
        <w:tabs>
          <w:tab w:val="num" w:pos="6480"/>
        </w:tabs>
        <w:ind w:left="6480" w:hanging="180"/>
      </w:pPr>
    </w:lvl>
  </w:abstractNum>
  <w:abstractNum w:abstractNumId="19">
    <w:nsid w:val="7F7A528B"/>
    <w:multiLevelType w:val="hybridMultilevel"/>
    <w:tmpl w:val="4ADC517C"/>
    <w:lvl w:ilvl="0" w:tplc="F9DCFC88">
      <w:start w:val="1"/>
      <w:numFmt w:val="bullet"/>
      <w:pStyle w:val="ListBullet"/>
      <w:lvlText w:val="&gt;"/>
      <w:lvlJc w:val="left"/>
      <w:pPr>
        <w:tabs>
          <w:tab w:val="num" w:pos="284"/>
        </w:tabs>
        <w:ind w:left="284" w:hanging="284"/>
      </w:pPr>
      <w:rPr>
        <w:rFonts w:hint="default"/>
        <w:color w:val="auto"/>
        <w:position w:val="3"/>
      </w:rPr>
    </w:lvl>
    <w:lvl w:ilvl="1" w:tplc="88AEFCC2" w:tentative="1">
      <w:start w:val="1"/>
      <w:numFmt w:val="bullet"/>
      <w:lvlText w:val="o"/>
      <w:lvlJc w:val="left"/>
      <w:pPr>
        <w:tabs>
          <w:tab w:val="num" w:pos="1440"/>
        </w:tabs>
        <w:ind w:left="1440" w:hanging="360"/>
      </w:pPr>
      <w:rPr>
        <w:rFonts w:ascii="Courier New" w:hAnsi="Courier New" w:cs="Courier New" w:hint="default"/>
      </w:rPr>
    </w:lvl>
    <w:lvl w:ilvl="2" w:tplc="5CDE1590" w:tentative="1">
      <w:start w:val="1"/>
      <w:numFmt w:val="bullet"/>
      <w:lvlText w:val=""/>
      <w:lvlJc w:val="left"/>
      <w:pPr>
        <w:tabs>
          <w:tab w:val="num" w:pos="2160"/>
        </w:tabs>
        <w:ind w:left="2160" w:hanging="360"/>
      </w:pPr>
      <w:rPr>
        <w:rFonts w:ascii="Wingdings" w:hAnsi="Wingdings" w:hint="default"/>
      </w:rPr>
    </w:lvl>
    <w:lvl w:ilvl="3" w:tplc="7A881836" w:tentative="1">
      <w:start w:val="1"/>
      <w:numFmt w:val="bullet"/>
      <w:lvlText w:val=""/>
      <w:lvlJc w:val="left"/>
      <w:pPr>
        <w:tabs>
          <w:tab w:val="num" w:pos="2880"/>
        </w:tabs>
        <w:ind w:left="2880" w:hanging="360"/>
      </w:pPr>
      <w:rPr>
        <w:rFonts w:ascii="Symbol" w:hAnsi="Symbol" w:hint="default"/>
      </w:rPr>
    </w:lvl>
    <w:lvl w:ilvl="4" w:tplc="49B61ACA" w:tentative="1">
      <w:start w:val="1"/>
      <w:numFmt w:val="bullet"/>
      <w:lvlText w:val="o"/>
      <w:lvlJc w:val="left"/>
      <w:pPr>
        <w:tabs>
          <w:tab w:val="num" w:pos="3600"/>
        </w:tabs>
        <w:ind w:left="3600" w:hanging="360"/>
      </w:pPr>
      <w:rPr>
        <w:rFonts w:ascii="Courier New" w:hAnsi="Courier New" w:cs="Courier New" w:hint="default"/>
      </w:rPr>
    </w:lvl>
    <w:lvl w:ilvl="5" w:tplc="19A066C4" w:tentative="1">
      <w:start w:val="1"/>
      <w:numFmt w:val="bullet"/>
      <w:lvlText w:val=""/>
      <w:lvlJc w:val="left"/>
      <w:pPr>
        <w:tabs>
          <w:tab w:val="num" w:pos="4320"/>
        </w:tabs>
        <w:ind w:left="4320" w:hanging="360"/>
      </w:pPr>
      <w:rPr>
        <w:rFonts w:ascii="Wingdings" w:hAnsi="Wingdings" w:hint="default"/>
      </w:rPr>
    </w:lvl>
    <w:lvl w:ilvl="6" w:tplc="D214FB14" w:tentative="1">
      <w:start w:val="1"/>
      <w:numFmt w:val="bullet"/>
      <w:lvlText w:val=""/>
      <w:lvlJc w:val="left"/>
      <w:pPr>
        <w:tabs>
          <w:tab w:val="num" w:pos="5040"/>
        </w:tabs>
        <w:ind w:left="5040" w:hanging="360"/>
      </w:pPr>
      <w:rPr>
        <w:rFonts w:ascii="Symbol" w:hAnsi="Symbol" w:hint="default"/>
      </w:rPr>
    </w:lvl>
    <w:lvl w:ilvl="7" w:tplc="E48C58DA" w:tentative="1">
      <w:start w:val="1"/>
      <w:numFmt w:val="bullet"/>
      <w:lvlText w:val="o"/>
      <w:lvlJc w:val="left"/>
      <w:pPr>
        <w:tabs>
          <w:tab w:val="num" w:pos="5760"/>
        </w:tabs>
        <w:ind w:left="5760" w:hanging="360"/>
      </w:pPr>
      <w:rPr>
        <w:rFonts w:ascii="Courier New" w:hAnsi="Courier New" w:cs="Courier New" w:hint="default"/>
      </w:rPr>
    </w:lvl>
    <w:lvl w:ilvl="8" w:tplc="FB8481DE"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6"/>
  </w:num>
  <w:num w:numId="4">
    <w:abstractNumId w:val="9"/>
  </w:num>
  <w:num w:numId="5">
    <w:abstractNumId w:val="7"/>
  </w:num>
  <w:num w:numId="6">
    <w:abstractNumId w:val="5"/>
  </w:num>
  <w:num w:numId="7">
    <w:abstractNumId w:val="13"/>
  </w:num>
  <w:num w:numId="8">
    <w:abstractNumId w:val="14"/>
  </w:num>
  <w:num w:numId="9">
    <w:abstractNumId w:val="0"/>
  </w:num>
  <w:num w:numId="10">
    <w:abstractNumId w:val="8"/>
  </w:num>
  <w:num w:numId="11">
    <w:abstractNumId w:val="17"/>
  </w:num>
  <w:num w:numId="12">
    <w:abstractNumId w:val="4"/>
  </w:num>
  <w:num w:numId="13">
    <w:abstractNumId w:val="2"/>
  </w:num>
  <w:num w:numId="14">
    <w:abstractNumId w:val="18"/>
  </w:num>
  <w:num w:numId="15">
    <w:abstractNumId w:val="19"/>
  </w:num>
  <w:num w:numId="16">
    <w:abstractNumId w:val="16"/>
  </w:num>
  <w:num w:numId="17">
    <w:abstractNumId w:val="12"/>
  </w:num>
  <w:num w:numId="18">
    <w:abstractNumId w:val="3"/>
  </w:num>
  <w:num w:numId="19">
    <w:abstractNumId w:val="15"/>
  </w:num>
  <w:num w:numId="20">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clickAndTypeStyle w:val="BodyText"/>
  <w:drawingGridHorizontalSpacing w:val="120"/>
  <w:displayHorizontalDrawingGridEvery w:val="2"/>
  <w:displayVerticalDrawingGridEvery w:val="2"/>
  <w:noPunctuationKerning/>
  <w:characterSpacingControl w:val="doNotCompress"/>
  <w:hdrShapeDefaults>
    <o:shapedefaults v:ext="edit" spidmax="6145">
      <o:colormru v:ext="edit" colors="#5a9a98,#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77E"/>
    <w:rsid w:val="00002939"/>
    <w:rsid w:val="00004368"/>
    <w:rsid w:val="0000673D"/>
    <w:rsid w:val="00011550"/>
    <w:rsid w:val="0001170C"/>
    <w:rsid w:val="0001291E"/>
    <w:rsid w:val="000129D7"/>
    <w:rsid w:val="0001356A"/>
    <w:rsid w:val="00014038"/>
    <w:rsid w:val="0001508D"/>
    <w:rsid w:val="00015DBC"/>
    <w:rsid w:val="00016771"/>
    <w:rsid w:val="00016CBA"/>
    <w:rsid w:val="00017D33"/>
    <w:rsid w:val="00017E33"/>
    <w:rsid w:val="000211DA"/>
    <w:rsid w:val="0002235F"/>
    <w:rsid w:val="00022D41"/>
    <w:rsid w:val="000257E7"/>
    <w:rsid w:val="00030588"/>
    <w:rsid w:val="00031617"/>
    <w:rsid w:val="0003385B"/>
    <w:rsid w:val="00034B41"/>
    <w:rsid w:val="00034E45"/>
    <w:rsid w:val="00035E2A"/>
    <w:rsid w:val="0003681F"/>
    <w:rsid w:val="00037673"/>
    <w:rsid w:val="000433AB"/>
    <w:rsid w:val="00044EDD"/>
    <w:rsid w:val="000452A6"/>
    <w:rsid w:val="0004636D"/>
    <w:rsid w:val="00046974"/>
    <w:rsid w:val="000513B2"/>
    <w:rsid w:val="00053BB3"/>
    <w:rsid w:val="00053D8A"/>
    <w:rsid w:val="00054533"/>
    <w:rsid w:val="00060624"/>
    <w:rsid w:val="00060A32"/>
    <w:rsid w:val="00061389"/>
    <w:rsid w:val="00063C90"/>
    <w:rsid w:val="000655EB"/>
    <w:rsid w:val="00065C12"/>
    <w:rsid w:val="00067F6E"/>
    <w:rsid w:val="00070BAE"/>
    <w:rsid w:val="00070F05"/>
    <w:rsid w:val="000722A1"/>
    <w:rsid w:val="00074C9B"/>
    <w:rsid w:val="00075C1B"/>
    <w:rsid w:val="00075DD8"/>
    <w:rsid w:val="00075E37"/>
    <w:rsid w:val="00075F52"/>
    <w:rsid w:val="00075FBB"/>
    <w:rsid w:val="000765D3"/>
    <w:rsid w:val="000766F0"/>
    <w:rsid w:val="00076703"/>
    <w:rsid w:val="000805B2"/>
    <w:rsid w:val="00082E97"/>
    <w:rsid w:val="000833A0"/>
    <w:rsid w:val="00085585"/>
    <w:rsid w:val="00085E50"/>
    <w:rsid w:val="00086164"/>
    <w:rsid w:val="000863C3"/>
    <w:rsid w:val="00090C8C"/>
    <w:rsid w:val="00092F37"/>
    <w:rsid w:val="00096C9C"/>
    <w:rsid w:val="00097A76"/>
    <w:rsid w:val="000A0794"/>
    <w:rsid w:val="000A3437"/>
    <w:rsid w:val="000A4433"/>
    <w:rsid w:val="000A5BCC"/>
    <w:rsid w:val="000A7400"/>
    <w:rsid w:val="000A7708"/>
    <w:rsid w:val="000A7AD4"/>
    <w:rsid w:val="000B0232"/>
    <w:rsid w:val="000B108C"/>
    <w:rsid w:val="000B13AB"/>
    <w:rsid w:val="000B146D"/>
    <w:rsid w:val="000B4054"/>
    <w:rsid w:val="000B4271"/>
    <w:rsid w:val="000B555E"/>
    <w:rsid w:val="000B56CF"/>
    <w:rsid w:val="000B5B55"/>
    <w:rsid w:val="000B6330"/>
    <w:rsid w:val="000B7FF7"/>
    <w:rsid w:val="000C0125"/>
    <w:rsid w:val="000C0807"/>
    <w:rsid w:val="000C0D83"/>
    <w:rsid w:val="000C45A2"/>
    <w:rsid w:val="000C6046"/>
    <w:rsid w:val="000C7B21"/>
    <w:rsid w:val="000D074E"/>
    <w:rsid w:val="000D2CDB"/>
    <w:rsid w:val="000D32D5"/>
    <w:rsid w:val="000D444F"/>
    <w:rsid w:val="000D47A5"/>
    <w:rsid w:val="000E0333"/>
    <w:rsid w:val="000E2E8A"/>
    <w:rsid w:val="000E595E"/>
    <w:rsid w:val="000E5C21"/>
    <w:rsid w:val="000F5F51"/>
    <w:rsid w:val="000F6A57"/>
    <w:rsid w:val="000F706A"/>
    <w:rsid w:val="000F7DB9"/>
    <w:rsid w:val="000F7EBB"/>
    <w:rsid w:val="0010001A"/>
    <w:rsid w:val="001020A5"/>
    <w:rsid w:val="00104CCC"/>
    <w:rsid w:val="00107FCC"/>
    <w:rsid w:val="001104EF"/>
    <w:rsid w:val="00115A8C"/>
    <w:rsid w:val="00115D91"/>
    <w:rsid w:val="001204E2"/>
    <w:rsid w:val="001250BF"/>
    <w:rsid w:val="001260C2"/>
    <w:rsid w:val="00127B7F"/>
    <w:rsid w:val="00130002"/>
    <w:rsid w:val="00130109"/>
    <w:rsid w:val="00132E41"/>
    <w:rsid w:val="00135A4C"/>
    <w:rsid w:val="001360A4"/>
    <w:rsid w:val="00136E47"/>
    <w:rsid w:val="00136FF9"/>
    <w:rsid w:val="00137BA1"/>
    <w:rsid w:val="0014049B"/>
    <w:rsid w:val="00141818"/>
    <w:rsid w:val="00142510"/>
    <w:rsid w:val="0014252B"/>
    <w:rsid w:val="001426FC"/>
    <w:rsid w:val="0014282B"/>
    <w:rsid w:val="00142A4D"/>
    <w:rsid w:val="00142E47"/>
    <w:rsid w:val="00143525"/>
    <w:rsid w:val="001436A7"/>
    <w:rsid w:val="00144611"/>
    <w:rsid w:val="00144B1B"/>
    <w:rsid w:val="0014787F"/>
    <w:rsid w:val="00151018"/>
    <w:rsid w:val="00152D98"/>
    <w:rsid w:val="00155B53"/>
    <w:rsid w:val="001564B4"/>
    <w:rsid w:val="00156521"/>
    <w:rsid w:val="00156A18"/>
    <w:rsid w:val="0016217F"/>
    <w:rsid w:val="001644AA"/>
    <w:rsid w:val="00165C4D"/>
    <w:rsid w:val="00166BE1"/>
    <w:rsid w:val="001702D7"/>
    <w:rsid w:val="001707ED"/>
    <w:rsid w:val="00170B04"/>
    <w:rsid w:val="00172093"/>
    <w:rsid w:val="0017313D"/>
    <w:rsid w:val="00174585"/>
    <w:rsid w:val="001756DD"/>
    <w:rsid w:val="00175CFE"/>
    <w:rsid w:val="00176846"/>
    <w:rsid w:val="001772C7"/>
    <w:rsid w:val="00177AE1"/>
    <w:rsid w:val="00180E63"/>
    <w:rsid w:val="00180EC6"/>
    <w:rsid w:val="00182E7D"/>
    <w:rsid w:val="001840DC"/>
    <w:rsid w:val="00184C6E"/>
    <w:rsid w:val="00187D56"/>
    <w:rsid w:val="00190A25"/>
    <w:rsid w:val="00193384"/>
    <w:rsid w:val="001957F2"/>
    <w:rsid w:val="0019627A"/>
    <w:rsid w:val="00197485"/>
    <w:rsid w:val="001A0653"/>
    <w:rsid w:val="001A157D"/>
    <w:rsid w:val="001A4314"/>
    <w:rsid w:val="001A4CB0"/>
    <w:rsid w:val="001A4F3D"/>
    <w:rsid w:val="001A5588"/>
    <w:rsid w:val="001A64D6"/>
    <w:rsid w:val="001A676A"/>
    <w:rsid w:val="001A7291"/>
    <w:rsid w:val="001A76CD"/>
    <w:rsid w:val="001A7A00"/>
    <w:rsid w:val="001B0BC3"/>
    <w:rsid w:val="001B11EB"/>
    <w:rsid w:val="001B1559"/>
    <w:rsid w:val="001B2B86"/>
    <w:rsid w:val="001B3A25"/>
    <w:rsid w:val="001B40B6"/>
    <w:rsid w:val="001B7441"/>
    <w:rsid w:val="001B7D36"/>
    <w:rsid w:val="001C1650"/>
    <w:rsid w:val="001C18A5"/>
    <w:rsid w:val="001C2440"/>
    <w:rsid w:val="001C27DD"/>
    <w:rsid w:val="001C54D5"/>
    <w:rsid w:val="001C557B"/>
    <w:rsid w:val="001C68A6"/>
    <w:rsid w:val="001C6E03"/>
    <w:rsid w:val="001C6E25"/>
    <w:rsid w:val="001C7185"/>
    <w:rsid w:val="001C7FAB"/>
    <w:rsid w:val="001D0D54"/>
    <w:rsid w:val="001D0D75"/>
    <w:rsid w:val="001D170E"/>
    <w:rsid w:val="001D21D0"/>
    <w:rsid w:val="001D24B1"/>
    <w:rsid w:val="001D2D04"/>
    <w:rsid w:val="001D5233"/>
    <w:rsid w:val="001D5666"/>
    <w:rsid w:val="001D65A4"/>
    <w:rsid w:val="001E521E"/>
    <w:rsid w:val="001E5458"/>
    <w:rsid w:val="001E61C0"/>
    <w:rsid w:val="001E77A7"/>
    <w:rsid w:val="001E7C2A"/>
    <w:rsid w:val="001F0E53"/>
    <w:rsid w:val="001F0E62"/>
    <w:rsid w:val="001F1199"/>
    <w:rsid w:val="001F1365"/>
    <w:rsid w:val="001F353B"/>
    <w:rsid w:val="001F39C9"/>
    <w:rsid w:val="001F4CD3"/>
    <w:rsid w:val="001F4E51"/>
    <w:rsid w:val="001F5AA9"/>
    <w:rsid w:val="0020245F"/>
    <w:rsid w:val="002028B6"/>
    <w:rsid w:val="00203160"/>
    <w:rsid w:val="0020410B"/>
    <w:rsid w:val="00205552"/>
    <w:rsid w:val="00205AA6"/>
    <w:rsid w:val="0021017E"/>
    <w:rsid w:val="00210F50"/>
    <w:rsid w:val="00212975"/>
    <w:rsid w:val="00213176"/>
    <w:rsid w:val="00214C9D"/>
    <w:rsid w:val="002178C9"/>
    <w:rsid w:val="00222F3B"/>
    <w:rsid w:val="00226029"/>
    <w:rsid w:val="00226880"/>
    <w:rsid w:val="0022688E"/>
    <w:rsid w:val="002274D0"/>
    <w:rsid w:val="00227783"/>
    <w:rsid w:val="00227D6B"/>
    <w:rsid w:val="00230BD1"/>
    <w:rsid w:val="00230F10"/>
    <w:rsid w:val="00231CB6"/>
    <w:rsid w:val="00232097"/>
    <w:rsid w:val="00233570"/>
    <w:rsid w:val="00233D7A"/>
    <w:rsid w:val="00234583"/>
    <w:rsid w:val="00234D37"/>
    <w:rsid w:val="00236560"/>
    <w:rsid w:val="00236C53"/>
    <w:rsid w:val="00237451"/>
    <w:rsid w:val="0024071E"/>
    <w:rsid w:val="00240A07"/>
    <w:rsid w:val="00243468"/>
    <w:rsid w:val="0024348E"/>
    <w:rsid w:val="00244F96"/>
    <w:rsid w:val="002452D0"/>
    <w:rsid w:val="0024542D"/>
    <w:rsid w:val="0024630C"/>
    <w:rsid w:val="00247D70"/>
    <w:rsid w:val="00247F6A"/>
    <w:rsid w:val="002505BE"/>
    <w:rsid w:val="00250D70"/>
    <w:rsid w:val="002515F6"/>
    <w:rsid w:val="0025173D"/>
    <w:rsid w:val="00253146"/>
    <w:rsid w:val="00253B3E"/>
    <w:rsid w:val="00254E43"/>
    <w:rsid w:val="00254E51"/>
    <w:rsid w:val="00257199"/>
    <w:rsid w:val="002600C7"/>
    <w:rsid w:val="00260CE2"/>
    <w:rsid w:val="0026347A"/>
    <w:rsid w:val="00263B78"/>
    <w:rsid w:val="00266A89"/>
    <w:rsid w:val="00266B56"/>
    <w:rsid w:val="00266C05"/>
    <w:rsid w:val="002702DD"/>
    <w:rsid w:val="00272699"/>
    <w:rsid w:val="0027351E"/>
    <w:rsid w:val="0027441E"/>
    <w:rsid w:val="0027483C"/>
    <w:rsid w:val="00281D52"/>
    <w:rsid w:val="002820D7"/>
    <w:rsid w:val="00286E03"/>
    <w:rsid w:val="00287F57"/>
    <w:rsid w:val="00291B3A"/>
    <w:rsid w:val="00292656"/>
    <w:rsid w:val="00292C3C"/>
    <w:rsid w:val="00294AA6"/>
    <w:rsid w:val="00294D4C"/>
    <w:rsid w:val="00296270"/>
    <w:rsid w:val="00297DF9"/>
    <w:rsid w:val="002A1D2F"/>
    <w:rsid w:val="002A1DE3"/>
    <w:rsid w:val="002A2305"/>
    <w:rsid w:val="002A477C"/>
    <w:rsid w:val="002A4BB1"/>
    <w:rsid w:val="002A561C"/>
    <w:rsid w:val="002A6CE4"/>
    <w:rsid w:val="002B02EA"/>
    <w:rsid w:val="002B1624"/>
    <w:rsid w:val="002B1C3F"/>
    <w:rsid w:val="002B1D0E"/>
    <w:rsid w:val="002B2514"/>
    <w:rsid w:val="002B3053"/>
    <w:rsid w:val="002B33AD"/>
    <w:rsid w:val="002B3E15"/>
    <w:rsid w:val="002B4651"/>
    <w:rsid w:val="002B7D4C"/>
    <w:rsid w:val="002C018F"/>
    <w:rsid w:val="002C0F44"/>
    <w:rsid w:val="002C159E"/>
    <w:rsid w:val="002C23D1"/>
    <w:rsid w:val="002C257C"/>
    <w:rsid w:val="002C5AF0"/>
    <w:rsid w:val="002C7822"/>
    <w:rsid w:val="002C79E4"/>
    <w:rsid w:val="002D0510"/>
    <w:rsid w:val="002D468F"/>
    <w:rsid w:val="002D5DED"/>
    <w:rsid w:val="002D657C"/>
    <w:rsid w:val="002D6E19"/>
    <w:rsid w:val="002D7A0A"/>
    <w:rsid w:val="002E000E"/>
    <w:rsid w:val="002E0115"/>
    <w:rsid w:val="002E0F18"/>
    <w:rsid w:val="002E1AC2"/>
    <w:rsid w:val="002E2CDD"/>
    <w:rsid w:val="002E31B1"/>
    <w:rsid w:val="002E499B"/>
    <w:rsid w:val="002E626C"/>
    <w:rsid w:val="002E7F6A"/>
    <w:rsid w:val="002F056E"/>
    <w:rsid w:val="002F1AB4"/>
    <w:rsid w:val="002F1D49"/>
    <w:rsid w:val="002F3393"/>
    <w:rsid w:val="002F36D2"/>
    <w:rsid w:val="002F3C1A"/>
    <w:rsid w:val="002F3E97"/>
    <w:rsid w:val="002F4300"/>
    <w:rsid w:val="002F489A"/>
    <w:rsid w:val="003011B5"/>
    <w:rsid w:val="003023FD"/>
    <w:rsid w:val="0030414F"/>
    <w:rsid w:val="00305213"/>
    <w:rsid w:val="00305565"/>
    <w:rsid w:val="00310C02"/>
    <w:rsid w:val="0031131B"/>
    <w:rsid w:val="00312B95"/>
    <w:rsid w:val="00312E50"/>
    <w:rsid w:val="003147DD"/>
    <w:rsid w:val="00315D84"/>
    <w:rsid w:val="00316AAC"/>
    <w:rsid w:val="00321C81"/>
    <w:rsid w:val="00322444"/>
    <w:rsid w:val="003225AB"/>
    <w:rsid w:val="00323965"/>
    <w:rsid w:val="00330A76"/>
    <w:rsid w:val="00330D74"/>
    <w:rsid w:val="00332945"/>
    <w:rsid w:val="00333127"/>
    <w:rsid w:val="003341A9"/>
    <w:rsid w:val="00334B60"/>
    <w:rsid w:val="003360B5"/>
    <w:rsid w:val="003368B5"/>
    <w:rsid w:val="003369D5"/>
    <w:rsid w:val="00336FAC"/>
    <w:rsid w:val="003379F3"/>
    <w:rsid w:val="00337AAE"/>
    <w:rsid w:val="003405D1"/>
    <w:rsid w:val="00341566"/>
    <w:rsid w:val="00342832"/>
    <w:rsid w:val="00342A5A"/>
    <w:rsid w:val="00344326"/>
    <w:rsid w:val="00345C2F"/>
    <w:rsid w:val="0034794C"/>
    <w:rsid w:val="00347D10"/>
    <w:rsid w:val="00347E04"/>
    <w:rsid w:val="0035098F"/>
    <w:rsid w:val="0035177E"/>
    <w:rsid w:val="003522B0"/>
    <w:rsid w:val="00352A66"/>
    <w:rsid w:val="00353B7B"/>
    <w:rsid w:val="00354CF6"/>
    <w:rsid w:val="003557A9"/>
    <w:rsid w:val="0035655A"/>
    <w:rsid w:val="00357879"/>
    <w:rsid w:val="00360C27"/>
    <w:rsid w:val="0036152B"/>
    <w:rsid w:val="003619B9"/>
    <w:rsid w:val="00361A07"/>
    <w:rsid w:val="00361D6C"/>
    <w:rsid w:val="00362300"/>
    <w:rsid w:val="00362945"/>
    <w:rsid w:val="00363DA6"/>
    <w:rsid w:val="0036414D"/>
    <w:rsid w:val="003643A3"/>
    <w:rsid w:val="00364555"/>
    <w:rsid w:val="0036493C"/>
    <w:rsid w:val="00365BED"/>
    <w:rsid w:val="00365ECE"/>
    <w:rsid w:val="00366135"/>
    <w:rsid w:val="00366EAE"/>
    <w:rsid w:val="0037000D"/>
    <w:rsid w:val="00372980"/>
    <w:rsid w:val="00372C90"/>
    <w:rsid w:val="00373509"/>
    <w:rsid w:val="00373545"/>
    <w:rsid w:val="00373D61"/>
    <w:rsid w:val="003813B0"/>
    <w:rsid w:val="00381894"/>
    <w:rsid w:val="00382BC2"/>
    <w:rsid w:val="0038409F"/>
    <w:rsid w:val="00384FD1"/>
    <w:rsid w:val="003852FD"/>
    <w:rsid w:val="003864C0"/>
    <w:rsid w:val="00386714"/>
    <w:rsid w:val="00386BBA"/>
    <w:rsid w:val="00386D59"/>
    <w:rsid w:val="003870E2"/>
    <w:rsid w:val="003908F2"/>
    <w:rsid w:val="00391142"/>
    <w:rsid w:val="0039171C"/>
    <w:rsid w:val="003924C0"/>
    <w:rsid w:val="00393C49"/>
    <w:rsid w:val="00395037"/>
    <w:rsid w:val="003950F3"/>
    <w:rsid w:val="00396AAB"/>
    <w:rsid w:val="00396E51"/>
    <w:rsid w:val="00396FEE"/>
    <w:rsid w:val="00397842"/>
    <w:rsid w:val="003A12E4"/>
    <w:rsid w:val="003A1A4E"/>
    <w:rsid w:val="003A2AFB"/>
    <w:rsid w:val="003A3E3B"/>
    <w:rsid w:val="003A437D"/>
    <w:rsid w:val="003A5F6E"/>
    <w:rsid w:val="003B01D4"/>
    <w:rsid w:val="003B0602"/>
    <w:rsid w:val="003B3833"/>
    <w:rsid w:val="003B5B3A"/>
    <w:rsid w:val="003B669E"/>
    <w:rsid w:val="003B6AF8"/>
    <w:rsid w:val="003C4418"/>
    <w:rsid w:val="003C6425"/>
    <w:rsid w:val="003D1AF0"/>
    <w:rsid w:val="003D277A"/>
    <w:rsid w:val="003D3401"/>
    <w:rsid w:val="003D41D9"/>
    <w:rsid w:val="003D7C66"/>
    <w:rsid w:val="003E03E2"/>
    <w:rsid w:val="003E15BE"/>
    <w:rsid w:val="003E45EE"/>
    <w:rsid w:val="003E4703"/>
    <w:rsid w:val="003E4C57"/>
    <w:rsid w:val="003E4E42"/>
    <w:rsid w:val="003E4FC7"/>
    <w:rsid w:val="003E6A24"/>
    <w:rsid w:val="003E74A4"/>
    <w:rsid w:val="003F0648"/>
    <w:rsid w:val="003F159A"/>
    <w:rsid w:val="003F23B0"/>
    <w:rsid w:val="003F291D"/>
    <w:rsid w:val="003F2F80"/>
    <w:rsid w:val="003F4406"/>
    <w:rsid w:val="003F498D"/>
    <w:rsid w:val="003F4998"/>
    <w:rsid w:val="003F558D"/>
    <w:rsid w:val="003F6535"/>
    <w:rsid w:val="003F7DFD"/>
    <w:rsid w:val="004030F5"/>
    <w:rsid w:val="00403EC1"/>
    <w:rsid w:val="00404378"/>
    <w:rsid w:val="00404981"/>
    <w:rsid w:val="00404EA8"/>
    <w:rsid w:val="004069E3"/>
    <w:rsid w:val="00407CFC"/>
    <w:rsid w:val="00410D4E"/>
    <w:rsid w:val="00411191"/>
    <w:rsid w:val="00412989"/>
    <w:rsid w:val="004131F2"/>
    <w:rsid w:val="00414418"/>
    <w:rsid w:val="004146C9"/>
    <w:rsid w:val="00416765"/>
    <w:rsid w:val="004174E5"/>
    <w:rsid w:val="00420072"/>
    <w:rsid w:val="004202ED"/>
    <w:rsid w:val="0042107B"/>
    <w:rsid w:val="0042222F"/>
    <w:rsid w:val="00422524"/>
    <w:rsid w:val="00422662"/>
    <w:rsid w:val="004226D0"/>
    <w:rsid w:val="004229B0"/>
    <w:rsid w:val="00425388"/>
    <w:rsid w:val="00427331"/>
    <w:rsid w:val="00427DB3"/>
    <w:rsid w:val="0043018B"/>
    <w:rsid w:val="00431546"/>
    <w:rsid w:val="004323E1"/>
    <w:rsid w:val="00433FEB"/>
    <w:rsid w:val="0043622D"/>
    <w:rsid w:val="0043628F"/>
    <w:rsid w:val="00437535"/>
    <w:rsid w:val="00441D9B"/>
    <w:rsid w:val="0044247F"/>
    <w:rsid w:val="00442BE6"/>
    <w:rsid w:val="0044452B"/>
    <w:rsid w:val="00445908"/>
    <w:rsid w:val="00446BFE"/>
    <w:rsid w:val="00447F42"/>
    <w:rsid w:val="0045116A"/>
    <w:rsid w:val="00451E60"/>
    <w:rsid w:val="00452C48"/>
    <w:rsid w:val="00452E9D"/>
    <w:rsid w:val="0045304C"/>
    <w:rsid w:val="004530AC"/>
    <w:rsid w:val="0045354B"/>
    <w:rsid w:val="00453EB3"/>
    <w:rsid w:val="00454368"/>
    <w:rsid w:val="004547C0"/>
    <w:rsid w:val="00454AE8"/>
    <w:rsid w:val="00454D5E"/>
    <w:rsid w:val="004559D3"/>
    <w:rsid w:val="004561F5"/>
    <w:rsid w:val="00456D32"/>
    <w:rsid w:val="0045720E"/>
    <w:rsid w:val="00457853"/>
    <w:rsid w:val="00457902"/>
    <w:rsid w:val="00460B25"/>
    <w:rsid w:val="00461AD2"/>
    <w:rsid w:val="00462194"/>
    <w:rsid w:val="00462797"/>
    <w:rsid w:val="00463FC6"/>
    <w:rsid w:val="00464228"/>
    <w:rsid w:val="00467537"/>
    <w:rsid w:val="0047058E"/>
    <w:rsid w:val="00471026"/>
    <w:rsid w:val="004731CC"/>
    <w:rsid w:val="004732C0"/>
    <w:rsid w:val="00473A93"/>
    <w:rsid w:val="00474394"/>
    <w:rsid w:val="004744D3"/>
    <w:rsid w:val="00475EFF"/>
    <w:rsid w:val="00476144"/>
    <w:rsid w:val="0047786B"/>
    <w:rsid w:val="004822A1"/>
    <w:rsid w:val="00482D71"/>
    <w:rsid w:val="00482EF4"/>
    <w:rsid w:val="0048343C"/>
    <w:rsid w:val="00483A17"/>
    <w:rsid w:val="00483DD5"/>
    <w:rsid w:val="004845F1"/>
    <w:rsid w:val="00484BC2"/>
    <w:rsid w:val="004868FA"/>
    <w:rsid w:val="00486E8C"/>
    <w:rsid w:val="004872E3"/>
    <w:rsid w:val="00487630"/>
    <w:rsid w:val="004900C1"/>
    <w:rsid w:val="00490743"/>
    <w:rsid w:val="00491178"/>
    <w:rsid w:val="004914D1"/>
    <w:rsid w:val="00492FC4"/>
    <w:rsid w:val="00493037"/>
    <w:rsid w:val="00494CD3"/>
    <w:rsid w:val="00494FB3"/>
    <w:rsid w:val="004955A5"/>
    <w:rsid w:val="00495EF4"/>
    <w:rsid w:val="00496D19"/>
    <w:rsid w:val="00496DF9"/>
    <w:rsid w:val="00497240"/>
    <w:rsid w:val="004A035D"/>
    <w:rsid w:val="004A0F71"/>
    <w:rsid w:val="004A154E"/>
    <w:rsid w:val="004A15DE"/>
    <w:rsid w:val="004A2EFC"/>
    <w:rsid w:val="004A31C3"/>
    <w:rsid w:val="004A472E"/>
    <w:rsid w:val="004A4B6B"/>
    <w:rsid w:val="004A509F"/>
    <w:rsid w:val="004B0361"/>
    <w:rsid w:val="004B3904"/>
    <w:rsid w:val="004B42F1"/>
    <w:rsid w:val="004B572A"/>
    <w:rsid w:val="004B6157"/>
    <w:rsid w:val="004B7492"/>
    <w:rsid w:val="004B7C61"/>
    <w:rsid w:val="004C0E63"/>
    <w:rsid w:val="004C3546"/>
    <w:rsid w:val="004C3568"/>
    <w:rsid w:val="004C4638"/>
    <w:rsid w:val="004C60B8"/>
    <w:rsid w:val="004C7DD7"/>
    <w:rsid w:val="004D0FAF"/>
    <w:rsid w:val="004D18D0"/>
    <w:rsid w:val="004D27D6"/>
    <w:rsid w:val="004D2F5D"/>
    <w:rsid w:val="004D5771"/>
    <w:rsid w:val="004D79AD"/>
    <w:rsid w:val="004E493E"/>
    <w:rsid w:val="004E5733"/>
    <w:rsid w:val="004E6274"/>
    <w:rsid w:val="004E63CC"/>
    <w:rsid w:val="004F096E"/>
    <w:rsid w:val="004F0BE2"/>
    <w:rsid w:val="004F1E7F"/>
    <w:rsid w:val="004F256B"/>
    <w:rsid w:val="004F32A0"/>
    <w:rsid w:val="004F3BE5"/>
    <w:rsid w:val="004F40D9"/>
    <w:rsid w:val="004F4508"/>
    <w:rsid w:val="004F72C7"/>
    <w:rsid w:val="004F75A1"/>
    <w:rsid w:val="004F79BD"/>
    <w:rsid w:val="00502E98"/>
    <w:rsid w:val="005031B6"/>
    <w:rsid w:val="00506BC4"/>
    <w:rsid w:val="00507A63"/>
    <w:rsid w:val="00507D05"/>
    <w:rsid w:val="00510FCB"/>
    <w:rsid w:val="00513602"/>
    <w:rsid w:val="00514A88"/>
    <w:rsid w:val="005157A6"/>
    <w:rsid w:val="0051768F"/>
    <w:rsid w:val="0052067C"/>
    <w:rsid w:val="00522F30"/>
    <w:rsid w:val="00531479"/>
    <w:rsid w:val="005335EE"/>
    <w:rsid w:val="005343DE"/>
    <w:rsid w:val="005348EF"/>
    <w:rsid w:val="005351E9"/>
    <w:rsid w:val="005352D2"/>
    <w:rsid w:val="005353FE"/>
    <w:rsid w:val="005363D4"/>
    <w:rsid w:val="005374AC"/>
    <w:rsid w:val="005445D6"/>
    <w:rsid w:val="00545090"/>
    <w:rsid w:val="00546008"/>
    <w:rsid w:val="00546C44"/>
    <w:rsid w:val="005510FE"/>
    <w:rsid w:val="00556B35"/>
    <w:rsid w:val="00561EE2"/>
    <w:rsid w:val="005631AD"/>
    <w:rsid w:val="005639EA"/>
    <w:rsid w:val="00564BCE"/>
    <w:rsid w:val="005667D5"/>
    <w:rsid w:val="005722A1"/>
    <w:rsid w:val="00572319"/>
    <w:rsid w:val="00572841"/>
    <w:rsid w:val="00573B43"/>
    <w:rsid w:val="00574314"/>
    <w:rsid w:val="00575350"/>
    <w:rsid w:val="00575D08"/>
    <w:rsid w:val="00577298"/>
    <w:rsid w:val="00580DC4"/>
    <w:rsid w:val="00582323"/>
    <w:rsid w:val="0058536F"/>
    <w:rsid w:val="00585433"/>
    <w:rsid w:val="0058729F"/>
    <w:rsid w:val="005879C7"/>
    <w:rsid w:val="0059107D"/>
    <w:rsid w:val="005910A3"/>
    <w:rsid w:val="00591DD6"/>
    <w:rsid w:val="005925E4"/>
    <w:rsid w:val="00592A83"/>
    <w:rsid w:val="00593B07"/>
    <w:rsid w:val="00593E3E"/>
    <w:rsid w:val="005942EA"/>
    <w:rsid w:val="005943A7"/>
    <w:rsid w:val="00596832"/>
    <w:rsid w:val="005A1052"/>
    <w:rsid w:val="005A341D"/>
    <w:rsid w:val="005A3AA3"/>
    <w:rsid w:val="005A3FE0"/>
    <w:rsid w:val="005B2981"/>
    <w:rsid w:val="005B4A1C"/>
    <w:rsid w:val="005B522F"/>
    <w:rsid w:val="005B7710"/>
    <w:rsid w:val="005C10C7"/>
    <w:rsid w:val="005C206D"/>
    <w:rsid w:val="005C2C17"/>
    <w:rsid w:val="005C349D"/>
    <w:rsid w:val="005C3B23"/>
    <w:rsid w:val="005C4005"/>
    <w:rsid w:val="005C4BD3"/>
    <w:rsid w:val="005C6FD6"/>
    <w:rsid w:val="005C7A9F"/>
    <w:rsid w:val="005D0AF9"/>
    <w:rsid w:val="005D1E18"/>
    <w:rsid w:val="005D244B"/>
    <w:rsid w:val="005D2B37"/>
    <w:rsid w:val="005D3277"/>
    <w:rsid w:val="005D4715"/>
    <w:rsid w:val="005D6669"/>
    <w:rsid w:val="005D6F2C"/>
    <w:rsid w:val="005E0A0B"/>
    <w:rsid w:val="005E1812"/>
    <w:rsid w:val="005E1AF2"/>
    <w:rsid w:val="005E1D7A"/>
    <w:rsid w:val="005E2411"/>
    <w:rsid w:val="005E344F"/>
    <w:rsid w:val="005E3CEF"/>
    <w:rsid w:val="005E515C"/>
    <w:rsid w:val="005E51D2"/>
    <w:rsid w:val="005E6A91"/>
    <w:rsid w:val="005E70A6"/>
    <w:rsid w:val="005E725C"/>
    <w:rsid w:val="005F168A"/>
    <w:rsid w:val="005F177B"/>
    <w:rsid w:val="005F1840"/>
    <w:rsid w:val="005F218A"/>
    <w:rsid w:val="005F2846"/>
    <w:rsid w:val="005F2F06"/>
    <w:rsid w:val="005F356A"/>
    <w:rsid w:val="005F4685"/>
    <w:rsid w:val="005F5193"/>
    <w:rsid w:val="005F5C10"/>
    <w:rsid w:val="005F5C2F"/>
    <w:rsid w:val="005F710E"/>
    <w:rsid w:val="005F759F"/>
    <w:rsid w:val="005F7879"/>
    <w:rsid w:val="006007F6"/>
    <w:rsid w:val="00600A18"/>
    <w:rsid w:val="00600B0F"/>
    <w:rsid w:val="00601D94"/>
    <w:rsid w:val="00602D21"/>
    <w:rsid w:val="00604147"/>
    <w:rsid w:val="00605815"/>
    <w:rsid w:val="00605C82"/>
    <w:rsid w:val="0060617B"/>
    <w:rsid w:val="00607978"/>
    <w:rsid w:val="00607E92"/>
    <w:rsid w:val="00614A27"/>
    <w:rsid w:val="00615247"/>
    <w:rsid w:val="006155FC"/>
    <w:rsid w:val="00615695"/>
    <w:rsid w:val="0061714E"/>
    <w:rsid w:val="006203BD"/>
    <w:rsid w:val="0062059B"/>
    <w:rsid w:val="006207C0"/>
    <w:rsid w:val="006247BA"/>
    <w:rsid w:val="00624C5C"/>
    <w:rsid w:val="00626996"/>
    <w:rsid w:val="0062706C"/>
    <w:rsid w:val="00627E76"/>
    <w:rsid w:val="006323A6"/>
    <w:rsid w:val="00632B1F"/>
    <w:rsid w:val="006347F4"/>
    <w:rsid w:val="00635A99"/>
    <w:rsid w:val="00636A86"/>
    <w:rsid w:val="006409FF"/>
    <w:rsid w:val="00643D62"/>
    <w:rsid w:val="00645987"/>
    <w:rsid w:val="0065046E"/>
    <w:rsid w:val="006504EE"/>
    <w:rsid w:val="00650B00"/>
    <w:rsid w:val="00651EC2"/>
    <w:rsid w:val="0065259E"/>
    <w:rsid w:val="00652686"/>
    <w:rsid w:val="0065282A"/>
    <w:rsid w:val="00652F48"/>
    <w:rsid w:val="006536A9"/>
    <w:rsid w:val="00657C61"/>
    <w:rsid w:val="00657CB6"/>
    <w:rsid w:val="00657E00"/>
    <w:rsid w:val="006613A9"/>
    <w:rsid w:val="00661CAB"/>
    <w:rsid w:val="006625B4"/>
    <w:rsid w:val="006640FE"/>
    <w:rsid w:val="00664CBF"/>
    <w:rsid w:val="006650D3"/>
    <w:rsid w:val="00671255"/>
    <w:rsid w:val="00672BEE"/>
    <w:rsid w:val="00674467"/>
    <w:rsid w:val="0067448D"/>
    <w:rsid w:val="006762E5"/>
    <w:rsid w:val="006764C8"/>
    <w:rsid w:val="0067772C"/>
    <w:rsid w:val="006777A0"/>
    <w:rsid w:val="00677A00"/>
    <w:rsid w:val="006813C8"/>
    <w:rsid w:val="00681A3E"/>
    <w:rsid w:val="00682A07"/>
    <w:rsid w:val="00683B97"/>
    <w:rsid w:val="00683CCF"/>
    <w:rsid w:val="00683DC7"/>
    <w:rsid w:val="00683E06"/>
    <w:rsid w:val="006846ED"/>
    <w:rsid w:val="0068568E"/>
    <w:rsid w:val="00685B51"/>
    <w:rsid w:val="00685E07"/>
    <w:rsid w:val="006876B7"/>
    <w:rsid w:val="0069068B"/>
    <w:rsid w:val="006931D5"/>
    <w:rsid w:val="00694103"/>
    <w:rsid w:val="0069607E"/>
    <w:rsid w:val="006974FC"/>
    <w:rsid w:val="006A0482"/>
    <w:rsid w:val="006A13BF"/>
    <w:rsid w:val="006A4046"/>
    <w:rsid w:val="006A53F6"/>
    <w:rsid w:val="006A5585"/>
    <w:rsid w:val="006B1CBE"/>
    <w:rsid w:val="006B432F"/>
    <w:rsid w:val="006B7C24"/>
    <w:rsid w:val="006B7CF9"/>
    <w:rsid w:val="006C00A1"/>
    <w:rsid w:val="006C0139"/>
    <w:rsid w:val="006C111C"/>
    <w:rsid w:val="006C1AEE"/>
    <w:rsid w:val="006C27E2"/>
    <w:rsid w:val="006C3927"/>
    <w:rsid w:val="006C51F7"/>
    <w:rsid w:val="006C5261"/>
    <w:rsid w:val="006C6452"/>
    <w:rsid w:val="006C6761"/>
    <w:rsid w:val="006C7EC0"/>
    <w:rsid w:val="006D0368"/>
    <w:rsid w:val="006D2333"/>
    <w:rsid w:val="006D2DEC"/>
    <w:rsid w:val="006D3DBE"/>
    <w:rsid w:val="006D571E"/>
    <w:rsid w:val="006D6CC7"/>
    <w:rsid w:val="006D70CD"/>
    <w:rsid w:val="006D7C85"/>
    <w:rsid w:val="006E1CA2"/>
    <w:rsid w:val="006E2C81"/>
    <w:rsid w:val="006E343F"/>
    <w:rsid w:val="006E42F5"/>
    <w:rsid w:val="006E4AA9"/>
    <w:rsid w:val="006E53D1"/>
    <w:rsid w:val="006E6DB3"/>
    <w:rsid w:val="006E7CC1"/>
    <w:rsid w:val="006F0B6B"/>
    <w:rsid w:val="006F1E01"/>
    <w:rsid w:val="006F47C8"/>
    <w:rsid w:val="006F4AF5"/>
    <w:rsid w:val="006F51F9"/>
    <w:rsid w:val="006F715C"/>
    <w:rsid w:val="006F7A23"/>
    <w:rsid w:val="0070010D"/>
    <w:rsid w:val="007004DA"/>
    <w:rsid w:val="00701726"/>
    <w:rsid w:val="007031E2"/>
    <w:rsid w:val="00703733"/>
    <w:rsid w:val="00704A0D"/>
    <w:rsid w:val="00711B43"/>
    <w:rsid w:val="007122CC"/>
    <w:rsid w:val="00716799"/>
    <w:rsid w:val="0072229D"/>
    <w:rsid w:val="00731F6A"/>
    <w:rsid w:val="007339FC"/>
    <w:rsid w:val="00733A81"/>
    <w:rsid w:val="0073548A"/>
    <w:rsid w:val="007375CF"/>
    <w:rsid w:val="00737F14"/>
    <w:rsid w:val="00740BD4"/>
    <w:rsid w:val="00742F5B"/>
    <w:rsid w:val="0074328B"/>
    <w:rsid w:val="007500A2"/>
    <w:rsid w:val="00751A18"/>
    <w:rsid w:val="0075426C"/>
    <w:rsid w:val="00754B6C"/>
    <w:rsid w:val="007609DE"/>
    <w:rsid w:val="00760D7B"/>
    <w:rsid w:val="00762176"/>
    <w:rsid w:val="0076664B"/>
    <w:rsid w:val="00766D48"/>
    <w:rsid w:val="00773ADD"/>
    <w:rsid w:val="00774FA0"/>
    <w:rsid w:val="00777A11"/>
    <w:rsid w:val="00780026"/>
    <w:rsid w:val="0078013B"/>
    <w:rsid w:val="00780E9B"/>
    <w:rsid w:val="00784027"/>
    <w:rsid w:val="007848F3"/>
    <w:rsid w:val="00784C7B"/>
    <w:rsid w:val="007857B4"/>
    <w:rsid w:val="007864C1"/>
    <w:rsid w:val="00786718"/>
    <w:rsid w:val="00791CE4"/>
    <w:rsid w:val="00794312"/>
    <w:rsid w:val="0079518B"/>
    <w:rsid w:val="00797D46"/>
    <w:rsid w:val="007A01CC"/>
    <w:rsid w:val="007A0524"/>
    <w:rsid w:val="007A2365"/>
    <w:rsid w:val="007A2597"/>
    <w:rsid w:val="007A25C9"/>
    <w:rsid w:val="007A2CC5"/>
    <w:rsid w:val="007A2D4A"/>
    <w:rsid w:val="007A32BB"/>
    <w:rsid w:val="007A4679"/>
    <w:rsid w:val="007A4C9D"/>
    <w:rsid w:val="007A5DFF"/>
    <w:rsid w:val="007B0E42"/>
    <w:rsid w:val="007B149E"/>
    <w:rsid w:val="007B19B1"/>
    <w:rsid w:val="007B1D16"/>
    <w:rsid w:val="007B1E6B"/>
    <w:rsid w:val="007B2DB4"/>
    <w:rsid w:val="007B3B56"/>
    <w:rsid w:val="007B403A"/>
    <w:rsid w:val="007B4213"/>
    <w:rsid w:val="007B4677"/>
    <w:rsid w:val="007B497F"/>
    <w:rsid w:val="007B4ED1"/>
    <w:rsid w:val="007B794B"/>
    <w:rsid w:val="007C0DEC"/>
    <w:rsid w:val="007C104E"/>
    <w:rsid w:val="007C1ECE"/>
    <w:rsid w:val="007C3820"/>
    <w:rsid w:val="007C4C18"/>
    <w:rsid w:val="007C574F"/>
    <w:rsid w:val="007D1A32"/>
    <w:rsid w:val="007D2E99"/>
    <w:rsid w:val="007D3FA4"/>
    <w:rsid w:val="007D5153"/>
    <w:rsid w:val="007D620F"/>
    <w:rsid w:val="007E14BD"/>
    <w:rsid w:val="007E31EA"/>
    <w:rsid w:val="007E3B25"/>
    <w:rsid w:val="007E3B7D"/>
    <w:rsid w:val="007E5A22"/>
    <w:rsid w:val="007E75E3"/>
    <w:rsid w:val="007E7710"/>
    <w:rsid w:val="007F15AC"/>
    <w:rsid w:val="007F2008"/>
    <w:rsid w:val="007F22AC"/>
    <w:rsid w:val="007F29E1"/>
    <w:rsid w:val="007F42E3"/>
    <w:rsid w:val="007F4388"/>
    <w:rsid w:val="007F4788"/>
    <w:rsid w:val="007F618A"/>
    <w:rsid w:val="00801104"/>
    <w:rsid w:val="00801432"/>
    <w:rsid w:val="00802290"/>
    <w:rsid w:val="00803305"/>
    <w:rsid w:val="0080375B"/>
    <w:rsid w:val="00803FCC"/>
    <w:rsid w:val="008041F5"/>
    <w:rsid w:val="00804F53"/>
    <w:rsid w:val="0081042F"/>
    <w:rsid w:val="00811EBB"/>
    <w:rsid w:val="008120AF"/>
    <w:rsid w:val="008125B6"/>
    <w:rsid w:val="00812625"/>
    <w:rsid w:val="00814DBF"/>
    <w:rsid w:val="00817759"/>
    <w:rsid w:val="00817C8F"/>
    <w:rsid w:val="00820982"/>
    <w:rsid w:val="008213C2"/>
    <w:rsid w:val="0082170D"/>
    <w:rsid w:val="0082187A"/>
    <w:rsid w:val="00822223"/>
    <w:rsid w:val="00822802"/>
    <w:rsid w:val="00825521"/>
    <w:rsid w:val="00831989"/>
    <w:rsid w:val="00831EBD"/>
    <w:rsid w:val="00832E32"/>
    <w:rsid w:val="00836BE4"/>
    <w:rsid w:val="008378B4"/>
    <w:rsid w:val="00840A1A"/>
    <w:rsid w:val="00840D02"/>
    <w:rsid w:val="00842196"/>
    <w:rsid w:val="008431E0"/>
    <w:rsid w:val="00843A16"/>
    <w:rsid w:val="00844665"/>
    <w:rsid w:val="00845E4B"/>
    <w:rsid w:val="00846735"/>
    <w:rsid w:val="00846837"/>
    <w:rsid w:val="00846E42"/>
    <w:rsid w:val="00850601"/>
    <w:rsid w:val="00852698"/>
    <w:rsid w:val="008527C1"/>
    <w:rsid w:val="00852948"/>
    <w:rsid w:val="00853065"/>
    <w:rsid w:val="00854598"/>
    <w:rsid w:val="008558F6"/>
    <w:rsid w:val="00856BDC"/>
    <w:rsid w:val="00857CBA"/>
    <w:rsid w:val="00861C4F"/>
    <w:rsid w:val="00862D0B"/>
    <w:rsid w:val="00863D30"/>
    <w:rsid w:val="008642DF"/>
    <w:rsid w:val="0086434F"/>
    <w:rsid w:val="00864FC3"/>
    <w:rsid w:val="00865AD8"/>
    <w:rsid w:val="00866CE0"/>
    <w:rsid w:val="008721CC"/>
    <w:rsid w:val="00872226"/>
    <w:rsid w:val="0087239F"/>
    <w:rsid w:val="00872591"/>
    <w:rsid w:val="00872695"/>
    <w:rsid w:val="00872B47"/>
    <w:rsid w:val="00873208"/>
    <w:rsid w:val="00874730"/>
    <w:rsid w:val="00874C4D"/>
    <w:rsid w:val="008751CE"/>
    <w:rsid w:val="00875F84"/>
    <w:rsid w:val="008773C3"/>
    <w:rsid w:val="00877623"/>
    <w:rsid w:val="008824EE"/>
    <w:rsid w:val="00882B7E"/>
    <w:rsid w:val="00882D96"/>
    <w:rsid w:val="00883EFA"/>
    <w:rsid w:val="0088546F"/>
    <w:rsid w:val="00885A80"/>
    <w:rsid w:val="008867F6"/>
    <w:rsid w:val="008874BC"/>
    <w:rsid w:val="00887818"/>
    <w:rsid w:val="00892C54"/>
    <w:rsid w:val="00893260"/>
    <w:rsid w:val="008952E6"/>
    <w:rsid w:val="0089533A"/>
    <w:rsid w:val="00896227"/>
    <w:rsid w:val="008A063A"/>
    <w:rsid w:val="008A0CAF"/>
    <w:rsid w:val="008A146D"/>
    <w:rsid w:val="008A37E3"/>
    <w:rsid w:val="008A5294"/>
    <w:rsid w:val="008A6398"/>
    <w:rsid w:val="008A73CB"/>
    <w:rsid w:val="008A79AF"/>
    <w:rsid w:val="008A7FE6"/>
    <w:rsid w:val="008B02D1"/>
    <w:rsid w:val="008B14A2"/>
    <w:rsid w:val="008B1A8D"/>
    <w:rsid w:val="008B1C28"/>
    <w:rsid w:val="008B2726"/>
    <w:rsid w:val="008B31F8"/>
    <w:rsid w:val="008B6655"/>
    <w:rsid w:val="008B7A52"/>
    <w:rsid w:val="008B7F12"/>
    <w:rsid w:val="008C00EC"/>
    <w:rsid w:val="008C0773"/>
    <w:rsid w:val="008C0CE5"/>
    <w:rsid w:val="008C1F78"/>
    <w:rsid w:val="008C435C"/>
    <w:rsid w:val="008C5ABC"/>
    <w:rsid w:val="008C5C88"/>
    <w:rsid w:val="008D095A"/>
    <w:rsid w:val="008D1FCD"/>
    <w:rsid w:val="008D305E"/>
    <w:rsid w:val="008D3453"/>
    <w:rsid w:val="008D5CE0"/>
    <w:rsid w:val="008D75EB"/>
    <w:rsid w:val="008E0A3D"/>
    <w:rsid w:val="008E0A75"/>
    <w:rsid w:val="008E0EAF"/>
    <w:rsid w:val="008E1805"/>
    <w:rsid w:val="008E6453"/>
    <w:rsid w:val="008F5BCA"/>
    <w:rsid w:val="008F6A8E"/>
    <w:rsid w:val="009027ED"/>
    <w:rsid w:val="00902821"/>
    <w:rsid w:val="00903409"/>
    <w:rsid w:val="00903846"/>
    <w:rsid w:val="00904A07"/>
    <w:rsid w:val="0090525F"/>
    <w:rsid w:val="00911B9C"/>
    <w:rsid w:val="00913598"/>
    <w:rsid w:val="00915D0C"/>
    <w:rsid w:val="00917927"/>
    <w:rsid w:val="009201BE"/>
    <w:rsid w:val="00920B05"/>
    <w:rsid w:val="00924453"/>
    <w:rsid w:val="009254FA"/>
    <w:rsid w:val="00925BAC"/>
    <w:rsid w:val="00927A4E"/>
    <w:rsid w:val="00932EB4"/>
    <w:rsid w:val="00933606"/>
    <w:rsid w:val="009340B2"/>
    <w:rsid w:val="00934C7F"/>
    <w:rsid w:val="00935429"/>
    <w:rsid w:val="009369AB"/>
    <w:rsid w:val="00936BC3"/>
    <w:rsid w:val="009374CE"/>
    <w:rsid w:val="00940371"/>
    <w:rsid w:val="00940671"/>
    <w:rsid w:val="0094076F"/>
    <w:rsid w:val="00940ECD"/>
    <w:rsid w:val="00941A6A"/>
    <w:rsid w:val="00941C25"/>
    <w:rsid w:val="00942B42"/>
    <w:rsid w:val="0094326B"/>
    <w:rsid w:val="0094365B"/>
    <w:rsid w:val="0094415E"/>
    <w:rsid w:val="0094416B"/>
    <w:rsid w:val="00946625"/>
    <w:rsid w:val="00951733"/>
    <w:rsid w:val="009519FC"/>
    <w:rsid w:val="00952317"/>
    <w:rsid w:val="00953A8D"/>
    <w:rsid w:val="0095692A"/>
    <w:rsid w:val="00957D8E"/>
    <w:rsid w:val="0096040D"/>
    <w:rsid w:val="009606C6"/>
    <w:rsid w:val="00960AA9"/>
    <w:rsid w:val="00960D9D"/>
    <w:rsid w:val="00961811"/>
    <w:rsid w:val="009622C7"/>
    <w:rsid w:val="009663D4"/>
    <w:rsid w:val="00970F6A"/>
    <w:rsid w:val="009712C8"/>
    <w:rsid w:val="0097190C"/>
    <w:rsid w:val="009765DD"/>
    <w:rsid w:val="009775E7"/>
    <w:rsid w:val="0098097B"/>
    <w:rsid w:val="00981906"/>
    <w:rsid w:val="00982E10"/>
    <w:rsid w:val="00985129"/>
    <w:rsid w:val="009853F7"/>
    <w:rsid w:val="00985BC6"/>
    <w:rsid w:val="00986CB7"/>
    <w:rsid w:val="00990CCF"/>
    <w:rsid w:val="009918D7"/>
    <w:rsid w:val="009919C7"/>
    <w:rsid w:val="00992DE5"/>
    <w:rsid w:val="009932CC"/>
    <w:rsid w:val="0099432E"/>
    <w:rsid w:val="0099453D"/>
    <w:rsid w:val="009951C5"/>
    <w:rsid w:val="00996D23"/>
    <w:rsid w:val="00997A92"/>
    <w:rsid w:val="009A0A11"/>
    <w:rsid w:val="009A1504"/>
    <w:rsid w:val="009A1864"/>
    <w:rsid w:val="009A1C69"/>
    <w:rsid w:val="009A1F7C"/>
    <w:rsid w:val="009A281D"/>
    <w:rsid w:val="009A28D5"/>
    <w:rsid w:val="009A3393"/>
    <w:rsid w:val="009A43A3"/>
    <w:rsid w:val="009A5FEB"/>
    <w:rsid w:val="009A7A34"/>
    <w:rsid w:val="009B0288"/>
    <w:rsid w:val="009B077D"/>
    <w:rsid w:val="009B0FA0"/>
    <w:rsid w:val="009B5162"/>
    <w:rsid w:val="009B5599"/>
    <w:rsid w:val="009B5BD8"/>
    <w:rsid w:val="009C0FD7"/>
    <w:rsid w:val="009C3C8C"/>
    <w:rsid w:val="009C4B4C"/>
    <w:rsid w:val="009C4C54"/>
    <w:rsid w:val="009C4FD2"/>
    <w:rsid w:val="009C7161"/>
    <w:rsid w:val="009C76C1"/>
    <w:rsid w:val="009D05EC"/>
    <w:rsid w:val="009D11D6"/>
    <w:rsid w:val="009D3AF6"/>
    <w:rsid w:val="009D3F08"/>
    <w:rsid w:val="009D4019"/>
    <w:rsid w:val="009D628C"/>
    <w:rsid w:val="009E0427"/>
    <w:rsid w:val="009E11BA"/>
    <w:rsid w:val="009E141B"/>
    <w:rsid w:val="009E2D6C"/>
    <w:rsid w:val="009E660D"/>
    <w:rsid w:val="009F0D28"/>
    <w:rsid w:val="009F50D8"/>
    <w:rsid w:val="009F7E80"/>
    <w:rsid w:val="00A03535"/>
    <w:rsid w:val="00A045A2"/>
    <w:rsid w:val="00A04B6D"/>
    <w:rsid w:val="00A06DD7"/>
    <w:rsid w:val="00A12BCC"/>
    <w:rsid w:val="00A14318"/>
    <w:rsid w:val="00A14F4E"/>
    <w:rsid w:val="00A167FB"/>
    <w:rsid w:val="00A174F5"/>
    <w:rsid w:val="00A20E1D"/>
    <w:rsid w:val="00A2178C"/>
    <w:rsid w:val="00A241E3"/>
    <w:rsid w:val="00A3011F"/>
    <w:rsid w:val="00A32095"/>
    <w:rsid w:val="00A32C7A"/>
    <w:rsid w:val="00A32E70"/>
    <w:rsid w:val="00A33E33"/>
    <w:rsid w:val="00A34D08"/>
    <w:rsid w:val="00A43557"/>
    <w:rsid w:val="00A44D85"/>
    <w:rsid w:val="00A45025"/>
    <w:rsid w:val="00A45844"/>
    <w:rsid w:val="00A45FCB"/>
    <w:rsid w:val="00A4687F"/>
    <w:rsid w:val="00A51077"/>
    <w:rsid w:val="00A51224"/>
    <w:rsid w:val="00A53A6B"/>
    <w:rsid w:val="00A5433B"/>
    <w:rsid w:val="00A54C60"/>
    <w:rsid w:val="00A54E1A"/>
    <w:rsid w:val="00A55441"/>
    <w:rsid w:val="00A56A48"/>
    <w:rsid w:val="00A56DEC"/>
    <w:rsid w:val="00A60B48"/>
    <w:rsid w:val="00A60DE4"/>
    <w:rsid w:val="00A612FF"/>
    <w:rsid w:val="00A614D0"/>
    <w:rsid w:val="00A62BFB"/>
    <w:rsid w:val="00A6462A"/>
    <w:rsid w:val="00A65FDE"/>
    <w:rsid w:val="00A6602B"/>
    <w:rsid w:val="00A66E8A"/>
    <w:rsid w:val="00A713C0"/>
    <w:rsid w:val="00A71943"/>
    <w:rsid w:val="00A730EF"/>
    <w:rsid w:val="00A7361D"/>
    <w:rsid w:val="00A7456C"/>
    <w:rsid w:val="00A75588"/>
    <w:rsid w:val="00A772B5"/>
    <w:rsid w:val="00A778FF"/>
    <w:rsid w:val="00A77D5D"/>
    <w:rsid w:val="00A80635"/>
    <w:rsid w:val="00A82118"/>
    <w:rsid w:val="00A82EA9"/>
    <w:rsid w:val="00A84077"/>
    <w:rsid w:val="00A878B6"/>
    <w:rsid w:val="00A87BD4"/>
    <w:rsid w:val="00A91E7F"/>
    <w:rsid w:val="00A95C14"/>
    <w:rsid w:val="00A95FAA"/>
    <w:rsid w:val="00A9666F"/>
    <w:rsid w:val="00A97BA6"/>
    <w:rsid w:val="00A97C92"/>
    <w:rsid w:val="00AA0797"/>
    <w:rsid w:val="00AA2F4F"/>
    <w:rsid w:val="00AA4BFF"/>
    <w:rsid w:val="00AA7011"/>
    <w:rsid w:val="00AB0069"/>
    <w:rsid w:val="00AB18A3"/>
    <w:rsid w:val="00AB24E1"/>
    <w:rsid w:val="00AB2AB3"/>
    <w:rsid w:val="00AB3D71"/>
    <w:rsid w:val="00AB6EAC"/>
    <w:rsid w:val="00AC07A4"/>
    <w:rsid w:val="00AC271E"/>
    <w:rsid w:val="00AC67A5"/>
    <w:rsid w:val="00AD0EF9"/>
    <w:rsid w:val="00AD1F3F"/>
    <w:rsid w:val="00AD2944"/>
    <w:rsid w:val="00AD29F5"/>
    <w:rsid w:val="00AD35EF"/>
    <w:rsid w:val="00AD4A4D"/>
    <w:rsid w:val="00AD57B1"/>
    <w:rsid w:val="00AD612A"/>
    <w:rsid w:val="00AD7A2D"/>
    <w:rsid w:val="00AE052C"/>
    <w:rsid w:val="00AE2F42"/>
    <w:rsid w:val="00AE33A9"/>
    <w:rsid w:val="00AE4335"/>
    <w:rsid w:val="00AE4666"/>
    <w:rsid w:val="00AE5255"/>
    <w:rsid w:val="00AF0C56"/>
    <w:rsid w:val="00AF140A"/>
    <w:rsid w:val="00AF1F7E"/>
    <w:rsid w:val="00AF2869"/>
    <w:rsid w:val="00AF2CDB"/>
    <w:rsid w:val="00AF4251"/>
    <w:rsid w:val="00AF4AEB"/>
    <w:rsid w:val="00AF539D"/>
    <w:rsid w:val="00AF59B9"/>
    <w:rsid w:val="00AF5A5E"/>
    <w:rsid w:val="00AF7241"/>
    <w:rsid w:val="00AF7DA3"/>
    <w:rsid w:val="00B001E4"/>
    <w:rsid w:val="00B0153A"/>
    <w:rsid w:val="00B0169A"/>
    <w:rsid w:val="00B03CE1"/>
    <w:rsid w:val="00B045F0"/>
    <w:rsid w:val="00B04889"/>
    <w:rsid w:val="00B04DC4"/>
    <w:rsid w:val="00B05CA8"/>
    <w:rsid w:val="00B06013"/>
    <w:rsid w:val="00B06CAC"/>
    <w:rsid w:val="00B07049"/>
    <w:rsid w:val="00B07790"/>
    <w:rsid w:val="00B1380A"/>
    <w:rsid w:val="00B13902"/>
    <w:rsid w:val="00B13FA7"/>
    <w:rsid w:val="00B14244"/>
    <w:rsid w:val="00B1506B"/>
    <w:rsid w:val="00B238AA"/>
    <w:rsid w:val="00B24B2E"/>
    <w:rsid w:val="00B24DB2"/>
    <w:rsid w:val="00B251E2"/>
    <w:rsid w:val="00B25570"/>
    <w:rsid w:val="00B2579E"/>
    <w:rsid w:val="00B25DA5"/>
    <w:rsid w:val="00B260DF"/>
    <w:rsid w:val="00B31660"/>
    <w:rsid w:val="00B3394C"/>
    <w:rsid w:val="00B33AC0"/>
    <w:rsid w:val="00B34081"/>
    <w:rsid w:val="00B35386"/>
    <w:rsid w:val="00B356C3"/>
    <w:rsid w:val="00B35BF4"/>
    <w:rsid w:val="00B362C6"/>
    <w:rsid w:val="00B37E3B"/>
    <w:rsid w:val="00B40BE8"/>
    <w:rsid w:val="00B41994"/>
    <w:rsid w:val="00B42655"/>
    <w:rsid w:val="00B44BDA"/>
    <w:rsid w:val="00B4503B"/>
    <w:rsid w:val="00B453F2"/>
    <w:rsid w:val="00B462E6"/>
    <w:rsid w:val="00B46EBD"/>
    <w:rsid w:val="00B50638"/>
    <w:rsid w:val="00B51489"/>
    <w:rsid w:val="00B5163B"/>
    <w:rsid w:val="00B51651"/>
    <w:rsid w:val="00B525EE"/>
    <w:rsid w:val="00B55021"/>
    <w:rsid w:val="00B562C4"/>
    <w:rsid w:val="00B56F0A"/>
    <w:rsid w:val="00B571D5"/>
    <w:rsid w:val="00B57273"/>
    <w:rsid w:val="00B6012E"/>
    <w:rsid w:val="00B6112C"/>
    <w:rsid w:val="00B61C6C"/>
    <w:rsid w:val="00B622E7"/>
    <w:rsid w:val="00B62C96"/>
    <w:rsid w:val="00B6380C"/>
    <w:rsid w:val="00B63F64"/>
    <w:rsid w:val="00B641A3"/>
    <w:rsid w:val="00B6545B"/>
    <w:rsid w:val="00B6556C"/>
    <w:rsid w:val="00B6734D"/>
    <w:rsid w:val="00B67AA9"/>
    <w:rsid w:val="00B72333"/>
    <w:rsid w:val="00B72B76"/>
    <w:rsid w:val="00B72F4B"/>
    <w:rsid w:val="00B73DAC"/>
    <w:rsid w:val="00B744B2"/>
    <w:rsid w:val="00B7597A"/>
    <w:rsid w:val="00B75E8C"/>
    <w:rsid w:val="00B7603F"/>
    <w:rsid w:val="00B76E5E"/>
    <w:rsid w:val="00B77EF4"/>
    <w:rsid w:val="00B815E2"/>
    <w:rsid w:val="00B846D4"/>
    <w:rsid w:val="00B84A71"/>
    <w:rsid w:val="00B84E96"/>
    <w:rsid w:val="00B8544D"/>
    <w:rsid w:val="00B85C07"/>
    <w:rsid w:val="00B871A9"/>
    <w:rsid w:val="00B878CE"/>
    <w:rsid w:val="00B87B22"/>
    <w:rsid w:val="00B87F9C"/>
    <w:rsid w:val="00B906FF"/>
    <w:rsid w:val="00B9211C"/>
    <w:rsid w:val="00B92EEC"/>
    <w:rsid w:val="00B938E1"/>
    <w:rsid w:val="00B950A5"/>
    <w:rsid w:val="00B95C83"/>
    <w:rsid w:val="00B96656"/>
    <w:rsid w:val="00B97541"/>
    <w:rsid w:val="00BA1CA0"/>
    <w:rsid w:val="00BA455A"/>
    <w:rsid w:val="00BA5528"/>
    <w:rsid w:val="00BA688E"/>
    <w:rsid w:val="00BB0742"/>
    <w:rsid w:val="00BB1B0D"/>
    <w:rsid w:val="00BB2B46"/>
    <w:rsid w:val="00BB6818"/>
    <w:rsid w:val="00BC013C"/>
    <w:rsid w:val="00BC0541"/>
    <w:rsid w:val="00BC0C96"/>
    <w:rsid w:val="00BC328D"/>
    <w:rsid w:val="00BC36DE"/>
    <w:rsid w:val="00BC395B"/>
    <w:rsid w:val="00BC3F67"/>
    <w:rsid w:val="00BC45BA"/>
    <w:rsid w:val="00BC5F4E"/>
    <w:rsid w:val="00BC5FDE"/>
    <w:rsid w:val="00BC7297"/>
    <w:rsid w:val="00BC72EA"/>
    <w:rsid w:val="00BD0240"/>
    <w:rsid w:val="00BD0822"/>
    <w:rsid w:val="00BD1E79"/>
    <w:rsid w:val="00BD2C19"/>
    <w:rsid w:val="00BD5E01"/>
    <w:rsid w:val="00BD799F"/>
    <w:rsid w:val="00BE0125"/>
    <w:rsid w:val="00BE0A98"/>
    <w:rsid w:val="00BE13D4"/>
    <w:rsid w:val="00BE1867"/>
    <w:rsid w:val="00BE2196"/>
    <w:rsid w:val="00BE2C5E"/>
    <w:rsid w:val="00BE5FB6"/>
    <w:rsid w:val="00BE79DB"/>
    <w:rsid w:val="00BF11D7"/>
    <w:rsid w:val="00BF467C"/>
    <w:rsid w:val="00BF59B0"/>
    <w:rsid w:val="00BF7D62"/>
    <w:rsid w:val="00C0130E"/>
    <w:rsid w:val="00C0272E"/>
    <w:rsid w:val="00C02B41"/>
    <w:rsid w:val="00C04D36"/>
    <w:rsid w:val="00C04DB4"/>
    <w:rsid w:val="00C05EB3"/>
    <w:rsid w:val="00C06FCE"/>
    <w:rsid w:val="00C072E5"/>
    <w:rsid w:val="00C07C03"/>
    <w:rsid w:val="00C10747"/>
    <w:rsid w:val="00C10EB5"/>
    <w:rsid w:val="00C12025"/>
    <w:rsid w:val="00C133C8"/>
    <w:rsid w:val="00C1447E"/>
    <w:rsid w:val="00C153E6"/>
    <w:rsid w:val="00C15F7E"/>
    <w:rsid w:val="00C21159"/>
    <w:rsid w:val="00C21535"/>
    <w:rsid w:val="00C21650"/>
    <w:rsid w:val="00C265C0"/>
    <w:rsid w:val="00C27482"/>
    <w:rsid w:val="00C27872"/>
    <w:rsid w:val="00C30595"/>
    <w:rsid w:val="00C308F3"/>
    <w:rsid w:val="00C30AAD"/>
    <w:rsid w:val="00C311B3"/>
    <w:rsid w:val="00C33D9D"/>
    <w:rsid w:val="00C35637"/>
    <w:rsid w:val="00C3576B"/>
    <w:rsid w:val="00C36AC4"/>
    <w:rsid w:val="00C418FA"/>
    <w:rsid w:val="00C44424"/>
    <w:rsid w:val="00C44FA7"/>
    <w:rsid w:val="00C46C5F"/>
    <w:rsid w:val="00C472A4"/>
    <w:rsid w:val="00C537EB"/>
    <w:rsid w:val="00C61A21"/>
    <w:rsid w:val="00C62EDF"/>
    <w:rsid w:val="00C630B4"/>
    <w:rsid w:val="00C654F4"/>
    <w:rsid w:val="00C66654"/>
    <w:rsid w:val="00C706EC"/>
    <w:rsid w:val="00C7185F"/>
    <w:rsid w:val="00C71F95"/>
    <w:rsid w:val="00C724E0"/>
    <w:rsid w:val="00C72C64"/>
    <w:rsid w:val="00C73585"/>
    <w:rsid w:val="00C73C0D"/>
    <w:rsid w:val="00C7436B"/>
    <w:rsid w:val="00C7586A"/>
    <w:rsid w:val="00C76480"/>
    <w:rsid w:val="00C77547"/>
    <w:rsid w:val="00C778E6"/>
    <w:rsid w:val="00C81B64"/>
    <w:rsid w:val="00C81E07"/>
    <w:rsid w:val="00C82DC6"/>
    <w:rsid w:val="00C8388D"/>
    <w:rsid w:val="00C838E9"/>
    <w:rsid w:val="00C839A9"/>
    <w:rsid w:val="00C83FB4"/>
    <w:rsid w:val="00C849C6"/>
    <w:rsid w:val="00C85D6A"/>
    <w:rsid w:val="00C874E9"/>
    <w:rsid w:val="00C9040A"/>
    <w:rsid w:val="00C90AFC"/>
    <w:rsid w:val="00C94693"/>
    <w:rsid w:val="00C94898"/>
    <w:rsid w:val="00CA2D32"/>
    <w:rsid w:val="00CA3FE6"/>
    <w:rsid w:val="00CA6414"/>
    <w:rsid w:val="00CA70A4"/>
    <w:rsid w:val="00CA74DC"/>
    <w:rsid w:val="00CB2AB7"/>
    <w:rsid w:val="00CC0083"/>
    <w:rsid w:val="00CC27F3"/>
    <w:rsid w:val="00CC3194"/>
    <w:rsid w:val="00CC3562"/>
    <w:rsid w:val="00CC356F"/>
    <w:rsid w:val="00CC4D63"/>
    <w:rsid w:val="00CC5E5B"/>
    <w:rsid w:val="00CC61A5"/>
    <w:rsid w:val="00CC772A"/>
    <w:rsid w:val="00CC7E08"/>
    <w:rsid w:val="00CD14DB"/>
    <w:rsid w:val="00CD1D6E"/>
    <w:rsid w:val="00CD6D72"/>
    <w:rsid w:val="00CD7B93"/>
    <w:rsid w:val="00CE0348"/>
    <w:rsid w:val="00CE2E0F"/>
    <w:rsid w:val="00CE5FE4"/>
    <w:rsid w:val="00CE6283"/>
    <w:rsid w:val="00CE67AA"/>
    <w:rsid w:val="00CE6F33"/>
    <w:rsid w:val="00CE73B5"/>
    <w:rsid w:val="00CE791D"/>
    <w:rsid w:val="00CE79D7"/>
    <w:rsid w:val="00CE7CE3"/>
    <w:rsid w:val="00CF2071"/>
    <w:rsid w:val="00CF244E"/>
    <w:rsid w:val="00CF278D"/>
    <w:rsid w:val="00CF2FE9"/>
    <w:rsid w:val="00CF37C7"/>
    <w:rsid w:val="00CF3CF8"/>
    <w:rsid w:val="00CF4629"/>
    <w:rsid w:val="00CF474D"/>
    <w:rsid w:val="00CF5A64"/>
    <w:rsid w:val="00CF6622"/>
    <w:rsid w:val="00CF749A"/>
    <w:rsid w:val="00D0089A"/>
    <w:rsid w:val="00D014C7"/>
    <w:rsid w:val="00D01548"/>
    <w:rsid w:val="00D03639"/>
    <w:rsid w:val="00D04D5F"/>
    <w:rsid w:val="00D04DD6"/>
    <w:rsid w:val="00D04DFA"/>
    <w:rsid w:val="00D0597F"/>
    <w:rsid w:val="00D05C91"/>
    <w:rsid w:val="00D05F35"/>
    <w:rsid w:val="00D06393"/>
    <w:rsid w:val="00D06E5E"/>
    <w:rsid w:val="00D06F79"/>
    <w:rsid w:val="00D07E1E"/>
    <w:rsid w:val="00D10597"/>
    <w:rsid w:val="00D10BC4"/>
    <w:rsid w:val="00D120A3"/>
    <w:rsid w:val="00D13288"/>
    <w:rsid w:val="00D13AF8"/>
    <w:rsid w:val="00D1584B"/>
    <w:rsid w:val="00D20601"/>
    <w:rsid w:val="00D219E9"/>
    <w:rsid w:val="00D2205B"/>
    <w:rsid w:val="00D23418"/>
    <w:rsid w:val="00D23A1A"/>
    <w:rsid w:val="00D24606"/>
    <w:rsid w:val="00D2620A"/>
    <w:rsid w:val="00D3056A"/>
    <w:rsid w:val="00D3064D"/>
    <w:rsid w:val="00D30AED"/>
    <w:rsid w:val="00D30F84"/>
    <w:rsid w:val="00D31091"/>
    <w:rsid w:val="00D33CFE"/>
    <w:rsid w:val="00D33DDE"/>
    <w:rsid w:val="00D34DA4"/>
    <w:rsid w:val="00D35C1D"/>
    <w:rsid w:val="00D3752F"/>
    <w:rsid w:val="00D40DDE"/>
    <w:rsid w:val="00D42D78"/>
    <w:rsid w:val="00D43970"/>
    <w:rsid w:val="00D43CA5"/>
    <w:rsid w:val="00D44CA5"/>
    <w:rsid w:val="00D46E12"/>
    <w:rsid w:val="00D47CCD"/>
    <w:rsid w:val="00D50734"/>
    <w:rsid w:val="00D507C0"/>
    <w:rsid w:val="00D513CC"/>
    <w:rsid w:val="00D5172A"/>
    <w:rsid w:val="00D56435"/>
    <w:rsid w:val="00D62755"/>
    <w:rsid w:val="00D62AA4"/>
    <w:rsid w:val="00D6318F"/>
    <w:rsid w:val="00D650BB"/>
    <w:rsid w:val="00D65199"/>
    <w:rsid w:val="00D6540A"/>
    <w:rsid w:val="00D674AF"/>
    <w:rsid w:val="00D700F0"/>
    <w:rsid w:val="00D70107"/>
    <w:rsid w:val="00D70438"/>
    <w:rsid w:val="00D717AD"/>
    <w:rsid w:val="00D720AD"/>
    <w:rsid w:val="00D72D1D"/>
    <w:rsid w:val="00D74615"/>
    <w:rsid w:val="00D74A18"/>
    <w:rsid w:val="00D74D3E"/>
    <w:rsid w:val="00D757C6"/>
    <w:rsid w:val="00D75C41"/>
    <w:rsid w:val="00D80529"/>
    <w:rsid w:val="00D80F78"/>
    <w:rsid w:val="00D81AC3"/>
    <w:rsid w:val="00D81C59"/>
    <w:rsid w:val="00D82A5B"/>
    <w:rsid w:val="00D84637"/>
    <w:rsid w:val="00D8473B"/>
    <w:rsid w:val="00D85780"/>
    <w:rsid w:val="00D925AA"/>
    <w:rsid w:val="00D9283D"/>
    <w:rsid w:val="00D930DD"/>
    <w:rsid w:val="00D9341C"/>
    <w:rsid w:val="00D93F5C"/>
    <w:rsid w:val="00D94B7D"/>
    <w:rsid w:val="00DA0B1A"/>
    <w:rsid w:val="00DA1560"/>
    <w:rsid w:val="00DA26F1"/>
    <w:rsid w:val="00DA3176"/>
    <w:rsid w:val="00DA4C44"/>
    <w:rsid w:val="00DA4C48"/>
    <w:rsid w:val="00DA4E21"/>
    <w:rsid w:val="00DA6D12"/>
    <w:rsid w:val="00DA71EF"/>
    <w:rsid w:val="00DA7A18"/>
    <w:rsid w:val="00DB1347"/>
    <w:rsid w:val="00DB28CE"/>
    <w:rsid w:val="00DB29BC"/>
    <w:rsid w:val="00DB2A2A"/>
    <w:rsid w:val="00DB479F"/>
    <w:rsid w:val="00DB55B6"/>
    <w:rsid w:val="00DB5EA7"/>
    <w:rsid w:val="00DB5F21"/>
    <w:rsid w:val="00DB6D7C"/>
    <w:rsid w:val="00DB7183"/>
    <w:rsid w:val="00DC090A"/>
    <w:rsid w:val="00DC0E7E"/>
    <w:rsid w:val="00DC2D72"/>
    <w:rsid w:val="00DC30EA"/>
    <w:rsid w:val="00DC4FE9"/>
    <w:rsid w:val="00DC5918"/>
    <w:rsid w:val="00DC6C8D"/>
    <w:rsid w:val="00DC73A5"/>
    <w:rsid w:val="00DD0236"/>
    <w:rsid w:val="00DD4100"/>
    <w:rsid w:val="00DD76A4"/>
    <w:rsid w:val="00DD7C65"/>
    <w:rsid w:val="00DE03E4"/>
    <w:rsid w:val="00DE1134"/>
    <w:rsid w:val="00DE1AEB"/>
    <w:rsid w:val="00DE21C1"/>
    <w:rsid w:val="00DE2247"/>
    <w:rsid w:val="00DE2A34"/>
    <w:rsid w:val="00DE37AE"/>
    <w:rsid w:val="00DE4732"/>
    <w:rsid w:val="00DE6668"/>
    <w:rsid w:val="00DE6987"/>
    <w:rsid w:val="00DE7339"/>
    <w:rsid w:val="00DF1246"/>
    <w:rsid w:val="00DF30C0"/>
    <w:rsid w:val="00E00593"/>
    <w:rsid w:val="00E0080A"/>
    <w:rsid w:val="00E00F31"/>
    <w:rsid w:val="00E02242"/>
    <w:rsid w:val="00E02AF8"/>
    <w:rsid w:val="00E0300E"/>
    <w:rsid w:val="00E04AE0"/>
    <w:rsid w:val="00E070D0"/>
    <w:rsid w:val="00E11517"/>
    <w:rsid w:val="00E12834"/>
    <w:rsid w:val="00E13727"/>
    <w:rsid w:val="00E15630"/>
    <w:rsid w:val="00E17AB3"/>
    <w:rsid w:val="00E20254"/>
    <w:rsid w:val="00E209F0"/>
    <w:rsid w:val="00E20F1C"/>
    <w:rsid w:val="00E219EB"/>
    <w:rsid w:val="00E22C13"/>
    <w:rsid w:val="00E23129"/>
    <w:rsid w:val="00E25045"/>
    <w:rsid w:val="00E2677C"/>
    <w:rsid w:val="00E26D83"/>
    <w:rsid w:val="00E271CD"/>
    <w:rsid w:val="00E27A1E"/>
    <w:rsid w:val="00E306E9"/>
    <w:rsid w:val="00E307DC"/>
    <w:rsid w:val="00E321E0"/>
    <w:rsid w:val="00E323CF"/>
    <w:rsid w:val="00E334B9"/>
    <w:rsid w:val="00E33905"/>
    <w:rsid w:val="00E342D1"/>
    <w:rsid w:val="00E34B96"/>
    <w:rsid w:val="00E35015"/>
    <w:rsid w:val="00E35F7D"/>
    <w:rsid w:val="00E37502"/>
    <w:rsid w:val="00E40127"/>
    <w:rsid w:val="00E43074"/>
    <w:rsid w:val="00E431C8"/>
    <w:rsid w:val="00E44926"/>
    <w:rsid w:val="00E44E09"/>
    <w:rsid w:val="00E45D53"/>
    <w:rsid w:val="00E46DBD"/>
    <w:rsid w:val="00E51708"/>
    <w:rsid w:val="00E51729"/>
    <w:rsid w:val="00E51D0A"/>
    <w:rsid w:val="00E53139"/>
    <w:rsid w:val="00E53A8F"/>
    <w:rsid w:val="00E5435E"/>
    <w:rsid w:val="00E55A81"/>
    <w:rsid w:val="00E56450"/>
    <w:rsid w:val="00E56DA8"/>
    <w:rsid w:val="00E60ACC"/>
    <w:rsid w:val="00E60C4B"/>
    <w:rsid w:val="00E60E21"/>
    <w:rsid w:val="00E61675"/>
    <w:rsid w:val="00E6570E"/>
    <w:rsid w:val="00E66638"/>
    <w:rsid w:val="00E6706E"/>
    <w:rsid w:val="00E7211D"/>
    <w:rsid w:val="00E754C2"/>
    <w:rsid w:val="00E757CA"/>
    <w:rsid w:val="00E75D48"/>
    <w:rsid w:val="00E76750"/>
    <w:rsid w:val="00E773CD"/>
    <w:rsid w:val="00E774C9"/>
    <w:rsid w:val="00E77D0C"/>
    <w:rsid w:val="00E80964"/>
    <w:rsid w:val="00E83D43"/>
    <w:rsid w:val="00E84159"/>
    <w:rsid w:val="00E841A6"/>
    <w:rsid w:val="00E84BCB"/>
    <w:rsid w:val="00E85905"/>
    <w:rsid w:val="00E85D20"/>
    <w:rsid w:val="00E87C0D"/>
    <w:rsid w:val="00E90DC4"/>
    <w:rsid w:val="00E9163F"/>
    <w:rsid w:val="00E91CB7"/>
    <w:rsid w:val="00E9203A"/>
    <w:rsid w:val="00E955B0"/>
    <w:rsid w:val="00E956E8"/>
    <w:rsid w:val="00EA022D"/>
    <w:rsid w:val="00EA0D10"/>
    <w:rsid w:val="00EA0F2C"/>
    <w:rsid w:val="00EA19CB"/>
    <w:rsid w:val="00EA2C8F"/>
    <w:rsid w:val="00EA5045"/>
    <w:rsid w:val="00EA5D64"/>
    <w:rsid w:val="00EA613A"/>
    <w:rsid w:val="00EA67A6"/>
    <w:rsid w:val="00EA6A8C"/>
    <w:rsid w:val="00EB2AD1"/>
    <w:rsid w:val="00EB2F9F"/>
    <w:rsid w:val="00EB3067"/>
    <w:rsid w:val="00EB353E"/>
    <w:rsid w:val="00EB3AA1"/>
    <w:rsid w:val="00EB56E0"/>
    <w:rsid w:val="00EB5DDF"/>
    <w:rsid w:val="00EB5E7D"/>
    <w:rsid w:val="00EB6E66"/>
    <w:rsid w:val="00EC0129"/>
    <w:rsid w:val="00EC3CEC"/>
    <w:rsid w:val="00EC4625"/>
    <w:rsid w:val="00ED139E"/>
    <w:rsid w:val="00ED1759"/>
    <w:rsid w:val="00ED27A5"/>
    <w:rsid w:val="00ED3C10"/>
    <w:rsid w:val="00ED3ECB"/>
    <w:rsid w:val="00ED445D"/>
    <w:rsid w:val="00ED461C"/>
    <w:rsid w:val="00ED5E2B"/>
    <w:rsid w:val="00EE01C2"/>
    <w:rsid w:val="00EE2FEA"/>
    <w:rsid w:val="00EE37A2"/>
    <w:rsid w:val="00EE3B12"/>
    <w:rsid w:val="00EE5AF3"/>
    <w:rsid w:val="00EE5E91"/>
    <w:rsid w:val="00EE5F8C"/>
    <w:rsid w:val="00EE73BC"/>
    <w:rsid w:val="00EE7AC8"/>
    <w:rsid w:val="00EF00AA"/>
    <w:rsid w:val="00EF3996"/>
    <w:rsid w:val="00F001A2"/>
    <w:rsid w:val="00F0026A"/>
    <w:rsid w:val="00F021E7"/>
    <w:rsid w:val="00F026C1"/>
    <w:rsid w:val="00F039D1"/>
    <w:rsid w:val="00F05BEC"/>
    <w:rsid w:val="00F05D0F"/>
    <w:rsid w:val="00F05DB4"/>
    <w:rsid w:val="00F13358"/>
    <w:rsid w:val="00F1456D"/>
    <w:rsid w:val="00F14DA0"/>
    <w:rsid w:val="00F15387"/>
    <w:rsid w:val="00F15D8B"/>
    <w:rsid w:val="00F15F46"/>
    <w:rsid w:val="00F17D58"/>
    <w:rsid w:val="00F228F5"/>
    <w:rsid w:val="00F23FD4"/>
    <w:rsid w:val="00F24143"/>
    <w:rsid w:val="00F241BE"/>
    <w:rsid w:val="00F24962"/>
    <w:rsid w:val="00F25038"/>
    <w:rsid w:val="00F263D9"/>
    <w:rsid w:val="00F2735C"/>
    <w:rsid w:val="00F3124A"/>
    <w:rsid w:val="00F31D41"/>
    <w:rsid w:val="00F34539"/>
    <w:rsid w:val="00F35005"/>
    <w:rsid w:val="00F359FB"/>
    <w:rsid w:val="00F364CB"/>
    <w:rsid w:val="00F36E13"/>
    <w:rsid w:val="00F37601"/>
    <w:rsid w:val="00F4058E"/>
    <w:rsid w:val="00F4220F"/>
    <w:rsid w:val="00F423B8"/>
    <w:rsid w:val="00F43F58"/>
    <w:rsid w:val="00F45507"/>
    <w:rsid w:val="00F46014"/>
    <w:rsid w:val="00F46189"/>
    <w:rsid w:val="00F47670"/>
    <w:rsid w:val="00F51371"/>
    <w:rsid w:val="00F51AF6"/>
    <w:rsid w:val="00F551E9"/>
    <w:rsid w:val="00F55A95"/>
    <w:rsid w:val="00F56113"/>
    <w:rsid w:val="00F5640F"/>
    <w:rsid w:val="00F56735"/>
    <w:rsid w:val="00F56B3A"/>
    <w:rsid w:val="00F57036"/>
    <w:rsid w:val="00F60F94"/>
    <w:rsid w:val="00F61408"/>
    <w:rsid w:val="00F615F9"/>
    <w:rsid w:val="00F62055"/>
    <w:rsid w:val="00F620BE"/>
    <w:rsid w:val="00F64DC5"/>
    <w:rsid w:val="00F678FE"/>
    <w:rsid w:val="00F73938"/>
    <w:rsid w:val="00F73E87"/>
    <w:rsid w:val="00F74224"/>
    <w:rsid w:val="00F747A9"/>
    <w:rsid w:val="00F76696"/>
    <w:rsid w:val="00F77295"/>
    <w:rsid w:val="00F77A84"/>
    <w:rsid w:val="00F80438"/>
    <w:rsid w:val="00F81C5D"/>
    <w:rsid w:val="00F87905"/>
    <w:rsid w:val="00F91A0D"/>
    <w:rsid w:val="00F9229E"/>
    <w:rsid w:val="00F92724"/>
    <w:rsid w:val="00F92A12"/>
    <w:rsid w:val="00F942E2"/>
    <w:rsid w:val="00F9523B"/>
    <w:rsid w:val="00F9546E"/>
    <w:rsid w:val="00F9560B"/>
    <w:rsid w:val="00F95755"/>
    <w:rsid w:val="00F96E67"/>
    <w:rsid w:val="00F96E92"/>
    <w:rsid w:val="00FA0700"/>
    <w:rsid w:val="00FA0D47"/>
    <w:rsid w:val="00FA13CB"/>
    <w:rsid w:val="00FA2BE9"/>
    <w:rsid w:val="00FA31AE"/>
    <w:rsid w:val="00FA4FCD"/>
    <w:rsid w:val="00FB0F5C"/>
    <w:rsid w:val="00FB1DA4"/>
    <w:rsid w:val="00FB216D"/>
    <w:rsid w:val="00FB2973"/>
    <w:rsid w:val="00FB3FE4"/>
    <w:rsid w:val="00FB42CF"/>
    <w:rsid w:val="00FB511E"/>
    <w:rsid w:val="00FB6A3F"/>
    <w:rsid w:val="00FB7661"/>
    <w:rsid w:val="00FB7B5E"/>
    <w:rsid w:val="00FC07DD"/>
    <w:rsid w:val="00FC2B86"/>
    <w:rsid w:val="00FC2D35"/>
    <w:rsid w:val="00FC48B5"/>
    <w:rsid w:val="00FC4CA2"/>
    <w:rsid w:val="00FC6FF3"/>
    <w:rsid w:val="00FC7629"/>
    <w:rsid w:val="00FC7B2A"/>
    <w:rsid w:val="00FD1E7A"/>
    <w:rsid w:val="00FD3D67"/>
    <w:rsid w:val="00FD435D"/>
    <w:rsid w:val="00FD4F56"/>
    <w:rsid w:val="00FD536A"/>
    <w:rsid w:val="00FD74FF"/>
    <w:rsid w:val="00FE3CEC"/>
    <w:rsid w:val="00FE4145"/>
    <w:rsid w:val="00FE5F2D"/>
    <w:rsid w:val="00FE607C"/>
    <w:rsid w:val="00FE6A1F"/>
    <w:rsid w:val="00FE743E"/>
    <w:rsid w:val="00FF04FB"/>
    <w:rsid w:val="00FF0810"/>
    <w:rsid w:val="00FF11E6"/>
    <w:rsid w:val="00FF32F3"/>
    <w:rsid w:val="00FF3DB2"/>
    <w:rsid w:val="00FF55D8"/>
    <w:rsid w:val="00FF5B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5a9a98,#ddcf56,#ad495d,#ab9c8f,#b5d3d2,#7e6d5f,#f26631,#54534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BFE"/>
    <w:rPr>
      <w:szCs w:val="24"/>
      <w:lang w:val="en-AU" w:eastAsia="en-AU"/>
    </w:rPr>
  </w:style>
  <w:style w:type="paragraph" w:styleId="Heading1">
    <w:name w:val="heading 1"/>
    <w:basedOn w:val="BodyText"/>
    <w:next w:val="BodyText"/>
    <w:link w:val="Heading1Char"/>
    <w:qFormat/>
    <w:rsid w:val="00BC36DE"/>
    <w:pPr>
      <w:outlineLvl w:val="0"/>
    </w:pPr>
  </w:style>
  <w:style w:type="paragraph" w:styleId="Heading2">
    <w:name w:val="heading 2"/>
    <w:basedOn w:val="Heading1"/>
    <w:next w:val="BodyText"/>
    <w:link w:val="Heading2Char"/>
    <w:qFormat/>
    <w:rsid w:val="00A66E8A"/>
    <w:pPr>
      <w:numPr>
        <w:ilvl w:val="1"/>
        <w:numId w:val="7"/>
      </w:numPr>
      <w:spacing w:before="380" w:after="0"/>
      <w:outlineLvl w:val="1"/>
    </w:pPr>
    <w:rPr>
      <w:rFonts w:ascii="Franklin Gothic Medium" w:hAnsi="Franklin Gothic Medium"/>
      <w:color w:val="5A9A98"/>
      <w:sz w:val="24"/>
      <w:szCs w:val="24"/>
    </w:rPr>
  </w:style>
  <w:style w:type="paragraph" w:styleId="Heading3">
    <w:name w:val="heading 3"/>
    <w:basedOn w:val="Heading2"/>
    <w:next w:val="BodyText"/>
    <w:link w:val="Heading3Char"/>
    <w:qFormat/>
    <w:rsid w:val="00A66E8A"/>
    <w:pPr>
      <w:numPr>
        <w:ilvl w:val="2"/>
      </w:numPr>
      <w:spacing w:before="300" w:line="260" w:lineRule="atLeast"/>
      <w:outlineLvl w:val="2"/>
    </w:pPr>
    <w:rPr>
      <w:color w:val="54534A"/>
      <w:sz w:val="22"/>
      <w:szCs w:val="22"/>
    </w:rPr>
  </w:style>
  <w:style w:type="paragraph" w:styleId="Heading4">
    <w:name w:val="heading 4"/>
    <w:basedOn w:val="BodyText"/>
    <w:next w:val="BodyText"/>
    <w:qFormat/>
    <w:rsid w:val="00222F3B"/>
    <w:pPr>
      <w:numPr>
        <w:ilvl w:val="3"/>
        <w:numId w:val="7"/>
      </w:numPr>
      <w:spacing w:before="320" w:after="0"/>
      <w:outlineLvl w:val="3"/>
    </w:pPr>
    <w:rPr>
      <w:b/>
      <w:color w:val="54534A"/>
      <w:sz w:val="22"/>
      <w:szCs w:val="22"/>
    </w:rPr>
  </w:style>
  <w:style w:type="paragraph" w:styleId="Heading5">
    <w:name w:val="heading 5"/>
    <w:basedOn w:val="BodyText"/>
    <w:next w:val="BodyText"/>
    <w:qFormat/>
    <w:rsid w:val="00B525EE"/>
    <w:pPr>
      <w:keepNext/>
      <w:numPr>
        <w:ilvl w:val="4"/>
        <w:numId w:val="7"/>
      </w:numPr>
      <w:spacing w:before="320" w:after="0"/>
      <w:outlineLvl w:val="4"/>
    </w:pPr>
    <w:rPr>
      <w:b/>
      <w:color w:val="54534A"/>
    </w:rPr>
  </w:style>
  <w:style w:type="paragraph" w:styleId="Heading6">
    <w:name w:val="heading 6"/>
    <w:basedOn w:val="Heading1"/>
    <w:next w:val="BodyText"/>
    <w:qFormat/>
    <w:rsid w:val="00B525EE"/>
    <w:pPr>
      <w:numPr>
        <w:ilvl w:val="5"/>
        <w:numId w:val="7"/>
      </w:numPr>
      <w:outlineLvl w:val="5"/>
    </w:pPr>
    <w:rPr>
      <w:bCs/>
    </w:rPr>
  </w:style>
  <w:style w:type="paragraph" w:styleId="Heading7">
    <w:name w:val="heading 7"/>
    <w:basedOn w:val="Heading2"/>
    <w:next w:val="BodyText"/>
    <w:qFormat/>
    <w:rsid w:val="00B525EE"/>
    <w:pPr>
      <w:numPr>
        <w:ilvl w:val="6"/>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Pr>
      <w:outlineLvl w:val="7"/>
    </w:p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link w:val="BodyText"/>
    <w:rsid w:val="0001356A"/>
    <w:rPr>
      <w:rFonts w:ascii="Georgia" w:hAnsi="Georgia"/>
      <w:sz w:val="19"/>
      <w:szCs w:val="19"/>
      <w:lang w:val="en-AU" w:eastAsia="en-AU" w:bidi="ar-SA"/>
    </w:rPr>
  </w:style>
  <w:style w:type="character" w:customStyle="1" w:styleId="DraftingNote">
    <w:name w:val="Drafting Note"/>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17"/>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0"/>
      </w:numPr>
      <w:spacing w:before="80" w:after="80" w:line="280" w:lineRule="atLeast"/>
    </w:pPr>
    <w:rPr>
      <w:rFonts w:ascii="Georgia" w:hAnsi="Georgia"/>
      <w:sz w:val="19"/>
      <w:szCs w:val="19"/>
    </w:rPr>
  </w:style>
  <w:style w:type="paragraph" w:styleId="ListBullet">
    <w:name w:val="List Bullet"/>
    <w:basedOn w:val="BodyText"/>
    <w:link w:val="ListBulletChar"/>
    <w:rsid w:val="002C5AF0"/>
    <w:pPr>
      <w:numPr>
        <w:numId w:val="15"/>
      </w:numPr>
    </w:pPr>
  </w:style>
  <w:style w:type="paragraph" w:styleId="ListBullet2">
    <w:name w:val="List Bullet 2"/>
    <w:basedOn w:val="ListBullet"/>
    <w:rsid w:val="00D42D78"/>
    <w:pPr>
      <w:numPr>
        <w:numId w:val="12"/>
      </w:numPr>
      <w:spacing w:before="0"/>
      <w:ind w:left="568" w:hanging="284"/>
    </w:pPr>
  </w:style>
  <w:style w:type="paragraph" w:styleId="ListNumber">
    <w:name w:val="List Number"/>
    <w:basedOn w:val="ListBullet"/>
    <w:rsid w:val="00D42D78"/>
    <w:pPr>
      <w:numPr>
        <w:numId w:val="13"/>
      </w:numPr>
    </w:pPr>
  </w:style>
  <w:style w:type="paragraph" w:styleId="ListNumber2">
    <w:name w:val="List Number 2"/>
    <w:basedOn w:val="ListNumber"/>
    <w:rsid w:val="00D42D78"/>
    <w:pPr>
      <w:numPr>
        <w:numId w:val="14"/>
      </w:numPr>
      <w:spacing w:before="0"/>
      <w:ind w:left="568" w:hanging="284"/>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Ratinggreen">
    <w:name w:val="Rating green"/>
    <w:basedOn w:val="Ratingamber"/>
    <w:semiHidden/>
    <w:rsid w:val="001C6E03"/>
    <w:pPr>
      <w:numPr>
        <w:numId w:val="11"/>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77D0C"/>
    <w:pPr>
      <w:pageBreakBefore/>
      <w:spacing w:line="540" w:lineRule="atLeast"/>
    </w:pPr>
    <w:rPr>
      <w:rFonts w:ascii="Franklin Gothic Book" w:hAnsi="Franklin Gothic Book"/>
      <w:color w:val="FFFFFF"/>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uiPriority w:val="39"/>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8"/>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semiHidden/>
    <w:rsid w:val="008527C1"/>
    <w:pPr>
      <w:spacing w:line="240" w:lineRule="atLeast"/>
    </w:pPr>
    <w:rPr>
      <w:rFonts w:ascii="Calibri" w:hAnsi="Calibri"/>
      <w:sz w:val="18"/>
      <w:szCs w:val="18"/>
    </w:rPr>
  </w:style>
  <w:style w:type="character" w:styleId="FootnoteReference">
    <w:name w:val="footnote reference"/>
    <w:semiHidden/>
    <w:rsid w:val="00FB1DA4"/>
    <w:rPr>
      <w:rFonts w:ascii="Franklin Gothic Book" w:hAnsi="Franklin Gothic Book"/>
      <w:w w:val="100"/>
      <w:position w:val="6"/>
      <w:sz w:val="12"/>
      <w:szCs w:val="12"/>
      <w:vertAlign w:val="baseline"/>
    </w:rPr>
  </w:style>
  <w:style w:type="paragraph" w:styleId="FootnoteText">
    <w:name w:val="footnote text"/>
    <w:basedOn w:val="BodyText"/>
    <w:link w:val="FootnoteTextChar"/>
    <w:semiHidden/>
    <w:rsid w:val="00281D52"/>
    <w:pPr>
      <w:spacing w:before="0" w:after="0" w:line="180" w:lineRule="atLeast"/>
      <w:ind w:left="284" w:hanging="284"/>
    </w:pPr>
    <w:rPr>
      <w:rFonts w:ascii="Franklin Gothic Book" w:hAnsi="Franklin Gothic Book"/>
      <w:sz w:val="14"/>
      <w:szCs w:val="14"/>
    </w:rPr>
  </w:style>
  <w:style w:type="character" w:styleId="Hyperlink">
    <w:name w:val="Hyperlink"/>
    <w:uiPriority w:val="99"/>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spacing w:val="-2"/>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9"/>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16"/>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link w:val="TableListBullet2"/>
    <w:rsid w:val="00C05EB3"/>
    <w:rPr>
      <w:rFonts w:ascii="Franklin Gothic Book" w:hAnsi="Franklin Gothic Book"/>
      <w:sz w:val="17"/>
      <w:szCs w:val="17"/>
      <w:lang w:val="en-AU" w:eastAsia="en-US" w:bidi="ar-SA"/>
    </w:rPr>
  </w:style>
  <w:style w:type="character" w:customStyle="1" w:styleId="NoteCharChar">
    <w:name w:val="Note Char Char"/>
    <w:link w:val="Note"/>
    <w:rsid w:val="008D75EB"/>
    <w:rPr>
      <w:rFonts w:ascii="Franklin Gothic Book" w:hAnsi="Franklin Gothic Book"/>
      <w:sz w:val="14"/>
      <w:szCs w:val="14"/>
      <w:lang w:val="en-AU" w:eastAsia="en-US" w:bidi="ar-SA"/>
    </w:rPr>
  </w:style>
  <w:style w:type="character" w:customStyle="1" w:styleId="NoteNumberCharChar">
    <w:name w:val="Note Number Char Char"/>
    <w:link w:val="NoteNumber"/>
    <w:rsid w:val="00EE7AC8"/>
    <w:rPr>
      <w:rFonts w:ascii="Franklin Gothic Book" w:hAnsi="Franklin Gothic Book"/>
      <w:sz w:val="14"/>
      <w:szCs w:val="14"/>
      <w:lang w:val="en-AU" w:eastAsia="en-US" w:bidi="ar-SA"/>
    </w:rPr>
  </w:style>
  <w:style w:type="character" w:customStyle="1" w:styleId="TitleChar">
    <w:name w:val="Title Char"/>
    <w:link w:val="Title"/>
    <w:rsid w:val="00E77D0C"/>
    <w:rPr>
      <w:rFonts w:ascii="Franklin Gothic Book" w:hAnsi="Franklin Gothic Book"/>
      <w:color w:val="FFFFFF"/>
      <w:spacing w:val="-10"/>
      <w:kern w:val="28"/>
      <w:sz w:val="46"/>
      <w:szCs w:val="46"/>
      <w:lang w:val="en-AU" w:eastAsia="en-AU" w:bidi="ar-SA"/>
    </w:rPr>
  </w:style>
  <w:style w:type="character" w:customStyle="1" w:styleId="SubtitleChar">
    <w:name w:val="Subtitle Char"/>
    <w:link w:val="Subtitle"/>
    <w:rsid w:val="005B522F"/>
    <w:rPr>
      <w:rFonts w:ascii="Franklin Gothic Book" w:hAnsi="Franklin Gothic Book"/>
      <w:color w:val="FFFFFF"/>
      <w:spacing w:val="-10"/>
      <w:kern w:val="28"/>
      <w:sz w:val="32"/>
      <w:szCs w:val="32"/>
      <w:lang w:val="en-AU" w:eastAsia="en-AU" w:bidi="ar-SA"/>
    </w:rPr>
  </w:style>
  <w:style w:type="character" w:customStyle="1" w:styleId="DateChar">
    <w:name w:val="Date Char"/>
    <w:link w:val="Date"/>
    <w:rsid w:val="00A53A6B"/>
    <w:rPr>
      <w:rFonts w:ascii="Franklin Gothic Book" w:hAnsi="Franklin Gothic Book"/>
      <w:color w:val="FFFFFF"/>
      <w:spacing w:val="-10"/>
      <w:kern w:val="28"/>
      <w:sz w:val="24"/>
      <w:szCs w:val="24"/>
      <w:lang w:val="en-AU" w:eastAsia="en-AU" w:bidi="ar-SA"/>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val="en-AU" w:eastAsia="en-AU" w:bidi="ar-SA"/>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character" w:customStyle="1" w:styleId="CharChar4">
    <w:name w:val="Char Char4"/>
    <w:rsid w:val="0035177E"/>
    <w:rPr>
      <w:rFonts w:ascii="Georgia" w:hAnsi="Georgia"/>
      <w:sz w:val="19"/>
      <w:szCs w:val="19"/>
      <w:lang w:val="en-AU" w:eastAsia="en-AU" w:bidi="ar-SA"/>
    </w:rPr>
  </w:style>
  <w:style w:type="character" w:customStyle="1" w:styleId="BoxTextChar">
    <w:name w:val="Box Text Char"/>
    <w:link w:val="BoxText"/>
    <w:rsid w:val="00CA6414"/>
    <w:rPr>
      <w:rFonts w:ascii="Franklin Gothic Book" w:hAnsi="Franklin Gothic Book"/>
      <w:sz w:val="18"/>
      <w:szCs w:val="18"/>
      <w:lang w:val="en-AU" w:eastAsia="en-AU" w:bidi="ar-SA"/>
    </w:rPr>
  </w:style>
  <w:style w:type="character" w:customStyle="1" w:styleId="Heading1Char">
    <w:name w:val="Heading 1 Char"/>
    <w:link w:val="Heading1"/>
    <w:rsid w:val="00BC36DE"/>
    <w:rPr>
      <w:rFonts w:ascii="Georgia" w:hAnsi="Georgia"/>
      <w:sz w:val="19"/>
      <w:szCs w:val="19"/>
      <w:lang w:val="en-AU" w:eastAsia="en-AU" w:bidi="ar-SA"/>
    </w:rPr>
  </w:style>
  <w:style w:type="character" w:customStyle="1" w:styleId="Heading2Char">
    <w:name w:val="Heading 2 Char"/>
    <w:link w:val="Heading2"/>
    <w:rsid w:val="00BC36DE"/>
    <w:rPr>
      <w:rFonts w:ascii="Franklin Gothic Medium" w:hAnsi="Franklin Gothic Medium"/>
      <w:color w:val="5A9A98"/>
      <w:sz w:val="24"/>
      <w:szCs w:val="24"/>
      <w:lang w:val="en-AU" w:eastAsia="en-AU" w:bidi="ar-SA"/>
    </w:rPr>
  </w:style>
  <w:style w:type="character" w:customStyle="1" w:styleId="CharChar1">
    <w:name w:val="Char Char1"/>
    <w:locked/>
    <w:rsid w:val="00F263D9"/>
    <w:rPr>
      <w:rFonts w:ascii="Georgia" w:hAnsi="Georgia"/>
      <w:sz w:val="19"/>
      <w:szCs w:val="19"/>
      <w:lang w:val="en-AU" w:eastAsia="en-AU" w:bidi="ar-SA"/>
    </w:rPr>
  </w:style>
  <w:style w:type="character" w:customStyle="1" w:styleId="CharChar40">
    <w:name w:val="Char Char4"/>
    <w:locked/>
    <w:rsid w:val="00F263D9"/>
    <w:rPr>
      <w:rFonts w:ascii="Georgia" w:hAnsi="Georgia"/>
      <w:sz w:val="19"/>
      <w:szCs w:val="19"/>
      <w:lang w:val="en-AU" w:eastAsia="en-AU" w:bidi="ar-SA"/>
    </w:rPr>
  </w:style>
  <w:style w:type="character" w:customStyle="1" w:styleId="Heading3Char">
    <w:name w:val="Heading 3 Char"/>
    <w:link w:val="Heading3"/>
    <w:rsid w:val="0045354B"/>
    <w:rPr>
      <w:rFonts w:ascii="Franklin Gothic Medium" w:hAnsi="Franklin Gothic Medium"/>
      <w:color w:val="54534A"/>
      <w:sz w:val="22"/>
      <w:szCs w:val="22"/>
      <w:lang w:val="en-AU" w:eastAsia="en-AU" w:bidi="ar-SA"/>
    </w:rPr>
  </w:style>
  <w:style w:type="character" w:customStyle="1" w:styleId="FootnoteTextChar">
    <w:name w:val="Footnote Text Char"/>
    <w:link w:val="FootnoteText"/>
    <w:semiHidden/>
    <w:locked/>
    <w:rsid w:val="0045354B"/>
    <w:rPr>
      <w:rFonts w:ascii="Franklin Gothic Book" w:hAnsi="Franklin Gothic Book"/>
      <w:sz w:val="14"/>
      <w:szCs w:val="14"/>
      <w:lang w:val="en-AU" w:eastAsia="en-AU" w:bidi="ar-SA"/>
    </w:rPr>
  </w:style>
  <w:style w:type="character" w:customStyle="1" w:styleId="CharChar6">
    <w:name w:val="Char Char6"/>
    <w:rsid w:val="0045354B"/>
    <w:rPr>
      <w:rFonts w:ascii="Georgia" w:hAnsi="Georgia"/>
      <w:sz w:val="19"/>
      <w:szCs w:val="19"/>
    </w:rPr>
  </w:style>
  <w:style w:type="paragraph" w:customStyle="1" w:styleId="Default">
    <w:name w:val="Default"/>
    <w:rsid w:val="0045354B"/>
    <w:pPr>
      <w:autoSpaceDE w:val="0"/>
      <w:autoSpaceDN w:val="0"/>
      <w:adjustRightInd w:val="0"/>
    </w:pPr>
    <w:rPr>
      <w:rFonts w:ascii="Calibri" w:hAnsi="Calibri" w:cs="Calibri"/>
      <w:color w:val="000000"/>
      <w:sz w:val="24"/>
      <w:szCs w:val="24"/>
    </w:rPr>
  </w:style>
  <w:style w:type="character" w:customStyle="1" w:styleId="ListBulletChar">
    <w:name w:val="List Bullet Char"/>
    <w:basedOn w:val="BodyTextChar"/>
    <w:link w:val="ListBullet"/>
    <w:rsid w:val="0045354B"/>
    <w:rPr>
      <w:rFonts w:ascii="Georgia" w:hAnsi="Georgia"/>
      <w:sz w:val="19"/>
      <w:szCs w:val="19"/>
      <w:lang w:val="en-AU" w:eastAsia="en-AU" w:bidi="ar-SA"/>
    </w:rPr>
  </w:style>
  <w:style w:type="paragraph" w:styleId="HTMLPreformatted">
    <w:name w:val="HTML Preformatted"/>
    <w:basedOn w:val="Normal"/>
    <w:unhideWhenUsed/>
    <w:rsid w:val="00453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en-US"/>
    </w:rPr>
  </w:style>
  <w:style w:type="paragraph" w:styleId="Revision">
    <w:name w:val="Revision"/>
    <w:hidden/>
    <w:uiPriority w:val="99"/>
    <w:semiHidden/>
    <w:rsid w:val="00B72333"/>
    <w:rPr>
      <w:szCs w:val="24"/>
      <w:lang w:val="en-AU" w:eastAsia="en-AU"/>
    </w:rPr>
  </w:style>
  <w:style w:type="paragraph" w:customStyle="1" w:styleId="H1">
    <w:name w:val="H1"/>
    <w:basedOn w:val="Normal"/>
    <w:qFormat/>
    <w:rsid w:val="00236560"/>
    <w:pPr>
      <w:keepNext/>
      <w:spacing w:after="100" w:line="320" w:lineRule="atLeast"/>
      <w:outlineLvl w:val="0"/>
    </w:pPr>
    <w:rPr>
      <w:rFonts w:ascii="Franklin Gothic Demi" w:hAnsi="Franklin Gothic Demi"/>
      <w:color w:val="AD495D"/>
      <w:kern w:val="28"/>
      <w:sz w:val="28"/>
      <w:szCs w:val="28"/>
    </w:rPr>
  </w:style>
  <w:style w:type="paragraph" w:customStyle="1" w:styleId="Caption2">
    <w:name w:val="Caption2"/>
    <w:basedOn w:val="TableHeading1"/>
    <w:qFormat/>
    <w:rsid w:val="004A035D"/>
    <w:rPr>
      <w:b/>
      <w:sz w:val="20"/>
      <w:szCs w:val="20"/>
    </w:rPr>
  </w:style>
  <w:style w:type="paragraph" w:styleId="TOCHeading">
    <w:name w:val="TOC Heading"/>
    <w:basedOn w:val="Heading1"/>
    <w:next w:val="Normal"/>
    <w:uiPriority w:val="39"/>
    <w:semiHidden/>
    <w:unhideWhenUsed/>
    <w:qFormat/>
    <w:rsid w:val="00992DE5"/>
    <w:pPr>
      <w:keepNext/>
      <w:keepLines/>
      <w:spacing w:before="480" w:after="0" w:line="276" w:lineRule="auto"/>
      <w:outlineLvl w:val="9"/>
    </w:pPr>
    <w:rPr>
      <w:rFonts w:ascii="Cambria" w:hAnsi="Cambria"/>
      <w:b/>
      <w:bCs/>
      <w:color w:val="365F91"/>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BFE"/>
    <w:rPr>
      <w:szCs w:val="24"/>
      <w:lang w:val="en-AU" w:eastAsia="en-AU"/>
    </w:rPr>
  </w:style>
  <w:style w:type="paragraph" w:styleId="Heading1">
    <w:name w:val="heading 1"/>
    <w:basedOn w:val="BodyText"/>
    <w:next w:val="BodyText"/>
    <w:link w:val="Heading1Char"/>
    <w:qFormat/>
    <w:rsid w:val="00BC36DE"/>
    <w:pPr>
      <w:outlineLvl w:val="0"/>
    </w:pPr>
  </w:style>
  <w:style w:type="paragraph" w:styleId="Heading2">
    <w:name w:val="heading 2"/>
    <w:basedOn w:val="Heading1"/>
    <w:next w:val="BodyText"/>
    <w:link w:val="Heading2Char"/>
    <w:qFormat/>
    <w:rsid w:val="00A66E8A"/>
    <w:pPr>
      <w:numPr>
        <w:ilvl w:val="1"/>
        <w:numId w:val="7"/>
      </w:numPr>
      <w:spacing w:before="380" w:after="0"/>
      <w:outlineLvl w:val="1"/>
    </w:pPr>
    <w:rPr>
      <w:rFonts w:ascii="Franklin Gothic Medium" w:hAnsi="Franklin Gothic Medium"/>
      <w:color w:val="5A9A98"/>
      <w:sz w:val="24"/>
      <w:szCs w:val="24"/>
    </w:rPr>
  </w:style>
  <w:style w:type="paragraph" w:styleId="Heading3">
    <w:name w:val="heading 3"/>
    <w:basedOn w:val="Heading2"/>
    <w:next w:val="BodyText"/>
    <w:link w:val="Heading3Char"/>
    <w:qFormat/>
    <w:rsid w:val="00A66E8A"/>
    <w:pPr>
      <w:numPr>
        <w:ilvl w:val="2"/>
      </w:numPr>
      <w:spacing w:before="300" w:line="260" w:lineRule="atLeast"/>
      <w:outlineLvl w:val="2"/>
    </w:pPr>
    <w:rPr>
      <w:color w:val="54534A"/>
      <w:sz w:val="22"/>
      <w:szCs w:val="22"/>
    </w:rPr>
  </w:style>
  <w:style w:type="paragraph" w:styleId="Heading4">
    <w:name w:val="heading 4"/>
    <w:basedOn w:val="BodyText"/>
    <w:next w:val="BodyText"/>
    <w:qFormat/>
    <w:rsid w:val="00222F3B"/>
    <w:pPr>
      <w:numPr>
        <w:ilvl w:val="3"/>
        <w:numId w:val="7"/>
      </w:numPr>
      <w:spacing w:before="320" w:after="0"/>
      <w:outlineLvl w:val="3"/>
    </w:pPr>
    <w:rPr>
      <w:b/>
      <w:color w:val="54534A"/>
      <w:sz w:val="22"/>
      <w:szCs w:val="22"/>
    </w:rPr>
  </w:style>
  <w:style w:type="paragraph" w:styleId="Heading5">
    <w:name w:val="heading 5"/>
    <w:basedOn w:val="BodyText"/>
    <w:next w:val="BodyText"/>
    <w:qFormat/>
    <w:rsid w:val="00B525EE"/>
    <w:pPr>
      <w:keepNext/>
      <w:numPr>
        <w:ilvl w:val="4"/>
        <w:numId w:val="7"/>
      </w:numPr>
      <w:spacing w:before="320" w:after="0"/>
      <w:outlineLvl w:val="4"/>
    </w:pPr>
    <w:rPr>
      <w:b/>
      <w:color w:val="54534A"/>
    </w:rPr>
  </w:style>
  <w:style w:type="paragraph" w:styleId="Heading6">
    <w:name w:val="heading 6"/>
    <w:basedOn w:val="Heading1"/>
    <w:next w:val="BodyText"/>
    <w:qFormat/>
    <w:rsid w:val="00B525EE"/>
    <w:pPr>
      <w:numPr>
        <w:ilvl w:val="5"/>
        <w:numId w:val="7"/>
      </w:numPr>
      <w:outlineLvl w:val="5"/>
    </w:pPr>
    <w:rPr>
      <w:bCs/>
    </w:rPr>
  </w:style>
  <w:style w:type="paragraph" w:styleId="Heading7">
    <w:name w:val="heading 7"/>
    <w:basedOn w:val="Heading2"/>
    <w:next w:val="BodyText"/>
    <w:qFormat/>
    <w:rsid w:val="00B525EE"/>
    <w:pPr>
      <w:numPr>
        <w:ilvl w:val="6"/>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Pr>
      <w:outlineLvl w:val="7"/>
    </w:p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link w:val="BodyText"/>
    <w:rsid w:val="0001356A"/>
    <w:rPr>
      <w:rFonts w:ascii="Georgia" w:hAnsi="Georgia"/>
      <w:sz w:val="19"/>
      <w:szCs w:val="19"/>
      <w:lang w:val="en-AU" w:eastAsia="en-AU" w:bidi="ar-SA"/>
    </w:rPr>
  </w:style>
  <w:style w:type="character" w:customStyle="1" w:styleId="DraftingNote">
    <w:name w:val="Drafting Note"/>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17"/>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0"/>
      </w:numPr>
      <w:spacing w:before="80" w:after="80" w:line="280" w:lineRule="atLeast"/>
    </w:pPr>
    <w:rPr>
      <w:rFonts w:ascii="Georgia" w:hAnsi="Georgia"/>
      <w:sz w:val="19"/>
      <w:szCs w:val="19"/>
    </w:rPr>
  </w:style>
  <w:style w:type="paragraph" w:styleId="ListBullet">
    <w:name w:val="List Bullet"/>
    <w:basedOn w:val="BodyText"/>
    <w:link w:val="ListBulletChar"/>
    <w:rsid w:val="002C5AF0"/>
    <w:pPr>
      <w:numPr>
        <w:numId w:val="15"/>
      </w:numPr>
    </w:pPr>
  </w:style>
  <w:style w:type="paragraph" w:styleId="ListBullet2">
    <w:name w:val="List Bullet 2"/>
    <w:basedOn w:val="ListBullet"/>
    <w:rsid w:val="00D42D78"/>
    <w:pPr>
      <w:numPr>
        <w:numId w:val="12"/>
      </w:numPr>
      <w:spacing w:before="0"/>
      <w:ind w:left="568" w:hanging="284"/>
    </w:pPr>
  </w:style>
  <w:style w:type="paragraph" w:styleId="ListNumber">
    <w:name w:val="List Number"/>
    <w:basedOn w:val="ListBullet"/>
    <w:rsid w:val="00D42D78"/>
    <w:pPr>
      <w:numPr>
        <w:numId w:val="13"/>
      </w:numPr>
    </w:pPr>
  </w:style>
  <w:style w:type="paragraph" w:styleId="ListNumber2">
    <w:name w:val="List Number 2"/>
    <w:basedOn w:val="ListNumber"/>
    <w:rsid w:val="00D42D78"/>
    <w:pPr>
      <w:numPr>
        <w:numId w:val="14"/>
      </w:numPr>
      <w:spacing w:before="0"/>
      <w:ind w:left="568" w:hanging="284"/>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Ratinggreen">
    <w:name w:val="Rating green"/>
    <w:basedOn w:val="Ratingamber"/>
    <w:semiHidden/>
    <w:rsid w:val="001C6E03"/>
    <w:pPr>
      <w:numPr>
        <w:numId w:val="11"/>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77D0C"/>
    <w:pPr>
      <w:pageBreakBefore/>
      <w:spacing w:line="540" w:lineRule="atLeast"/>
    </w:pPr>
    <w:rPr>
      <w:rFonts w:ascii="Franklin Gothic Book" w:hAnsi="Franklin Gothic Book"/>
      <w:color w:val="FFFFFF"/>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uiPriority w:val="39"/>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8"/>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semiHidden/>
    <w:rsid w:val="008527C1"/>
    <w:pPr>
      <w:spacing w:line="240" w:lineRule="atLeast"/>
    </w:pPr>
    <w:rPr>
      <w:rFonts w:ascii="Calibri" w:hAnsi="Calibri"/>
      <w:sz w:val="18"/>
      <w:szCs w:val="18"/>
    </w:rPr>
  </w:style>
  <w:style w:type="character" w:styleId="FootnoteReference">
    <w:name w:val="footnote reference"/>
    <w:semiHidden/>
    <w:rsid w:val="00FB1DA4"/>
    <w:rPr>
      <w:rFonts w:ascii="Franklin Gothic Book" w:hAnsi="Franklin Gothic Book"/>
      <w:w w:val="100"/>
      <w:position w:val="6"/>
      <w:sz w:val="12"/>
      <w:szCs w:val="12"/>
      <w:vertAlign w:val="baseline"/>
    </w:rPr>
  </w:style>
  <w:style w:type="paragraph" w:styleId="FootnoteText">
    <w:name w:val="footnote text"/>
    <w:basedOn w:val="BodyText"/>
    <w:link w:val="FootnoteTextChar"/>
    <w:semiHidden/>
    <w:rsid w:val="00281D52"/>
    <w:pPr>
      <w:spacing w:before="0" w:after="0" w:line="180" w:lineRule="atLeast"/>
      <w:ind w:left="284" w:hanging="284"/>
    </w:pPr>
    <w:rPr>
      <w:rFonts w:ascii="Franklin Gothic Book" w:hAnsi="Franklin Gothic Book"/>
      <w:sz w:val="14"/>
      <w:szCs w:val="14"/>
    </w:rPr>
  </w:style>
  <w:style w:type="character" w:styleId="Hyperlink">
    <w:name w:val="Hyperlink"/>
    <w:uiPriority w:val="99"/>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spacing w:val="-2"/>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rsid w:val="009B0288"/>
    <w:pPr>
      <w:jc w:val="right"/>
    </w:pPr>
  </w:style>
  <w:style w:type="paragraph" w:customStyle="1" w:styleId="TableDataColumnHeading">
    <w:name w:val="Table Data Column Heading"/>
    <w:basedOn w:val="TableDataEntries"/>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9"/>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16"/>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link w:val="TableListBullet2"/>
    <w:rsid w:val="00C05EB3"/>
    <w:rPr>
      <w:rFonts w:ascii="Franklin Gothic Book" w:hAnsi="Franklin Gothic Book"/>
      <w:sz w:val="17"/>
      <w:szCs w:val="17"/>
      <w:lang w:val="en-AU" w:eastAsia="en-US" w:bidi="ar-SA"/>
    </w:rPr>
  </w:style>
  <w:style w:type="character" w:customStyle="1" w:styleId="NoteCharChar">
    <w:name w:val="Note Char Char"/>
    <w:link w:val="Note"/>
    <w:rsid w:val="008D75EB"/>
    <w:rPr>
      <w:rFonts w:ascii="Franklin Gothic Book" w:hAnsi="Franklin Gothic Book"/>
      <w:sz w:val="14"/>
      <w:szCs w:val="14"/>
      <w:lang w:val="en-AU" w:eastAsia="en-US" w:bidi="ar-SA"/>
    </w:rPr>
  </w:style>
  <w:style w:type="character" w:customStyle="1" w:styleId="NoteNumberCharChar">
    <w:name w:val="Note Number Char Char"/>
    <w:link w:val="NoteNumber"/>
    <w:rsid w:val="00EE7AC8"/>
    <w:rPr>
      <w:rFonts w:ascii="Franklin Gothic Book" w:hAnsi="Franklin Gothic Book"/>
      <w:sz w:val="14"/>
      <w:szCs w:val="14"/>
      <w:lang w:val="en-AU" w:eastAsia="en-US" w:bidi="ar-SA"/>
    </w:rPr>
  </w:style>
  <w:style w:type="character" w:customStyle="1" w:styleId="TitleChar">
    <w:name w:val="Title Char"/>
    <w:link w:val="Title"/>
    <w:rsid w:val="00E77D0C"/>
    <w:rPr>
      <w:rFonts w:ascii="Franklin Gothic Book" w:hAnsi="Franklin Gothic Book"/>
      <w:color w:val="FFFFFF"/>
      <w:spacing w:val="-10"/>
      <w:kern w:val="28"/>
      <w:sz w:val="46"/>
      <w:szCs w:val="46"/>
      <w:lang w:val="en-AU" w:eastAsia="en-AU" w:bidi="ar-SA"/>
    </w:rPr>
  </w:style>
  <w:style w:type="character" w:customStyle="1" w:styleId="SubtitleChar">
    <w:name w:val="Subtitle Char"/>
    <w:link w:val="Subtitle"/>
    <w:rsid w:val="005B522F"/>
    <w:rPr>
      <w:rFonts w:ascii="Franklin Gothic Book" w:hAnsi="Franklin Gothic Book"/>
      <w:color w:val="FFFFFF"/>
      <w:spacing w:val="-10"/>
      <w:kern w:val="28"/>
      <w:sz w:val="32"/>
      <w:szCs w:val="32"/>
      <w:lang w:val="en-AU" w:eastAsia="en-AU" w:bidi="ar-SA"/>
    </w:rPr>
  </w:style>
  <w:style w:type="character" w:customStyle="1" w:styleId="DateChar">
    <w:name w:val="Date Char"/>
    <w:link w:val="Date"/>
    <w:rsid w:val="00A53A6B"/>
    <w:rPr>
      <w:rFonts w:ascii="Franklin Gothic Book" w:hAnsi="Franklin Gothic Book"/>
      <w:color w:val="FFFFFF"/>
      <w:spacing w:val="-10"/>
      <w:kern w:val="28"/>
      <w:sz w:val="24"/>
      <w:szCs w:val="24"/>
      <w:lang w:val="en-AU" w:eastAsia="en-AU" w:bidi="ar-SA"/>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val="en-AU" w:eastAsia="en-AU" w:bidi="ar-SA"/>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semiHidden/>
    <w:rsid w:val="001B11EB"/>
    <w:pPr>
      <w:spacing w:before="60" w:after="60" w:line="240" w:lineRule="atLeast"/>
    </w:pPr>
    <w:rPr>
      <w:rFonts w:ascii="Calibri" w:hAnsi="Calibri"/>
      <w:color w:val="0000FF"/>
      <w:sz w:val="20"/>
      <w:szCs w:val="20"/>
    </w:rPr>
  </w:style>
  <w:style w:type="character" w:customStyle="1" w:styleId="CharChar4">
    <w:name w:val="Char Char4"/>
    <w:rsid w:val="0035177E"/>
    <w:rPr>
      <w:rFonts w:ascii="Georgia" w:hAnsi="Georgia"/>
      <w:sz w:val="19"/>
      <w:szCs w:val="19"/>
      <w:lang w:val="en-AU" w:eastAsia="en-AU" w:bidi="ar-SA"/>
    </w:rPr>
  </w:style>
  <w:style w:type="character" w:customStyle="1" w:styleId="BoxTextChar">
    <w:name w:val="Box Text Char"/>
    <w:link w:val="BoxText"/>
    <w:rsid w:val="00CA6414"/>
    <w:rPr>
      <w:rFonts w:ascii="Franklin Gothic Book" w:hAnsi="Franklin Gothic Book"/>
      <w:sz w:val="18"/>
      <w:szCs w:val="18"/>
      <w:lang w:val="en-AU" w:eastAsia="en-AU" w:bidi="ar-SA"/>
    </w:rPr>
  </w:style>
  <w:style w:type="character" w:customStyle="1" w:styleId="Heading1Char">
    <w:name w:val="Heading 1 Char"/>
    <w:link w:val="Heading1"/>
    <w:rsid w:val="00BC36DE"/>
    <w:rPr>
      <w:rFonts w:ascii="Georgia" w:hAnsi="Georgia"/>
      <w:sz w:val="19"/>
      <w:szCs w:val="19"/>
      <w:lang w:val="en-AU" w:eastAsia="en-AU" w:bidi="ar-SA"/>
    </w:rPr>
  </w:style>
  <w:style w:type="character" w:customStyle="1" w:styleId="Heading2Char">
    <w:name w:val="Heading 2 Char"/>
    <w:link w:val="Heading2"/>
    <w:rsid w:val="00BC36DE"/>
    <w:rPr>
      <w:rFonts w:ascii="Franklin Gothic Medium" w:hAnsi="Franklin Gothic Medium"/>
      <w:color w:val="5A9A98"/>
      <w:sz w:val="24"/>
      <w:szCs w:val="24"/>
      <w:lang w:val="en-AU" w:eastAsia="en-AU" w:bidi="ar-SA"/>
    </w:rPr>
  </w:style>
  <w:style w:type="character" w:customStyle="1" w:styleId="CharChar1">
    <w:name w:val="Char Char1"/>
    <w:locked/>
    <w:rsid w:val="00F263D9"/>
    <w:rPr>
      <w:rFonts w:ascii="Georgia" w:hAnsi="Georgia"/>
      <w:sz w:val="19"/>
      <w:szCs w:val="19"/>
      <w:lang w:val="en-AU" w:eastAsia="en-AU" w:bidi="ar-SA"/>
    </w:rPr>
  </w:style>
  <w:style w:type="character" w:customStyle="1" w:styleId="CharChar40">
    <w:name w:val="Char Char4"/>
    <w:locked/>
    <w:rsid w:val="00F263D9"/>
    <w:rPr>
      <w:rFonts w:ascii="Georgia" w:hAnsi="Georgia"/>
      <w:sz w:val="19"/>
      <w:szCs w:val="19"/>
      <w:lang w:val="en-AU" w:eastAsia="en-AU" w:bidi="ar-SA"/>
    </w:rPr>
  </w:style>
  <w:style w:type="character" w:customStyle="1" w:styleId="Heading3Char">
    <w:name w:val="Heading 3 Char"/>
    <w:link w:val="Heading3"/>
    <w:rsid w:val="0045354B"/>
    <w:rPr>
      <w:rFonts w:ascii="Franklin Gothic Medium" w:hAnsi="Franklin Gothic Medium"/>
      <w:color w:val="54534A"/>
      <w:sz w:val="22"/>
      <w:szCs w:val="22"/>
      <w:lang w:val="en-AU" w:eastAsia="en-AU" w:bidi="ar-SA"/>
    </w:rPr>
  </w:style>
  <w:style w:type="character" w:customStyle="1" w:styleId="FootnoteTextChar">
    <w:name w:val="Footnote Text Char"/>
    <w:link w:val="FootnoteText"/>
    <w:semiHidden/>
    <w:locked/>
    <w:rsid w:val="0045354B"/>
    <w:rPr>
      <w:rFonts w:ascii="Franklin Gothic Book" w:hAnsi="Franklin Gothic Book"/>
      <w:sz w:val="14"/>
      <w:szCs w:val="14"/>
      <w:lang w:val="en-AU" w:eastAsia="en-AU" w:bidi="ar-SA"/>
    </w:rPr>
  </w:style>
  <w:style w:type="character" w:customStyle="1" w:styleId="CharChar6">
    <w:name w:val="Char Char6"/>
    <w:rsid w:val="0045354B"/>
    <w:rPr>
      <w:rFonts w:ascii="Georgia" w:hAnsi="Georgia"/>
      <w:sz w:val="19"/>
      <w:szCs w:val="19"/>
    </w:rPr>
  </w:style>
  <w:style w:type="paragraph" w:customStyle="1" w:styleId="Default">
    <w:name w:val="Default"/>
    <w:rsid w:val="0045354B"/>
    <w:pPr>
      <w:autoSpaceDE w:val="0"/>
      <w:autoSpaceDN w:val="0"/>
      <w:adjustRightInd w:val="0"/>
    </w:pPr>
    <w:rPr>
      <w:rFonts w:ascii="Calibri" w:hAnsi="Calibri" w:cs="Calibri"/>
      <w:color w:val="000000"/>
      <w:sz w:val="24"/>
      <w:szCs w:val="24"/>
    </w:rPr>
  </w:style>
  <w:style w:type="character" w:customStyle="1" w:styleId="ListBulletChar">
    <w:name w:val="List Bullet Char"/>
    <w:basedOn w:val="BodyTextChar"/>
    <w:link w:val="ListBullet"/>
    <w:rsid w:val="0045354B"/>
    <w:rPr>
      <w:rFonts w:ascii="Georgia" w:hAnsi="Georgia"/>
      <w:sz w:val="19"/>
      <w:szCs w:val="19"/>
      <w:lang w:val="en-AU" w:eastAsia="en-AU" w:bidi="ar-SA"/>
    </w:rPr>
  </w:style>
  <w:style w:type="paragraph" w:styleId="HTMLPreformatted">
    <w:name w:val="HTML Preformatted"/>
    <w:basedOn w:val="Normal"/>
    <w:unhideWhenUsed/>
    <w:rsid w:val="00453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en-US"/>
    </w:rPr>
  </w:style>
  <w:style w:type="paragraph" w:styleId="Revision">
    <w:name w:val="Revision"/>
    <w:hidden/>
    <w:uiPriority w:val="99"/>
    <w:semiHidden/>
    <w:rsid w:val="00B72333"/>
    <w:rPr>
      <w:szCs w:val="24"/>
      <w:lang w:val="en-AU" w:eastAsia="en-AU"/>
    </w:rPr>
  </w:style>
  <w:style w:type="paragraph" w:customStyle="1" w:styleId="H1">
    <w:name w:val="H1"/>
    <w:basedOn w:val="Normal"/>
    <w:qFormat/>
    <w:rsid w:val="00236560"/>
    <w:pPr>
      <w:keepNext/>
      <w:spacing w:after="100" w:line="320" w:lineRule="atLeast"/>
      <w:outlineLvl w:val="0"/>
    </w:pPr>
    <w:rPr>
      <w:rFonts w:ascii="Franklin Gothic Demi" w:hAnsi="Franklin Gothic Demi"/>
      <w:color w:val="AD495D"/>
      <w:kern w:val="28"/>
      <w:sz w:val="28"/>
      <w:szCs w:val="28"/>
    </w:rPr>
  </w:style>
  <w:style w:type="paragraph" w:customStyle="1" w:styleId="Caption2">
    <w:name w:val="Caption2"/>
    <w:basedOn w:val="TableHeading1"/>
    <w:qFormat/>
    <w:rsid w:val="004A035D"/>
    <w:rPr>
      <w:b/>
      <w:sz w:val="20"/>
      <w:szCs w:val="20"/>
    </w:rPr>
  </w:style>
  <w:style w:type="paragraph" w:styleId="TOCHeading">
    <w:name w:val="TOC Heading"/>
    <w:basedOn w:val="Heading1"/>
    <w:next w:val="Normal"/>
    <w:uiPriority w:val="39"/>
    <w:semiHidden/>
    <w:unhideWhenUsed/>
    <w:qFormat/>
    <w:rsid w:val="00992DE5"/>
    <w:pPr>
      <w:keepNext/>
      <w:keepLines/>
      <w:spacing w:before="480" w:after="0" w:line="276" w:lineRule="auto"/>
      <w:outlineLvl w:val="9"/>
    </w:pPr>
    <w:rPr>
      <w:rFonts w:ascii="Cambria" w:hAnsi="Cambria"/>
      <w:b/>
      <w:bCs/>
      <w:color w:val="365F91"/>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8083">
      <w:bodyDiv w:val="1"/>
      <w:marLeft w:val="0"/>
      <w:marRight w:val="0"/>
      <w:marTop w:val="0"/>
      <w:marBottom w:val="0"/>
      <w:divBdr>
        <w:top w:val="none" w:sz="0" w:space="0" w:color="auto"/>
        <w:left w:val="none" w:sz="0" w:space="0" w:color="auto"/>
        <w:bottom w:val="none" w:sz="0" w:space="0" w:color="auto"/>
        <w:right w:val="none" w:sz="0" w:space="0" w:color="auto"/>
      </w:divBdr>
    </w:div>
    <w:div w:id="62265797">
      <w:bodyDiv w:val="1"/>
      <w:marLeft w:val="0"/>
      <w:marRight w:val="0"/>
      <w:marTop w:val="0"/>
      <w:marBottom w:val="0"/>
      <w:divBdr>
        <w:top w:val="none" w:sz="0" w:space="0" w:color="auto"/>
        <w:left w:val="none" w:sz="0" w:space="0" w:color="auto"/>
        <w:bottom w:val="none" w:sz="0" w:space="0" w:color="auto"/>
        <w:right w:val="none" w:sz="0" w:space="0" w:color="auto"/>
      </w:divBdr>
    </w:div>
    <w:div w:id="264196946">
      <w:bodyDiv w:val="1"/>
      <w:marLeft w:val="0"/>
      <w:marRight w:val="0"/>
      <w:marTop w:val="0"/>
      <w:marBottom w:val="0"/>
      <w:divBdr>
        <w:top w:val="none" w:sz="0" w:space="0" w:color="auto"/>
        <w:left w:val="none" w:sz="0" w:space="0" w:color="auto"/>
        <w:bottom w:val="none" w:sz="0" w:space="0" w:color="auto"/>
        <w:right w:val="none" w:sz="0" w:space="0" w:color="auto"/>
      </w:divBdr>
    </w:div>
    <w:div w:id="291593840">
      <w:bodyDiv w:val="1"/>
      <w:marLeft w:val="0"/>
      <w:marRight w:val="0"/>
      <w:marTop w:val="0"/>
      <w:marBottom w:val="0"/>
      <w:divBdr>
        <w:top w:val="none" w:sz="0" w:space="0" w:color="auto"/>
        <w:left w:val="none" w:sz="0" w:space="0" w:color="auto"/>
        <w:bottom w:val="none" w:sz="0" w:space="0" w:color="auto"/>
        <w:right w:val="none" w:sz="0" w:space="0" w:color="auto"/>
      </w:divBdr>
    </w:div>
    <w:div w:id="355934845">
      <w:bodyDiv w:val="1"/>
      <w:marLeft w:val="0"/>
      <w:marRight w:val="0"/>
      <w:marTop w:val="0"/>
      <w:marBottom w:val="0"/>
      <w:divBdr>
        <w:top w:val="none" w:sz="0" w:space="0" w:color="auto"/>
        <w:left w:val="none" w:sz="0" w:space="0" w:color="auto"/>
        <w:bottom w:val="none" w:sz="0" w:space="0" w:color="auto"/>
        <w:right w:val="none" w:sz="0" w:space="0" w:color="auto"/>
      </w:divBdr>
    </w:div>
    <w:div w:id="377051932">
      <w:bodyDiv w:val="1"/>
      <w:marLeft w:val="0"/>
      <w:marRight w:val="0"/>
      <w:marTop w:val="0"/>
      <w:marBottom w:val="0"/>
      <w:divBdr>
        <w:top w:val="none" w:sz="0" w:space="0" w:color="auto"/>
        <w:left w:val="none" w:sz="0" w:space="0" w:color="auto"/>
        <w:bottom w:val="none" w:sz="0" w:space="0" w:color="auto"/>
        <w:right w:val="none" w:sz="0" w:space="0" w:color="auto"/>
      </w:divBdr>
    </w:div>
    <w:div w:id="378364197">
      <w:bodyDiv w:val="1"/>
      <w:marLeft w:val="0"/>
      <w:marRight w:val="0"/>
      <w:marTop w:val="0"/>
      <w:marBottom w:val="0"/>
      <w:divBdr>
        <w:top w:val="none" w:sz="0" w:space="0" w:color="auto"/>
        <w:left w:val="none" w:sz="0" w:space="0" w:color="auto"/>
        <w:bottom w:val="none" w:sz="0" w:space="0" w:color="auto"/>
        <w:right w:val="none" w:sz="0" w:space="0" w:color="auto"/>
      </w:divBdr>
    </w:div>
    <w:div w:id="466047702">
      <w:bodyDiv w:val="1"/>
      <w:marLeft w:val="0"/>
      <w:marRight w:val="0"/>
      <w:marTop w:val="0"/>
      <w:marBottom w:val="0"/>
      <w:divBdr>
        <w:top w:val="none" w:sz="0" w:space="0" w:color="auto"/>
        <w:left w:val="none" w:sz="0" w:space="0" w:color="auto"/>
        <w:bottom w:val="none" w:sz="0" w:space="0" w:color="auto"/>
        <w:right w:val="none" w:sz="0" w:space="0" w:color="auto"/>
      </w:divBdr>
    </w:div>
    <w:div w:id="483543232">
      <w:bodyDiv w:val="1"/>
      <w:marLeft w:val="0"/>
      <w:marRight w:val="0"/>
      <w:marTop w:val="0"/>
      <w:marBottom w:val="0"/>
      <w:divBdr>
        <w:top w:val="none" w:sz="0" w:space="0" w:color="auto"/>
        <w:left w:val="none" w:sz="0" w:space="0" w:color="auto"/>
        <w:bottom w:val="none" w:sz="0" w:space="0" w:color="auto"/>
        <w:right w:val="none" w:sz="0" w:space="0" w:color="auto"/>
      </w:divBdr>
    </w:div>
    <w:div w:id="521632396">
      <w:bodyDiv w:val="1"/>
      <w:marLeft w:val="0"/>
      <w:marRight w:val="0"/>
      <w:marTop w:val="0"/>
      <w:marBottom w:val="0"/>
      <w:divBdr>
        <w:top w:val="none" w:sz="0" w:space="0" w:color="auto"/>
        <w:left w:val="none" w:sz="0" w:space="0" w:color="auto"/>
        <w:bottom w:val="none" w:sz="0" w:space="0" w:color="auto"/>
        <w:right w:val="none" w:sz="0" w:space="0" w:color="auto"/>
      </w:divBdr>
    </w:div>
    <w:div w:id="560215215">
      <w:bodyDiv w:val="1"/>
      <w:marLeft w:val="0"/>
      <w:marRight w:val="0"/>
      <w:marTop w:val="0"/>
      <w:marBottom w:val="0"/>
      <w:divBdr>
        <w:top w:val="none" w:sz="0" w:space="0" w:color="auto"/>
        <w:left w:val="none" w:sz="0" w:space="0" w:color="auto"/>
        <w:bottom w:val="none" w:sz="0" w:space="0" w:color="auto"/>
        <w:right w:val="none" w:sz="0" w:space="0" w:color="auto"/>
      </w:divBdr>
    </w:div>
    <w:div w:id="565797914">
      <w:bodyDiv w:val="1"/>
      <w:marLeft w:val="0"/>
      <w:marRight w:val="0"/>
      <w:marTop w:val="0"/>
      <w:marBottom w:val="0"/>
      <w:divBdr>
        <w:top w:val="none" w:sz="0" w:space="0" w:color="auto"/>
        <w:left w:val="none" w:sz="0" w:space="0" w:color="auto"/>
        <w:bottom w:val="none" w:sz="0" w:space="0" w:color="auto"/>
        <w:right w:val="none" w:sz="0" w:space="0" w:color="auto"/>
      </w:divBdr>
    </w:div>
    <w:div w:id="583608175">
      <w:bodyDiv w:val="1"/>
      <w:marLeft w:val="0"/>
      <w:marRight w:val="0"/>
      <w:marTop w:val="0"/>
      <w:marBottom w:val="0"/>
      <w:divBdr>
        <w:top w:val="none" w:sz="0" w:space="0" w:color="auto"/>
        <w:left w:val="none" w:sz="0" w:space="0" w:color="auto"/>
        <w:bottom w:val="none" w:sz="0" w:space="0" w:color="auto"/>
        <w:right w:val="none" w:sz="0" w:space="0" w:color="auto"/>
      </w:divBdr>
    </w:div>
    <w:div w:id="685056218">
      <w:bodyDiv w:val="1"/>
      <w:marLeft w:val="0"/>
      <w:marRight w:val="0"/>
      <w:marTop w:val="0"/>
      <w:marBottom w:val="0"/>
      <w:divBdr>
        <w:top w:val="none" w:sz="0" w:space="0" w:color="auto"/>
        <w:left w:val="none" w:sz="0" w:space="0" w:color="auto"/>
        <w:bottom w:val="none" w:sz="0" w:space="0" w:color="auto"/>
        <w:right w:val="none" w:sz="0" w:space="0" w:color="auto"/>
      </w:divBdr>
    </w:div>
    <w:div w:id="750854806">
      <w:bodyDiv w:val="1"/>
      <w:marLeft w:val="0"/>
      <w:marRight w:val="0"/>
      <w:marTop w:val="0"/>
      <w:marBottom w:val="0"/>
      <w:divBdr>
        <w:top w:val="none" w:sz="0" w:space="0" w:color="auto"/>
        <w:left w:val="none" w:sz="0" w:space="0" w:color="auto"/>
        <w:bottom w:val="none" w:sz="0" w:space="0" w:color="auto"/>
        <w:right w:val="none" w:sz="0" w:space="0" w:color="auto"/>
      </w:divBdr>
    </w:div>
    <w:div w:id="818116789">
      <w:bodyDiv w:val="1"/>
      <w:marLeft w:val="0"/>
      <w:marRight w:val="0"/>
      <w:marTop w:val="0"/>
      <w:marBottom w:val="0"/>
      <w:divBdr>
        <w:top w:val="none" w:sz="0" w:space="0" w:color="auto"/>
        <w:left w:val="none" w:sz="0" w:space="0" w:color="auto"/>
        <w:bottom w:val="none" w:sz="0" w:space="0" w:color="auto"/>
        <w:right w:val="none" w:sz="0" w:space="0" w:color="auto"/>
      </w:divBdr>
    </w:div>
    <w:div w:id="869804593">
      <w:bodyDiv w:val="1"/>
      <w:marLeft w:val="0"/>
      <w:marRight w:val="0"/>
      <w:marTop w:val="0"/>
      <w:marBottom w:val="0"/>
      <w:divBdr>
        <w:top w:val="none" w:sz="0" w:space="0" w:color="auto"/>
        <w:left w:val="none" w:sz="0" w:space="0" w:color="auto"/>
        <w:bottom w:val="none" w:sz="0" w:space="0" w:color="auto"/>
        <w:right w:val="none" w:sz="0" w:space="0" w:color="auto"/>
      </w:divBdr>
    </w:div>
    <w:div w:id="903099310">
      <w:bodyDiv w:val="1"/>
      <w:marLeft w:val="0"/>
      <w:marRight w:val="0"/>
      <w:marTop w:val="0"/>
      <w:marBottom w:val="0"/>
      <w:divBdr>
        <w:top w:val="none" w:sz="0" w:space="0" w:color="auto"/>
        <w:left w:val="none" w:sz="0" w:space="0" w:color="auto"/>
        <w:bottom w:val="none" w:sz="0" w:space="0" w:color="auto"/>
        <w:right w:val="none" w:sz="0" w:space="0" w:color="auto"/>
      </w:divBdr>
    </w:div>
    <w:div w:id="1048799523">
      <w:bodyDiv w:val="1"/>
      <w:marLeft w:val="0"/>
      <w:marRight w:val="0"/>
      <w:marTop w:val="0"/>
      <w:marBottom w:val="0"/>
      <w:divBdr>
        <w:top w:val="none" w:sz="0" w:space="0" w:color="auto"/>
        <w:left w:val="none" w:sz="0" w:space="0" w:color="auto"/>
        <w:bottom w:val="none" w:sz="0" w:space="0" w:color="auto"/>
        <w:right w:val="none" w:sz="0" w:space="0" w:color="auto"/>
      </w:divBdr>
    </w:div>
    <w:div w:id="1091703294">
      <w:bodyDiv w:val="1"/>
      <w:marLeft w:val="0"/>
      <w:marRight w:val="0"/>
      <w:marTop w:val="0"/>
      <w:marBottom w:val="0"/>
      <w:divBdr>
        <w:top w:val="none" w:sz="0" w:space="0" w:color="auto"/>
        <w:left w:val="none" w:sz="0" w:space="0" w:color="auto"/>
        <w:bottom w:val="none" w:sz="0" w:space="0" w:color="auto"/>
        <w:right w:val="none" w:sz="0" w:space="0" w:color="auto"/>
      </w:divBdr>
    </w:div>
    <w:div w:id="1188327524">
      <w:bodyDiv w:val="1"/>
      <w:marLeft w:val="0"/>
      <w:marRight w:val="0"/>
      <w:marTop w:val="0"/>
      <w:marBottom w:val="0"/>
      <w:divBdr>
        <w:top w:val="none" w:sz="0" w:space="0" w:color="auto"/>
        <w:left w:val="none" w:sz="0" w:space="0" w:color="auto"/>
        <w:bottom w:val="none" w:sz="0" w:space="0" w:color="auto"/>
        <w:right w:val="none" w:sz="0" w:space="0" w:color="auto"/>
      </w:divBdr>
    </w:div>
    <w:div w:id="1189026679">
      <w:bodyDiv w:val="1"/>
      <w:marLeft w:val="0"/>
      <w:marRight w:val="0"/>
      <w:marTop w:val="0"/>
      <w:marBottom w:val="0"/>
      <w:divBdr>
        <w:top w:val="none" w:sz="0" w:space="0" w:color="auto"/>
        <w:left w:val="none" w:sz="0" w:space="0" w:color="auto"/>
        <w:bottom w:val="none" w:sz="0" w:space="0" w:color="auto"/>
        <w:right w:val="none" w:sz="0" w:space="0" w:color="auto"/>
      </w:divBdr>
    </w:div>
    <w:div w:id="1216818753">
      <w:bodyDiv w:val="1"/>
      <w:marLeft w:val="0"/>
      <w:marRight w:val="0"/>
      <w:marTop w:val="0"/>
      <w:marBottom w:val="0"/>
      <w:divBdr>
        <w:top w:val="none" w:sz="0" w:space="0" w:color="auto"/>
        <w:left w:val="none" w:sz="0" w:space="0" w:color="auto"/>
        <w:bottom w:val="none" w:sz="0" w:space="0" w:color="auto"/>
        <w:right w:val="none" w:sz="0" w:space="0" w:color="auto"/>
      </w:divBdr>
    </w:div>
    <w:div w:id="1219978370">
      <w:bodyDiv w:val="1"/>
      <w:marLeft w:val="0"/>
      <w:marRight w:val="0"/>
      <w:marTop w:val="0"/>
      <w:marBottom w:val="0"/>
      <w:divBdr>
        <w:top w:val="none" w:sz="0" w:space="0" w:color="auto"/>
        <w:left w:val="none" w:sz="0" w:space="0" w:color="auto"/>
        <w:bottom w:val="none" w:sz="0" w:space="0" w:color="auto"/>
        <w:right w:val="none" w:sz="0" w:space="0" w:color="auto"/>
      </w:divBdr>
    </w:div>
    <w:div w:id="1257785965">
      <w:bodyDiv w:val="1"/>
      <w:marLeft w:val="0"/>
      <w:marRight w:val="0"/>
      <w:marTop w:val="0"/>
      <w:marBottom w:val="0"/>
      <w:divBdr>
        <w:top w:val="none" w:sz="0" w:space="0" w:color="auto"/>
        <w:left w:val="none" w:sz="0" w:space="0" w:color="auto"/>
        <w:bottom w:val="none" w:sz="0" w:space="0" w:color="auto"/>
        <w:right w:val="none" w:sz="0" w:space="0" w:color="auto"/>
      </w:divBdr>
    </w:div>
    <w:div w:id="1301306478">
      <w:bodyDiv w:val="1"/>
      <w:marLeft w:val="0"/>
      <w:marRight w:val="0"/>
      <w:marTop w:val="0"/>
      <w:marBottom w:val="0"/>
      <w:divBdr>
        <w:top w:val="none" w:sz="0" w:space="0" w:color="auto"/>
        <w:left w:val="none" w:sz="0" w:space="0" w:color="auto"/>
        <w:bottom w:val="none" w:sz="0" w:space="0" w:color="auto"/>
        <w:right w:val="none" w:sz="0" w:space="0" w:color="auto"/>
      </w:divBdr>
    </w:div>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 w:id="1490823488">
      <w:bodyDiv w:val="1"/>
      <w:marLeft w:val="0"/>
      <w:marRight w:val="0"/>
      <w:marTop w:val="0"/>
      <w:marBottom w:val="0"/>
      <w:divBdr>
        <w:top w:val="none" w:sz="0" w:space="0" w:color="auto"/>
        <w:left w:val="none" w:sz="0" w:space="0" w:color="auto"/>
        <w:bottom w:val="none" w:sz="0" w:space="0" w:color="auto"/>
        <w:right w:val="none" w:sz="0" w:space="0" w:color="auto"/>
      </w:divBdr>
    </w:div>
    <w:div w:id="1571040680">
      <w:bodyDiv w:val="1"/>
      <w:marLeft w:val="0"/>
      <w:marRight w:val="0"/>
      <w:marTop w:val="0"/>
      <w:marBottom w:val="0"/>
      <w:divBdr>
        <w:top w:val="none" w:sz="0" w:space="0" w:color="auto"/>
        <w:left w:val="none" w:sz="0" w:space="0" w:color="auto"/>
        <w:bottom w:val="none" w:sz="0" w:space="0" w:color="auto"/>
        <w:right w:val="none" w:sz="0" w:space="0" w:color="auto"/>
      </w:divBdr>
    </w:div>
    <w:div w:id="1576474156">
      <w:bodyDiv w:val="1"/>
      <w:marLeft w:val="0"/>
      <w:marRight w:val="0"/>
      <w:marTop w:val="0"/>
      <w:marBottom w:val="0"/>
      <w:divBdr>
        <w:top w:val="none" w:sz="0" w:space="0" w:color="auto"/>
        <w:left w:val="none" w:sz="0" w:space="0" w:color="auto"/>
        <w:bottom w:val="none" w:sz="0" w:space="0" w:color="auto"/>
        <w:right w:val="none" w:sz="0" w:space="0" w:color="auto"/>
      </w:divBdr>
    </w:div>
    <w:div w:id="1633050328">
      <w:bodyDiv w:val="1"/>
      <w:marLeft w:val="0"/>
      <w:marRight w:val="0"/>
      <w:marTop w:val="0"/>
      <w:marBottom w:val="0"/>
      <w:divBdr>
        <w:top w:val="none" w:sz="0" w:space="0" w:color="auto"/>
        <w:left w:val="none" w:sz="0" w:space="0" w:color="auto"/>
        <w:bottom w:val="none" w:sz="0" w:space="0" w:color="auto"/>
        <w:right w:val="none" w:sz="0" w:space="0" w:color="auto"/>
      </w:divBdr>
    </w:div>
    <w:div w:id="1660767104">
      <w:bodyDiv w:val="1"/>
      <w:marLeft w:val="0"/>
      <w:marRight w:val="0"/>
      <w:marTop w:val="0"/>
      <w:marBottom w:val="0"/>
      <w:divBdr>
        <w:top w:val="none" w:sz="0" w:space="0" w:color="auto"/>
        <w:left w:val="none" w:sz="0" w:space="0" w:color="auto"/>
        <w:bottom w:val="none" w:sz="0" w:space="0" w:color="auto"/>
        <w:right w:val="none" w:sz="0" w:space="0" w:color="auto"/>
      </w:divBdr>
    </w:div>
    <w:div w:id="1784030778">
      <w:bodyDiv w:val="1"/>
      <w:marLeft w:val="0"/>
      <w:marRight w:val="0"/>
      <w:marTop w:val="0"/>
      <w:marBottom w:val="0"/>
      <w:divBdr>
        <w:top w:val="none" w:sz="0" w:space="0" w:color="auto"/>
        <w:left w:val="none" w:sz="0" w:space="0" w:color="auto"/>
        <w:bottom w:val="none" w:sz="0" w:space="0" w:color="auto"/>
        <w:right w:val="none" w:sz="0" w:space="0" w:color="auto"/>
      </w:divBdr>
    </w:div>
    <w:div w:id="18807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1.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footer" Target="footer8.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4.xml.rels><?xml version="1.0" encoding="UTF-8" standalone="yes"?>
<Relationships xmlns="http://schemas.openxmlformats.org/package/2006/relationships"><Relationship Id="rId1" Type="http://schemas.openxmlformats.org/officeDocument/2006/relationships/image" Target="media/image6.jpeg"/></Relationships>
</file>

<file path=word/_rels/footer5.xml.rels><?xml version="1.0" encoding="UTF-8" standalone="yes"?>
<Relationships xmlns="http://schemas.openxmlformats.org/package/2006/relationships"><Relationship Id="rId1" Type="http://schemas.openxmlformats.org/officeDocument/2006/relationships/image" Target="media/image5.jpeg"/></Relationships>
</file>

<file path=word/_rels/footer6.xml.rels><?xml version="1.0" encoding="UTF-8" standalone="yes"?>
<Relationships xmlns="http://schemas.openxmlformats.org/package/2006/relationships"><Relationship Id="rId1" Type="http://schemas.openxmlformats.org/officeDocument/2006/relationships/image" Target="media/image6.jpeg"/></Relationships>
</file>

<file path=word/_rels/footer7.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rroc\Local%20Settings\Temporary%20Internet%20Files\OLK5\APPR%20Public%20Report%20Template-12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0B9192-11E2-4779-8F14-8B6DB7611766}"/>
</file>

<file path=customXml/itemProps2.xml><?xml version="1.0" encoding="utf-8"?>
<ds:datastoreItem xmlns:ds="http://schemas.openxmlformats.org/officeDocument/2006/customXml" ds:itemID="{18899BAB-93ED-4B06-82E6-122B7DAED48F}"/>
</file>

<file path=customXml/itemProps3.xml><?xml version="1.0" encoding="utf-8"?>
<ds:datastoreItem xmlns:ds="http://schemas.openxmlformats.org/officeDocument/2006/customXml" ds:itemID="{B0932643-D6A9-4BBF-BA0C-55AD18A2AD4E}"/>
</file>

<file path=customXml/itemProps4.xml><?xml version="1.0" encoding="utf-8"?>
<ds:datastoreItem xmlns:ds="http://schemas.openxmlformats.org/officeDocument/2006/customXml" ds:itemID="{D5C2E37C-71A0-4C0A-916C-BB4F8FD1C309}"/>
</file>

<file path=customXml/itemProps5.xml><?xml version="1.0" encoding="utf-8"?>
<ds:datastoreItem xmlns:ds="http://schemas.openxmlformats.org/officeDocument/2006/customXml" ds:itemID="{151DC4DD-66B4-4EF1-AEDC-2F1F27756F0B}"/>
</file>

<file path=docProps/app.xml><?xml version="1.0" encoding="utf-8"?>
<Properties xmlns="http://schemas.openxmlformats.org/officeDocument/2006/extended-properties" xmlns:vt="http://schemas.openxmlformats.org/officeDocument/2006/docPropsVTypes">
  <Template>APPR Public Report Template-123.dot</Template>
  <TotalTime>12</TotalTime>
  <Pages>32</Pages>
  <Words>10891</Words>
  <Characters>66100</Characters>
  <Application>Microsoft Office Word</Application>
  <DocSecurity>0</DocSecurity>
  <Lines>550</Lines>
  <Paragraphs>153</Paragraphs>
  <ScaleCrop>false</ScaleCrop>
  <HeadingPairs>
    <vt:vector size="2" baseType="variant">
      <vt:variant>
        <vt:lpstr>Title</vt:lpstr>
      </vt:variant>
      <vt:variant>
        <vt:i4>1</vt:i4>
      </vt:variant>
    </vt:vector>
  </HeadingPairs>
  <TitlesOfParts>
    <vt:vector size="1" baseType="lpstr">
      <vt:lpstr>APPR 20010</vt:lpstr>
    </vt:vector>
  </TitlesOfParts>
  <Manager>AusAID ADG OPS</Manager>
  <Company>AusAID</Company>
  <LinksUpToDate>false</LinksUpToDate>
  <CharactersWithSpaces>76838</CharactersWithSpaces>
  <SharedDoc>false</SharedDoc>
  <HLinks>
    <vt:vector size="174" baseType="variant">
      <vt:variant>
        <vt:i4>1114168</vt:i4>
      </vt:variant>
      <vt:variant>
        <vt:i4>170</vt:i4>
      </vt:variant>
      <vt:variant>
        <vt:i4>0</vt:i4>
      </vt:variant>
      <vt:variant>
        <vt:i4>5</vt:i4>
      </vt:variant>
      <vt:variant>
        <vt:lpwstr/>
      </vt:variant>
      <vt:variant>
        <vt:lpwstr>_Toc360989302</vt:lpwstr>
      </vt:variant>
      <vt:variant>
        <vt:i4>1114168</vt:i4>
      </vt:variant>
      <vt:variant>
        <vt:i4>164</vt:i4>
      </vt:variant>
      <vt:variant>
        <vt:i4>0</vt:i4>
      </vt:variant>
      <vt:variant>
        <vt:i4>5</vt:i4>
      </vt:variant>
      <vt:variant>
        <vt:lpwstr/>
      </vt:variant>
      <vt:variant>
        <vt:lpwstr>_Toc360989301</vt:lpwstr>
      </vt:variant>
      <vt:variant>
        <vt:i4>1114168</vt:i4>
      </vt:variant>
      <vt:variant>
        <vt:i4>158</vt:i4>
      </vt:variant>
      <vt:variant>
        <vt:i4>0</vt:i4>
      </vt:variant>
      <vt:variant>
        <vt:i4>5</vt:i4>
      </vt:variant>
      <vt:variant>
        <vt:lpwstr/>
      </vt:variant>
      <vt:variant>
        <vt:lpwstr>_Toc360989300</vt:lpwstr>
      </vt:variant>
      <vt:variant>
        <vt:i4>1572921</vt:i4>
      </vt:variant>
      <vt:variant>
        <vt:i4>152</vt:i4>
      </vt:variant>
      <vt:variant>
        <vt:i4>0</vt:i4>
      </vt:variant>
      <vt:variant>
        <vt:i4>5</vt:i4>
      </vt:variant>
      <vt:variant>
        <vt:lpwstr/>
      </vt:variant>
      <vt:variant>
        <vt:lpwstr>_Toc360989299</vt:lpwstr>
      </vt:variant>
      <vt:variant>
        <vt:i4>1572921</vt:i4>
      </vt:variant>
      <vt:variant>
        <vt:i4>146</vt:i4>
      </vt:variant>
      <vt:variant>
        <vt:i4>0</vt:i4>
      </vt:variant>
      <vt:variant>
        <vt:i4>5</vt:i4>
      </vt:variant>
      <vt:variant>
        <vt:lpwstr/>
      </vt:variant>
      <vt:variant>
        <vt:lpwstr>_Toc360989298</vt:lpwstr>
      </vt:variant>
      <vt:variant>
        <vt:i4>1572921</vt:i4>
      </vt:variant>
      <vt:variant>
        <vt:i4>140</vt:i4>
      </vt:variant>
      <vt:variant>
        <vt:i4>0</vt:i4>
      </vt:variant>
      <vt:variant>
        <vt:i4>5</vt:i4>
      </vt:variant>
      <vt:variant>
        <vt:lpwstr/>
      </vt:variant>
      <vt:variant>
        <vt:lpwstr>_Toc360989297</vt:lpwstr>
      </vt:variant>
      <vt:variant>
        <vt:i4>1572921</vt:i4>
      </vt:variant>
      <vt:variant>
        <vt:i4>134</vt:i4>
      </vt:variant>
      <vt:variant>
        <vt:i4>0</vt:i4>
      </vt:variant>
      <vt:variant>
        <vt:i4>5</vt:i4>
      </vt:variant>
      <vt:variant>
        <vt:lpwstr/>
      </vt:variant>
      <vt:variant>
        <vt:lpwstr>_Toc360989296</vt:lpwstr>
      </vt:variant>
      <vt:variant>
        <vt:i4>1572921</vt:i4>
      </vt:variant>
      <vt:variant>
        <vt:i4>128</vt:i4>
      </vt:variant>
      <vt:variant>
        <vt:i4>0</vt:i4>
      </vt:variant>
      <vt:variant>
        <vt:i4>5</vt:i4>
      </vt:variant>
      <vt:variant>
        <vt:lpwstr/>
      </vt:variant>
      <vt:variant>
        <vt:lpwstr>_Toc360989295</vt:lpwstr>
      </vt:variant>
      <vt:variant>
        <vt:i4>1572921</vt:i4>
      </vt:variant>
      <vt:variant>
        <vt:i4>122</vt:i4>
      </vt:variant>
      <vt:variant>
        <vt:i4>0</vt:i4>
      </vt:variant>
      <vt:variant>
        <vt:i4>5</vt:i4>
      </vt:variant>
      <vt:variant>
        <vt:lpwstr/>
      </vt:variant>
      <vt:variant>
        <vt:lpwstr>_Toc360989294</vt:lpwstr>
      </vt:variant>
      <vt:variant>
        <vt:i4>1572921</vt:i4>
      </vt:variant>
      <vt:variant>
        <vt:i4>116</vt:i4>
      </vt:variant>
      <vt:variant>
        <vt:i4>0</vt:i4>
      </vt:variant>
      <vt:variant>
        <vt:i4>5</vt:i4>
      </vt:variant>
      <vt:variant>
        <vt:lpwstr/>
      </vt:variant>
      <vt:variant>
        <vt:lpwstr>_Toc360989293</vt:lpwstr>
      </vt:variant>
      <vt:variant>
        <vt:i4>1572921</vt:i4>
      </vt:variant>
      <vt:variant>
        <vt:i4>110</vt:i4>
      </vt:variant>
      <vt:variant>
        <vt:i4>0</vt:i4>
      </vt:variant>
      <vt:variant>
        <vt:i4>5</vt:i4>
      </vt:variant>
      <vt:variant>
        <vt:lpwstr/>
      </vt:variant>
      <vt:variant>
        <vt:lpwstr>_Toc360989292</vt:lpwstr>
      </vt:variant>
      <vt:variant>
        <vt:i4>1572921</vt:i4>
      </vt:variant>
      <vt:variant>
        <vt:i4>104</vt:i4>
      </vt:variant>
      <vt:variant>
        <vt:i4>0</vt:i4>
      </vt:variant>
      <vt:variant>
        <vt:i4>5</vt:i4>
      </vt:variant>
      <vt:variant>
        <vt:lpwstr/>
      </vt:variant>
      <vt:variant>
        <vt:lpwstr>_Toc360989291</vt:lpwstr>
      </vt:variant>
      <vt:variant>
        <vt:i4>1572921</vt:i4>
      </vt:variant>
      <vt:variant>
        <vt:i4>98</vt:i4>
      </vt:variant>
      <vt:variant>
        <vt:i4>0</vt:i4>
      </vt:variant>
      <vt:variant>
        <vt:i4>5</vt:i4>
      </vt:variant>
      <vt:variant>
        <vt:lpwstr/>
      </vt:variant>
      <vt:variant>
        <vt:lpwstr>_Toc360989290</vt:lpwstr>
      </vt:variant>
      <vt:variant>
        <vt:i4>1638457</vt:i4>
      </vt:variant>
      <vt:variant>
        <vt:i4>92</vt:i4>
      </vt:variant>
      <vt:variant>
        <vt:i4>0</vt:i4>
      </vt:variant>
      <vt:variant>
        <vt:i4>5</vt:i4>
      </vt:variant>
      <vt:variant>
        <vt:lpwstr/>
      </vt:variant>
      <vt:variant>
        <vt:lpwstr>_Toc360989289</vt:lpwstr>
      </vt:variant>
      <vt:variant>
        <vt:i4>1638457</vt:i4>
      </vt:variant>
      <vt:variant>
        <vt:i4>86</vt:i4>
      </vt:variant>
      <vt:variant>
        <vt:i4>0</vt:i4>
      </vt:variant>
      <vt:variant>
        <vt:i4>5</vt:i4>
      </vt:variant>
      <vt:variant>
        <vt:lpwstr/>
      </vt:variant>
      <vt:variant>
        <vt:lpwstr>_Toc360989288</vt:lpwstr>
      </vt:variant>
      <vt:variant>
        <vt:i4>1638457</vt:i4>
      </vt:variant>
      <vt:variant>
        <vt:i4>80</vt:i4>
      </vt:variant>
      <vt:variant>
        <vt:i4>0</vt:i4>
      </vt:variant>
      <vt:variant>
        <vt:i4>5</vt:i4>
      </vt:variant>
      <vt:variant>
        <vt:lpwstr/>
      </vt:variant>
      <vt:variant>
        <vt:lpwstr>_Toc360989287</vt:lpwstr>
      </vt:variant>
      <vt:variant>
        <vt:i4>1638457</vt:i4>
      </vt:variant>
      <vt:variant>
        <vt:i4>74</vt:i4>
      </vt:variant>
      <vt:variant>
        <vt:i4>0</vt:i4>
      </vt:variant>
      <vt:variant>
        <vt:i4>5</vt:i4>
      </vt:variant>
      <vt:variant>
        <vt:lpwstr/>
      </vt:variant>
      <vt:variant>
        <vt:lpwstr>_Toc360989286</vt:lpwstr>
      </vt:variant>
      <vt:variant>
        <vt:i4>1638457</vt:i4>
      </vt:variant>
      <vt:variant>
        <vt:i4>68</vt:i4>
      </vt:variant>
      <vt:variant>
        <vt:i4>0</vt:i4>
      </vt:variant>
      <vt:variant>
        <vt:i4>5</vt:i4>
      </vt:variant>
      <vt:variant>
        <vt:lpwstr/>
      </vt:variant>
      <vt:variant>
        <vt:lpwstr>_Toc360989285</vt:lpwstr>
      </vt:variant>
      <vt:variant>
        <vt:i4>1638457</vt:i4>
      </vt:variant>
      <vt:variant>
        <vt:i4>62</vt:i4>
      </vt:variant>
      <vt:variant>
        <vt:i4>0</vt:i4>
      </vt:variant>
      <vt:variant>
        <vt:i4>5</vt:i4>
      </vt:variant>
      <vt:variant>
        <vt:lpwstr/>
      </vt:variant>
      <vt:variant>
        <vt:lpwstr>_Toc360989284</vt:lpwstr>
      </vt:variant>
      <vt:variant>
        <vt:i4>1638457</vt:i4>
      </vt:variant>
      <vt:variant>
        <vt:i4>56</vt:i4>
      </vt:variant>
      <vt:variant>
        <vt:i4>0</vt:i4>
      </vt:variant>
      <vt:variant>
        <vt:i4>5</vt:i4>
      </vt:variant>
      <vt:variant>
        <vt:lpwstr/>
      </vt:variant>
      <vt:variant>
        <vt:lpwstr>_Toc360989283</vt:lpwstr>
      </vt:variant>
      <vt:variant>
        <vt:i4>1638457</vt:i4>
      </vt:variant>
      <vt:variant>
        <vt:i4>50</vt:i4>
      </vt:variant>
      <vt:variant>
        <vt:i4>0</vt:i4>
      </vt:variant>
      <vt:variant>
        <vt:i4>5</vt:i4>
      </vt:variant>
      <vt:variant>
        <vt:lpwstr/>
      </vt:variant>
      <vt:variant>
        <vt:lpwstr>_Toc360989282</vt:lpwstr>
      </vt:variant>
      <vt:variant>
        <vt:i4>1638457</vt:i4>
      </vt:variant>
      <vt:variant>
        <vt:i4>44</vt:i4>
      </vt:variant>
      <vt:variant>
        <vt:i4>0</vt:i4>
      </vt:variant>
      <vt:variant>
        <vt:i4>5</vt:i4>
      </vt:variant>
      <vt:variant>
        <vt:lpwstr/>
      </vt:variant>
      <vt:variant>
        <vt:lpwstr>_Toc360989281</vt:lpwstr>
      </vt:variant>
      <vt:variant>
        <vt:i4>1638457</vt:i4>
      </vt:variant>
      <vt:variant>
        <vt:i4>38</vt:i4>
      </vt:variant>
      <vt:variant>
        <vt:i4>0</vt:i4>
      </vt:variant>
      <vt:variant>
        <vt:i4>5</vt:i4>
      </vt:variant>
      <vt:variant>
        <vt:lpwstr/>
      </vt:variant>
      <vt:variant>
        <vt:lpwstr>_Toc360989280</vt:lpwstr>
      </vt:variant>
      <vt:variant>
        <vt:i4>1441849</vt:i4>
      </vt:variant>
      <vt:variant>
        <vt:i4>32</vt:i4>
      </vt:variant>
      <vt:variant>
        <vt:i4>0</vt:i4>
      </vt:variant>
      <vt:variant>
        <vt:i4>5</vt:i4>
      </vt:variant>
      <vt:variant>
        <vt:lpwstr/>
      </vt:variant>
      <vt:variant>
        <vt:lpwstr>_Toc360989279</vt:lpwstr>
      </vt:variant>
      <vt:variant>
        <vt:i4>1441849</vt:i4>
      </vt:variant>
      <vt:variant>
        <vt:i4>26</vt:i4>
      </vt:variant>
      <vt:variant>
        <vt:i4>0</vt:i4>
      </vt:variant>
      <vt:variant>
        <vt:i4>5</vt:i4>
      </vt:variant>
      <vt:variant>
        <vt:lpwstr/>
      </vt:variant>
      <vt:variant>
        <vt:lpwstr>_Toc360989278</vt:lpwstr>
      </vt:variant>
      <vt:variant>
        <vt:i4>1441849</vt:i4>
      </vt:variant>
      <vt:variant>
        <vt:i4>20</vt:i4>
      </vt:variant>
      <vt:variant>
        <vt:i4>0</vt:i4>
      </vt:variant>
      <vt:variant>
        <vt:i4>5</vt:i4>
      </vt:variant>
      <vt:variant>
        <vt:lpwstr/>
      </vt:variant>
      <vt:variant>
        <vt:lpwstr>_Toc360989277</vt:lpwstr>
      </vt:variant>
      <vt:variant>
        <vt:i4>1441849</vt:i4>
      </vt:variant>
      <vt:variant>
        <vt:i4>14</vt:i4>
      </vt:variant>
      <vt:variant>
        <vt:i4>0</vt:i4>
      </vt:variant>
      <vt:variant>
        <vt:i4>5</vt:i4>
      </vt:variant>
      <vt:variant>
        <vt:lpwstr/>
      </vt:variant>
      <vt:variant>
        <vt:lpwstr>_Toc360989276</vt:lpwstr>
      </vt:variant>
      <vt:variant>
        <vt:i4>1441849</vt:i4>
      </vt:variant>
      <vt:variant>
        <vt:i4>8</vt:i4>
      </vt:variant>
      <vt:variant>
        <vt:i4>0</vt:i4>
      </vt:variant>
      <vt:variant>
        <vt:i4>5</vt:i4>
      </vt:variant>
      <vt:variant>
        <vt:lpwstr/>
      </vt:variant>
      <vt:variant>
        <vt:lpwstr>_Toc360989275</vt:lpwstr>
      </vt:variant>
      <vt:variant>
        <vt:i4>1441849</vt:i4>
      </vt:variant>
      <vt:variant>
        <vt:i4>2</vt:i4>
      </vt:variant>
      <vt:variant>
        <vt:i4>0</vt:i4>
      </vt:variant>
      <vt:variant>
        <vt:i4>5</vt:i4>
      </vt:variant>
      <vt:variant>
        <vt:lpwstr/>
      </vt:variant>
      <vt:variant>
        <vt:lpwstr>_Toc360989274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 20010</dc:title>
  <dc:creator>Catherine Herron</dc:creator>
  <cp:keywords>APPR</cp:keywords>
  <cp:lastModifiedBy>Muhammad Khattab</cp:lastModifiedBy>
  <cp:revision>4</cp:revision>
  <cp:lastPrinted>2011-11-23T10:18:00Z</cp:lastPrinted>
  <dcterms:created xsi:type="dcterms:W3CDTF">2013-07-09T10:16:00Z</dcterms:created>
  <dcterms:modified xsi:type="dcterms:W3CDTF">2013-07-10T09:22:00Z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r8>133600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0x01010050F19AC2165D2E47A5E6B7F563E4CF00</vt:lpwstr>
  </property>
  <property fmtid="{D5CDD505-2E9C-101B-9397-08002B2CF9AE}" pid="11" name="PublishingContact">
    <vt:lpwstr/>
  </property>
  <property fmtid="{D5CDD505-2E9C-101B-9397-08002B2CF9AE}" pid="12" name="WCMSPublicationSubCategory">
    <vt:lpwstr/>
  </property>
  <property fmtid="{D5CDD505-2E9C-101B-9397-08002B2CF9AE}" pid="13" name="WCMSIPSSubCategory">
    <vt:lpwstr/>
  </property>
  <property fmtid="{D5CDD505-2E9C-101B-9397-08002B2CF9AE}" pid="14" name="PublishingRollupImage">
    <vt:lpwstr/>
  </property>
  <property fmtid="{D5CDD505-2E9C-101B-9397-08002B2CF9AE}" pid="15" name="AusAIDAggregationLevel">
    <vt:lpwstr/>
  </property>
  <property fmtid="{D5CDD505-2E9C-101B-9397-08002B2CF9AE}" pid="16" name="WCMSStatus">
    <vt:lpwstr/>
  </property>
  <property fmtid="{D5CDD505-2E9C-101B-9397-08002B2CF9AE}" pid="17" name="PublishingContactEmail">
    <vt:lpwstr/>
  </property>
  <property fmtid="{D5CDD505-2E9C-101B-9397-08002B2CF9AE}" pid="18" name="WCMSPrintedMedia">
    <vt:bool>false</vt:bool>
  </property>
  <property fmtid="{D5CDD505-2E9C-101B-9397-08002B2CF9AE}" pid="19" name="WCMSIPSCategory">
    <vt:lpwstr/>
  </property>
  <property fmtid="{D5CDD505-2E9C-101B-9397-08002B2CF9AE}" pid="20" name="RSS Feed Link">
    <vt:lpwstr/>
  </property>
  <property fmtid="{D5CDD505-2E9C-101B-9397-08002B2CF9AE}" pid="21" name="WCMSDocumentLink">
    <vt:lpwstr/>
  </property>
  <property fmtid="{D5CDD505-2E9C-101B-9397-08002B2CF9AE}" pid="22" name="WCMSReportDisclaimer">
    <vt:bool>false</vt:bool>
  </property>
  <property fmtid="{D5CDD505-2E9C-101B-9397-08002B2CF9AE}" pid="23" name="PublishingVariationRelationshipLinkFieldID">
    <vt:lpwstr/>
  </property>
  <property fmtid="{D5CDD505-2E9C-101B-9397-08002B2CF9AE}" pid="24" name="WCMSPublicationCategory">
    <vt:lpwstr/>
  </property>
  <property fmtid="{D5CDD505-2E9C-101B-9397-08002B2CF9AE}" pid="25" name="WCMSElectronicMedia">
    <vt:bool>false</vt:bool>
  </property>
  <property fmtid="{D5CDD505-2E9C-101B-9397-08002B2CF9AE}" pid="26" name="Comments">
    <vt:lpwstr/>
  </property>
  <property fmtid="{D5CDD505-2E9C-101B-9397-08002B2CF9AE}" pid="27" name="PublishingPageLayout">
    <vt:lpwstr/>
  </property>
  <property fmtid="{D5CDD505-2E9C-101B-9397-08002B2CF9AE}" pid="28" name="WCMSCountry">
    <vt:lpwstr/>
  </property>
  <property fmtid="{D5CDD505-2E9C-101B-9397-08002B2CF9AE}" pid="29" name="WCMSSourceId">
    <vt:lpwstr/>
  </property>
  <property fmtid="{D5CDD505-2E9C-101B-9397-08002B2CF9AE}" pid="30" name="WCMSLatest">
    <vt:bool>false</vt:bool>
  </property>
  <property fmtid="{D5CDD505-2E9C-101B-9397-08002B2CF9AE}" pid="31" name="WCMSPublicationFormat">
    <vt:lpwstr/>
  </property>
  <property fmtid="{D5CDD505-2E9C-101B-9397-08002B2CF9AE}" pid="32" name="AusAIDPageSubjectMetadata">
    <vt:lpwstr/>
  </property>
  <property fmtid="{D5CDD505-2E9C-101B-9397-08002B2CF9AE}" pid="33" name="AusAIDCategoryMetadata">
    <vt:lpwstr/>
  </property>
  <property fmtid="{D5CDD505-2E9C-101B-9397-08002B2CF9AE}" pid="34" name="AusAIDDocumentTypeMetaData">
    <vt:lpwstr/>
  </property>
  <property fmtid="{D5CDD505-2E9C-101B-9397-08002B2CF9AE}" pid="35" name="WCMSLanguage">
    <vt:lpwstr/>
  </property>
  <property fmtid="{D5CDD505-2E9C-101B-9397-08002B2CF9AE}" pid="36" name="Audience">
    <vt:lpwstr/>
  </property>
  <property fmtid="{D5CDD505-2E9C-101B-9397-08002B2CF9AE}" pid="37" name="WCMSDescription">
    <vt:lpwstr/>
  </property>
  <property fmtid="{D5CDD505-2E9C-101B-9397-08002B2CF9AE}" pid="39" name="WCMSOtherCategory">
    <vt:lpwstr/>
  </property>
  <property fmtid="{D5CDD505-2E9C-101B-9397-08002B2CF9AE}" pid="40" name="AusAIDPageDescriptionMetadata">
    <vt:lpwstr/>
  </property>
  <property fmtid="{D5CDD505-2E9C-101B-9397-08002B2CF9AE}" pid="41" name="WCMSTheme">
    <vt:lpwstr/>
  </property>
  <property fmtid="{D5CDD505-2E9C-101B-9397-08002B2CF9AE}" pid="42" name="WCMSISBNISSN">
    <vt:lpwstr/>
  </property>
  <property fmtid="{D5CDD505-2E9C-101B-9397-08002B2CF9AE}" pid="43" name="PublishingContactPicture">
    <vt:lpwstr/>
  </property>
  <property fmtid="{D5CDD505-2E9C-101B-9397-08002B2CF9AE}" pid="44" name="PublishingVariationGroupID">
    <vt:lpwstr/>
  </property>
  <property fmtid="{D5CDD505-2E9C-101B-9397-08002B2CF9AE}" pid="45" name="AusAIDIdentifierMetadata">
    <vt:lpwstr/>
  </property>
  <property fmtid="{D5CDD505-2E9C-101B-9397-08002B2CF9AE}" pid="46" name="PublishingContactName">
    <vt:lpwstr/>
  </property>
  <property fmtid="{D5CDD505-2E9C-101B-9397-08002B2CF9AE}" pid="47" name="WCMSRegion">
    <vt:lpwstr/>
  </property>
  <property fmtid="{D5CDD505-2E9C-101B-9397-08002B2CF9AE}" pid="48" name="WCMSPublicationAuthor">
    <vt:lpwstr/>
  </property>
  <property fmtid="{D5CDD505-2E9C-101B-9397-08002B2CF9AE}" pid="49" name="display_urn">
    <vt:lpwstr>System Account</vt:lpwstr>
  </property>
</Properties>
</file>