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2C295" w14:textId="77777777" w:rsidR="005A00CC" w:rsidRDefault="00E928D7" w:rsidP="003C1BF1">
      <w:pPr>
        <w:pStyle w:val="Heading1"/>
        <w:spacing w:after="300"/>
        <w:jc w:val="center"/>
        <w:rPr>
          <w:color w:val="auto"/>
        </w:rPr>
      </w:pPr>
      <w:bookmarkStart w:id="0" w:name="_Toc475348267"/>
      <w:bookmarkStart w:id="1" w:name="_Toc373853205"/>
      <w:r w:rsidRPr="007451B9">
        <w:rPr>
          <w:color w:val="auto"/>
        </w:rPr>
        <w:t>Management Response</w:t>
      </w:r>
    </w:p>
    <w:p w14:paraId="4C80266D" w14:textId="723DD768" w:rsidR="00ED5255" w:rsidRPr="007451B9" w:rsidRDefault="005A00CC" w:rsidP="003C1BF1">
      <w:pPr>
        <w:pStyle w:val="Heading1"/>
        <w:spacing w:after="300"/>
        <w:jc w:val="center"/>
        <w:rPr>
          <w:color w:val="auto"/>
        </w:rPr>
      </w:pPr>
      <w:r>
        <w:rPr>
          <w:color w:val="auto"/>
        </w:rPr>
        <w:t>Mid-term Review of The Lao PDR Competitiveness and Trade project</w:t>
      </w:r>
      <w:r w:rsidR="00E928D7" w:rsidRPr="007451B9">
        <w:rPr>
          <w:color w:val="auto"/>
        </w:rPr>
        <w:t xml:space="preserve"> </w:t>
      </w:r>
      <w:bookmarkEnd w:id="0"/>
    </w:p>
    <w:p w14:paraId="3EC424A2" w14:textId="77777777" w:rsidR="00681BEE" w:rsidRDefault="00681BEE" w:rsidP="00A02111">
      <w:pPr>
        <w:pStyle w:val="Heading3"/>
      </w:pPr>
    </w:p>
    <w:p w14:paraId="05BE22F0" w14:textId="77777777" w:rsidR="00681BEE" w:rsidRDefault="00681BEE" w:rsidP="00A02111">
      <w:pPr>
        <w:pStyle w:val="Heading3"/>
      </w:pPr>
    </w:p>
    <w:p w14:paraId="5AEB6A56" w14:textId="77777777" w:rsidR="00681BEE" w:rsidRPr="00681BEE" w:rsidRDefault="00681BEE" w:rsidP="00681BEE">
      <w:pPr>
        <w:suppressAutoHyphens w:val="0"/>
        <w:spacing w:before="0" w:after="0" w:line="240" w:lineRule="auto"/>
        <w:rPr>
          <w:rFonts w:eastAsia="Times New Roman" w:cs="Arial Unicode MS"/>
          <w:color w:val="auto"/>
          <w:lang w:val="en-AU" w:eastAsia="en-AU" w:bidi="lo-LA"/>
        </w:rPr>
      </w:pPr>
    </w:p>
    <w:p w14:paraId="145B5D0E" w14:textId="67D9F99C" w:rsidR="00681BEE" w:rsidRPr="00681BEE" w:rsidRDefault="00681BEE" w:rsidP="00681BEE">
      <w:pPr>
        <w:suppressAutoHyphens w:val="0"/>
        <w:spacing w:before="0" w:after="0" w:line="240" w:lineRule="auto"/>
        <w:rPr>
          <w:rFonts w:eastAsia="Times New Roman" w:cs="Arial Unicode MS"/>
          <w:color w:val="auto"/>
          <w:lang w:val="en-AU" w:eastAsia="en-AU" w:bidi="lo-LA"/>
        </w:rPr>
      </w:pPr>
      <w:r w:rsidRPr="00681BEE">
        <w:rPr>
          <w:rFonts w:eastAsia="Times New Roman" w:cs="Arial Unicode MS"/>
          <w:color w:val="auto"/>
          <w:lang w:val="en-AU" w:eastAsia="en-AU" w:bidi="lo-LA"/>
        </w:rPr>
        <w:t>L</w:t>
      </w:r>
      <w:proofErr w:type="spellStart"/>
      <w:r w:rsidR="002D1D43">
        <w:rPr>
          <w:rFonts w:eastAsia="Times New Roman" w:cs="Arial Unicode MS"/>
          <w:color w:val="auto"/>
          <w:lang w:val="en-US" w:eastAsia="en-AU" w:bidi="lo-LA"/>
        </w:rPr>
        <w:t>ao</w:t>
      </w:r>
      <w:proofErr w:type="spellEnd"/>
      <w:r w:rsidR="002D1D43">
        <w:rPr>
          <w:rFonts w:eastAsia="Times New Roman" w:cs="Arial Unicode MS"/>
          <w:color w:val="auto"/>
          <w:lang w:val="en-US" w:eastAsia="en-AU" w:bidi="lo-LA"/>
        </w:rPr>
        <w:t xml:space="preserve"> PDR </w:t>
      </w:r>
      <w:r w:rsidR="002D1D43" w:rsidRPr="00681BEE">
        <w:rPr>
          <w:rFonts w:eastAsia="Times New Roman" w:cs="Arial Unicode MS"/>
          <w:color w:val="auto"/>
          <w:lang w:val="en-AU" w:eastAsia="en-AU" w:bidi="lo-LA"/>
        </w:rPr>
        <w:t>C</w:t>
      </w:r>
      <w:r w:rsidR="002D1D43">
        <w:rPr>
          <w:rFonts w:eastAsia="Times New Roman" w:cs="Arial Unicode MS"/>
          <w:color w:val="auto"/>
          <w:lang w:val="en-AU" w:eastAsia="en-AU" w:bidi="lo-LA"/>
        </w:rPr>
        <w:t xml:space="preserve">ompetitiveness and </w:t>
      </w:r>
      <w:r w:rsidRPr="00681BEE">
        <w:rPr>
          <w:rFonts w:eastAsia="Times New Roman" w:cs="Arial Unicode MS"/>
          <w:color w:val="auto"/>
          <w:lang w:val="en-AU" w:eastAsia="en-AU" w:bidi="lo-LA"/>
        </w:rPr>
        <w:t>T</w:t>
      </w:r>
      <w:r w:rsidR="002D1D43">
        <w:rPr>
          <w:rFonts w:eastAsia="Times New Roman" w:cs="Arial Unicode MS"/>
          <w:color w:val="auto"/>
          <w:lang w:val="en-AU" w:eastAsia="en-AU" w:bidi="lo-LA"/>
        </w:rPr>
        <w:t xml:space="preserve">rade (LCT) </w:t>
      </w:r>
      <w:r w:rsidRPr="00681BEE">
        <w:rPr>
          <w:rFonts w:eastAsia="Times New Roman" w:cs="Arial Unicode MS"/>
          <w:color w:val="auto"/>
          <w:lang w:val="en-AU" w:eastAsia="en-AU" w:bidi="lo-LA"/>
        </w:rPr>
        <w:t>P</w:t>
      </w:r>
      <w:r w:rsidR="002D1D43">
        <w:rPr>
          <w:rFonts w:eastAsia="Times New Roman" w:cs="Arial Unicode MS"/>
          <w:color w:val="auto"/>
          <w:lang w:val="en-AU" w:eastAsia="en-AU" w:bidi="lo-LA"/>
        </w:rPr>
        <w:t>roject</w:t>
      </w:r>
      <w:r w:rsidRPr="00681BEE">
        <w:rPr>
          <w:rFonts w:eastAsia="Times New Roman" w:cs="Arial Unicode MS"/>
          <w:color w:val="auto"/>
          <w:lang w:val="en-AU" w:eastAsia="en-AU" w:bidi="lo-LA"/>
        </w:rPr>
        <w:t xml:space="preserve"> is a multi-donor program administered by the World Bank and implemented by the National Implementation Unit (NIU) of Ministry of Industry and Commerce (</w:t>
      </w:r>
      <w:proofErr w:type="spellStart"/>
      <w:r w:rsidRPr="00681BEE">
        <w:rPr>
          <w:rFonts w:eastAsia="Times New Roman" w:cs="Arial Unicode MS"/>
          <w:color w:val="auto"/>
          <w:lang w:val="en-AU" w:eastAsia="en-AU" w:bidi="lo-LA"/>
        </w:rPr>
        <w:t>MoIC</w:t>
      </w:r>
      <w:proofErr w:type="spellEnd"/>
      <w:r w:rsidRPr="00681BEE">
        <w:rPr>
          <w:rFonts w:eastAsia="Times New Roman" w:cs="Arial Unicode MS"/>
          <w:color w:val="auto"/>
          <w:lang w:val="en-AU" w:eastAsia="en-AU" w:bidi="lo-LA"/>
        </w:rPr>
        <w:t>)</w:t>
      </w:r>
      <w:r w:rsidR="00CD44DB">
        <w:rPr>
          <w:rFonts w:eastAsia="Times New Roman" w:cs="Arial Unicode MS"/>
          <w:color w:val="auto"/>
          <w:lang w:val="en-AU" w:eastAsia="en-AU" w:bidi="lo-LA"/>
        </w:rPr>
        <w:t xml:space="preserve"> in Lao PDR</w:t>
      </w:r>
      <w:r w:rsidRPr="00681BEE">
        <w:rPr>
          <w:rFonts w:eastAsia="Times New Roman" w:cs="Arial Unicode MS"/>
          <w:color w:val="auto"/>
          <w:lang w:val="en-AU" w:eastAsia="en-AU" w:bidi="lo-LA"/>
        </w:rPr>
        <w:t>.</w:t>
      </w:r>
      <w:r w:rsidRPr="00681BEE">
        <w:rPr>
          <w:rFonts w:eastAsia="Times New Roman" w:cs="Arial Unicode MS"/>
          <w:color w:val="FF0000"/>
          <w:lang w:val="en-AU" w:eastAsia="en-AU" w:bidi="lo-LA"/>
        </w:rPr>
        <w:t xml:space="preserve"> </w:t>
      </w:r>
      <w:r w:rsidR="005F4DFC">
        <w:rPr>
          <w:rFonts w:eastAsia="Times New Roman" w:cs="Arial Unicode MS"/>
          <w:color w:val="auto"/>
          <w:lang w:val="en-AU" w:eastAsia="en-AU" w:bidi="lo-LA"/>
        </w:rPr>
        <w:t>LCT</w:t>
      </w:r>
      <w:r w:rsidRPr="00681BEE">
        <w:rPr>
          <w:rFonts w:eastAsia="Times New Roman" w:cs="Arial Unicode MS"/>
          <w:color w:val="auto"/>
          <w:lang w:val="en-AU" w:eastAsia="en-AU" w:bidi="lo-LA"/>
        </w:rPr>
        <w:t xml:space="preserve"> was designed for the period January 2019- December 2022 with funding from Australia (AUD 4.5 million), USAID (USD 3 million from September 2019), Irish Aid (EUR 360,000) and a World Bank IDA loan (USD 10 million). Responding to the COVID impact on the Lao economy, DFAT provided additional funding AUD 1 million in June 2020 (as part of the Humanitarian and Health COVID-19 Response in Laos Program). This brings the total contribution of DFAT </w:t>
      </w:r>
      <w:r w:rsidR="00843370">
        <w:rPr>
          <w:rFonts w:eastAsia="Times New Roman" w:cs="Arial Unicode MS"/>
          <w:color w:val="auto"/>
          <w:lang w:val="en-AU" w:eastAsia="en-AU" w:bidi="lo-LA"/>
        </w:rPr>
        <w:t>to LCT</w:t>
      </w:r>
      <w:r w:rsidR="00CD44DB">
        <w:rPr>
          <w:rFonts w:eastAsia="Times New Roman" w:cs="Arial Unicode MS"/>
          <w:color w:val="auto"/>
          <w:lang w:val="en-AU" w:eastAsia="en-AU" w:bidi="lo-LA"/>
        </w:rPr>
        <w:t xml:space="preserve"> to AUD 5.5 million. LCT</w:t>
      </w:r>
      <w:r w:rsidRPr="00681BEE">
        <w:rPr>
          <w:rFonts w:eastAsia="Times New Roman" w:cs="Arial Unicode MS"/>
          <w:color w:val="auto"/>
          <w:lang w:val="en-AU" w:eastAsia="en-AU" w:bidi="lo-LA"/>
        </w:rPr>
        <w:t xml:space="preserve"> was designed using lessons learned and outcomes from the </w:t>
      </w:r>
      <w:r w:rsidR="002D1D43">
        <w:rPr>
          <w:rFonts w:eastAsia="Times New Roman" w:cs="Arial Unicode MS"/>
          <w:color w:val="auto"/>
          <w:lang w:val="en-AU" w:eastAsia="en-AU" w:bidi="lo-LA"/>
        </w:rPr>
        <w:t xml:space="preserve">previous </w:t>
      </w:r>
      <w:r w:rsidRPr="00681BEE">
        <w:rPr>
          <w:rFonts w:eastAsia="Times New Roman" w:cs="Arial Unicode MS"/>
          <w:color w:val="auto"/>
          <w:lang w:val="en-AU" w:eastAsia="en-AU" w:bidi="lo-LA"/>
        </w:rPr>
        <w:t>Trade Development Facility Phases I &amp; II (TDF I &amp; II) (2007-2013).</w:t>
      </w:r>
      <w:r w:rsidR="002D1D43">
        <w:rPr>
          <w:rFonts w:eastAsia="Times New Roman" w:cs="Arial Unicode MS"/>
          <w:color w:val="auto"/>
          <w:lang w:val="en-AU" w:eastAsia="en-AU" w:bidi="lo-LA"/>
        </w:rPr>
        <w:t xml:space="preserve"> The objective of the LCT project is to simplify the business regulations, facilitate trade and improve firm competitiveness. </w:t>
      </w:r>
    </w:p>
    <w:p w14:paraId="100DA693" w14:textId="77777777" w:rsidR="00681BEE" w:rsidRPr="00681BEE" w:rsidRDefault="00681BEE" w:rsidP="00681BEE">
      <w:pPr>
        <w:suppressAutoHyphens w:val="0"/>
        <w:spacing w:before="0" w:after="0" w:line="240" w:lineRule="auto"/>
        <w:rPr>
          <w:rFonts w:eastAsia="Times New Roman" w:cs="Arial Unicode MS"/>
          <w:color w:val="FF0000"/>
          <w:lang w:val="en-AU" w:eastAsia="en-AU" w:bidi="lo-LA"/>
        </w:rPr>
      </w:pPr>
    </w:p>
    <w:p w14:paraId="1E527F15" w14:textId="3961A367" w:rsidR="00681BEE" w:rsidRPr="00681BEE" w:rsidRDefault="00843370" w:rsidP="00681BEE">
      <w:pPr>
        <w:suppressAutoHyphens w:val="0"/>
        <w:spacing w:before="0" w:after="0" w:line="240" w:lineRule="auto"/>
        <w:rPr>
          <w:rFonts w:eastAsia="Times New Roman" w:cs="Arial Unicode MS"/>
          <w:b/>
          <w:bCs/>
          <w:color w:val="auto"/>
          <w:lang w:val="en-AU" w:eastAsia="en-AU" w:bidi="lo-LA"/>
        </w:rPr>
      </w:pPr>
      <w:r>
        <w:rPr>
          <w:rFonts w:eastAsia="Times New Roman" w:cs="Arial Unicode MS"/>
          <w:color w:val="auto"/>
          <w:lang w:val="en-AU" w:eastAsia="en-AU" w:bidi="lo-LA"/>
        </w:rPr>
        <w:t>LCT</w:t>
      </w:r>
      <w:r w:rsidR="00EC075C">
        <w:rPr>
          <w:rFonts w:eastAsia="Times New Roman" w:cs="Arial Unicode MS"/>
          <w:color w:val="auto"/>
          <w:lang w:val="en-AU" w:eastAsia="en-AU" w:bidi="lo-LA"/>
        </w:rPr>
        <w:t xml:space="preserve"> has four pillars, including A) </w:t>
      </w:r>
      <w:r w:rsidR="00681BEE" w:rsidRPr="00681BEE">
        <w:rPr>
          <w:rFonts w:eastAsia="Times New Roman" w:cs="Arial Unicode MS"/>
          <w:color w:val="auto"/>
          <w:lang w:val="en-AU" w:eastAsia="en-AU" w:bidi="lo-LA"/>
        </w:rPr>
        <w:t>Improving Business Environment</w:t>
      </w:r>
      <w:r w:rsidR="00EC075C">
        <w:rPr>
          <w:rFonts w:eastAsia="Times New Roman" w:cs="Arial Unicode MS"/>
          <w:color w:val="auto"/>
          <w:lang w:val="en-AU" w:eastAsia="en-AU" w:bidi="lo-LA"/>
        </w:rPr>
        <w:t xml:space="preserve">; B) </w:t>
      </w:r>
      <w:r w:rsidR="00681BEE" w:rsidRPr="00681BEE">
        <w:rPr>
          <w:rFonts w:eastAsia="Times New Roman" w:cs="Arial Unicode MS"/>
          <w:color w:val="auto"/>
          <w:lang w:val="en-AU" w:eastAsia="en-AU" w:bidi="lo-LA"/>
        </w:rPr>
        <w:t>Facilitating Trade and Connecting to Markets</w:t>
      </w:r>
      <w:r w:rsidR="00EC075C">
        <w:rPr>
          <w:rFonts w:eastAsia="Times New Roman" w:cs="Arial Unicode MS"/>
          <w:color w:val="auto"/>
          <w:lang w:val="en-AU" w:eastAsia="en-AU" w:bidi="lo-LA"/>
        </w:rPr>
        <w:t>; C)</w:t>
      </w:r>
      <w:r w:rsidR="00EC075C">
        <w:rPr>
          <w:rFonts w:eastAsia="Times New Roman" w:cs="Arial Unicode MS"/>
          <w:b/>
          <w:bCs/>
          <w:color w:val="auto"/>
          <w:lang w:val="en-AU" w:eastAsia="en-AU" w:bidi="lo-LA"/>
        </w:rPr>
        <w:t xml:space="preserve"> </w:t>
      </w:r>
      <w:r w:rsidR="00681BEE" w:rsidRPr="00681BEE">
        <w:rPr>
          <w:rFonts w:eastAsia="Times New Roman" w:cs="Arial Unicode MS"/>
          <w:color w:val="auto"/>
          <w:lang w:val="en-AU" w:eastAsia="en-AU" w:bidi="lo-LA"/>
        </w:rPr>
        <w:t>Improving Firm-Level Competitiveness</w:t>
      </w:r>
      <w:r w:rsidR="00EC075C">
        <w:rPr>
          <w:rFonts w:eastAsia="Times New Roman" w:cs="Arial Unicode MS"/>
          <w:color w:val="auto"/>
          <w:lang w:val="en-AU" w:eastAsia="en-AU" w:bidi="lo-LA"/>
        </w:rPr>
        <w:t xml:space="preserve"> and D</w:t>
      </w:r>
      <w:r w:rsidR="00EC075C" w:rsidRPr="00EC075C">
        <w:rPr>
          <w:rFonts w:eastAsia="Times New Roman" w:cs="Arial Unicode MS"/>
          <w:color w:val="auto"/>
          <w:lang w:val="en-AU" w:eastAsia="en-AU" w:bidi="lo-LA"/>
        </w:rPr>
        <w:t>)</w:t>
      </w:r>
      <w:r w:rsidR="00681BEE" w:rsidRPr="00681BEE">
        <w:rPr>
          <w:rFonts w:eastAsia="Times New Roman" w:cs="Arial Unicode MS"/>
          <w:color w:val="auto"/>
          <w:lang w:val="en-AU" w:eastAsia="en-AU" w:bidi="lo-LA"/>
        </w:rPr>
        <w:t xml:space="preserve"> Supporting Better and More Inclusive Policies</w:t>
      </w:r>
      <w:r w:rsidR="007356B9">
        <w:rPr>
          <w:rFonts w:eastAsia="Times New Roman" w:cs="Arial Unicode MS"/>
          <w:color w:val="auto"/>
          <w:lang w:val="en-AU" w:eastAsia="en-AU" w:bidi="lo-LA"/>
        </w:rPr>
        <w:t>.</w:t>
      </w:r>
      <w:r w:rsidR="00681BEE" w:rsidRPr="00681BEE">
        <w:rPr>
          <w:rFonts w:eastAsia="Times New Roman" w:cs="Arial Unicode MS"/>
          <w:color w:val="auto"/>
          <w:lang w:val="en-AU" w:eastAsia="en-AU" w:bidi="lo-LA"/>
        </w:rPr>
        <w:t xml:space="preserve">  </w:t>
      </w:r>
    </w:p>
    <w:p w14:paraId="5DE2065E" w14:textId="77777777" w:rsidR="00681BEE" w:rsidRPr="00681BEE" w:rsidRDefault="00681BEE" w:rsidP="00681BEE">
      <w:pPr>
        <w:suppressAutoHyphens w:val="0"/>
        <w:spacing w:before="0" w:after="0" w:line="240" w:lineRule="auto"/>
        <w:rPr>
          <w:rFonts w:eastAsia="Times New Roman" w:cs="Arial Unicode MS"/>
          <w:color w:val="FF0000"/>
          <w:lang w:val="en-AU" w:eastAsia="en-AU" w:bidi="lo-LA"/>
        </w:rPr>
      </w:pPr>
    </w:p>
    <w:p w14:paraId="017D36E2" w14:textId="23FECD30" w:rsidR="00EC075C" w:rsidRDefault="00843370" w:rsidP="00EC075C">
      <w:pPr>
        <w:suppressAutoHyphens w:val="0"/>
        <w:spacing w:before="0" w:after="0" w:line="240" w:lineRule="auto"/>
        <w:rPr>
          <w:rFonts w:eastAsia="Times New Roman" w:cs="Arial Unicode MS"/>
          <w:color w:val="auto"/>
          <w:lang w:val="en-AU" w:eastAsia="en-AU" w:bidi="lo-LA"/>
        </w:rPr>
      </w:pPr>
      <w:r>
        <w:rPr>
          <w:rFonts w:eastAsia="Times New Roman" w:cs="Arial Unicode MS"/>
          <w:color w:val="auto"/>
          <w:lang w:val="en-AU" w:eastAsia="en-AU" w:bidi="lo-LA"/>
        </w:rPr>
        <w:t>At the end of 2020, LCT</w:t>
      </w:r>
      <w:r w:rsidR="00681BEE" w:rsidRPr="00681BEE">
        <w:rPr>
          <w:rFonts w:eastAsia="Times New Roman" w:cs="Arial Unicode MS"/>
          <w:color w:val="auto"/>
          <w:lang w:val="en-AU" w:eastAsia="en-AU" w:bidi="lo-LA"/>
        </w:rPr>
        <w:t xml:space="preserve"> had reached to its mid-term point. Stakeholders agreed to conduct a mid-term review and commit additional financing in early February 2021. This mid-term review mission had two objectives 1) to assess progress made and any needed changes and 2) identify priority areas for additional financing. </w:t>
      </w:r>
    </w:p>
    <w:p w14:paraId="4B174E8F" w14:textId="77777777" w:rsidR="00EC075C" w:rsidRDefault="00EC075C" w:rsidP="00EC075C">
      <w:pPr>
        <w:suppressAutoHyphens w:val="0"/>
        <w:spacing w:before="0" w:after="0" w:line="240" w:lineRule="auto"/>
        <w:rPr>
          <w:rFonts w:eastAsia="Times New Roman" w:cs="Arial Unicode MS"/>
          <w:color w:val="auto"/>
          <w:lang w:val="en-AU" w:eastAsia="en-AU" w:bidi="lo-LA"/>
        </w:rPr>
      </w:pPr>
    </w:p>
    <w:p w14:paraId="6969FBC9" w14:textId="77777777" w:rsidR="00EC075C" w:rsidRDefault="00EC075C" w:rsidP="00EC075C">
      <w:pPr>
        <w:suppressAutoHyphens w:val="0"/>
        <w:spacing w:before="0" w:after="0" w:line="240" w:lineRule="auto"/>
        <w:rPr>
          <w:rFonts w:eastAsia="Times New Roman" w:cs="Arial Unicode MS"/>
          <w:color w:val="auto"/>
          <w:lang w:val="en-AU" w:eastAsia="en-AU" w:bidi="lo-LA"/>
        </w:rPr>
      </w:pPr>
      <w:r w:rsidRPr="00EC075C">
        <w:rPr>
          <w:rFonts w:asciiTheme="majorHAnsi" w:eastAsiaTheme="majorEastAsia" w:hAnsiTheme="majorHAnsi" w:cstheme="majorBidi"/>
          <w:bCs/>
          <w:sz w:val="30"/>
          <w:szCs w:val="26"/>
          <w:lang w:val="en-AU"/>
        </w:rPr>
        <w:t xml:space="preserve">Summary of management response </w:t>
      </w:r>
    </w:p>
    <w:p w14:paraId="5F00AA30" w14:textId="5955F285" w:rsidR="00C10415" w:rsidRPr="004C4E33" w:rsidRDefault="00EC075C" w:rsidP="004C4E33">
      <w:pPr>
        <w:suppressAutoHyphens w:val="0"/>
        <w:spacing w:before="0" w:after="0" w:line="240" w:lineRule="auto"/>
        <w:rPr>
          <w:rFonts w:eastAsia="Times New Roman" w:cs="Arial Unicode MS"/>
          <w:color w:val="auto"/>
          <w:lang w:val="en-AU" w:eastAsia="en-AU" w:bidi="lo-LA"/>
        </w:rPr>
      </w:pPr>
      <w:r w:rsidRPr="00EC075C">
        <w:rPr>
          <w:rFonts w:eastAsia="Times New Roman" w:cs="Arial Unicode MS"/>
          <w:color w:val="auto"/>
          <w:lang w:val="en-AU" w:eastAsia="en-AU" w:bidi="lo-LA"/>
        </w:rPr>
        <w:t xml:space="preserve">DFAT accepts the </w:t>
      </w:r>
      <w:r w:rsidR="00CD44DB">
        <w:rPr>
          <w:rFonts w:eastAsia="Times New Roman" w:cs="Arial Unicode MS"/>
          <w:color w:val="auto"/>
          <w:lang w:val="en-AU" w:eastAsia="en-AU" w:bidi="lo-LA"/>
        </w:rPr>
        <w:t xml:space="preserve">Mid-term </w:t>
      </w:r>
      <w:r w:rsidRPr="00EC075C">
        <w:rPr>
          <w:rFonts w:eastAsia="Times New Roman" w:cs="Arial Unicode MS"/>
          <w:color w:val="auto"/>
          <w:lang w:val="en-AU" w:eastAsia="en-AU" w:bidi="lo-LA"/>
        </w:rPr>
        <w:t xml:space="preserve">Review findings and agrees with </w:t>
      </w:r>
      <w:proofErr w:type="gramStart"/>
      <w:r w:rsidRPr="00EC075C">
        <w:rPr>
          <w:rFonts w:eastAsia="Times New Roman" w:cs="Arial Unicode MS"/>
          <w:color w:val="auto"/>
          <w:lang w:val="en-AU" w:eastAsia="en-AU" w:bidi="lo-LA"/>
        </w:rPr>
        <w:t>the majority of</w:t>
      </w:r>
      <w:proofErr w:type="gramEnd"/>
      <w:r w:rsidRPr="00EC075C">
        <w:rPr>
          <w:rFonts w:eastAsia="Times New Roman" w:cs="Arial Unicode MS"/>
          <w:color w:val="auto"/>
          <w:lang w:val="en-AU" w:eastAsia="en-AU" w:bidi="lo-LA"/>
        </w:rPr>
        <w:t xml:space="preserve"> </w:t>
      </w:r>
      <w:r w:rsidR="00654CC2">
        <w:rPr>
          <w:rFonts w:eastAsia="Times New Roman" w:cs="Arial Unicode MS"/>
          <w:color w:val="auto"/>
          <w:lang w:val="en-AU" w:eastAsia="en-AU" w:bidi="lo-LA"/>
        </w:rPr>
        <w:t xml:space="preserve">the </w:t>
      </w:r>
      <w:r w:rsidRPr="00EC075C">
        <w:rPr>
          <w:rFonts w:eastAsia="Times New Roman" w:cs="Arial Unicode MS"/>
          <w:color w:val="auto"/>
          <w:lang w:val="en-AU" w:eastAsia="en-AU" w:bidi="lo-LA"/>
        </w:rPr>
        <w:t xml:space="preserve">recommendations. The World Bank has developed an action plan that outlines steps to remedy program performance and implement recommendations. </w:t>
      </w:r>
      <w:r w:rsidR="00784ACE">
        <w:rPr>
          <w:rFonts w:eastAsia="Times New Roman" w:cs="Arial Unicode MS"/>
          <w:color w:val="auto"/>
          <w:lang w:eastAsia="en-AU" w:bidi="lo-LA"/>
        </w:rPr>
        <w:t>The key recommendations are to improve</w:t>
      </w:r>
      <w:r w:rsidR="00681BEE" w:rsidRPr="00681BEE">
        <w:rPr>
          <w:rFonts w:eastAsia="Times New Roman" w:cs="Arial Unicode MS"/>
          <w:color w:val="auto"/>
          <w:lang w:eastAsia="en-AU" w:bidi="lo-LA"/>
        </w:rPr>
        <w:t xml:space="preserve"> MOIC communica</w:t>
      </w:r>
      <w:r w:rsidR="00784ACE">
        <w:rPr>
          <w:rFonts w:eastAsia="Times New Roman" w:cs="Arial Unicode MS"/>
          <w:color w:val="auto"/>
          <w:lang w:eastAsia="en-AU" w:bidi="lo-LA"/>
        </w:rPr>
        <w:t>tions and IT capacity, extend</w:t>
      </w:r>
      <w:r w:rsidR="00681BEE" w:rsidRPr="00681BEE">
        <w:rPr>
          <w:rFonts w:eastAsia="Times New Roman" w:cs="Arial Unicode MS"/>
          <w:color w:val="auto"/>
          <w:lang w:eastAsia="en-AU" w:bidi="lo-LA"/>
        </w:rPr>
        <w:t xml:space="preserve"> </w:t>
      </w:r>
      <w:r w:rsidR="00654CC2">
        <w:rPr>
          <w:rFonts w:eastAsia="Times New Roman" w:cs="Arial Unicode MS"/>
          <w:color w:val="auto"/>
          <w:lang w:eastAsia="en-AU" w:bidi="lo-LA"/>
        </w:rPr>
        <w:t xml:space="preserve">the services of the </w:t>
      </w:r>
      <w:r w:rsidR="00681BEE" w:rsidRPr="00681BEE">
        <w:rPr>
          <w:rFonts w:eastAsia="Times New Roman" w:cs="Arial Unicode MS"/>
          <w:color w:val="auto"/>
          <w:lang w:eastAsia="en-AU" w:bidi="lo-LA"/>
        </w:rPr>
        <w:t>B</w:t>
      </w:r>
      <w:r w:rsidR="00654CC2">
        <w:rPr>
          <w:rFonts w:eastAsia="Times New Roman" w:cs="Arial Unicode MS"/>
          <w:color w:val="auto"/>
          <w:lang w:eastAsia="en-AU" w:bidi="lo-LA"/>
        </w:rPr>
        <w:t xml:space="preserve">usiness </w:t>
      </w:r>
      <w:r w:rsidR="00681BEE" w:rsidRPr="00681BEE">
        <w:rPr>
          <w:rFonts w:eastAsia="Times New Roman" w:cs="Arial Unicode MS"/>
          <w:color w:val="auto"/>
          <w:lang w:eastAsia="en-AU" w:bidi="lo-LA"/>
        </w:rPr>
        <w:t>A</w:t>
      </w:r>
      <w:r w:rsidR="00654CC2">
        <w:rPr>
          <w:rFonts w:eastAsia="Times New Roman" w:cs="Arial Unicode MS"/>
          <w:color w:val="auto"/>
          <w:lang w:eastAsia="en-AU" w:bidi="lo-LA"/>
        </w:rPr>
        <w:t xml:space="preserve">ssistance </w:t>
      </w:r>
      <w:r w:rsidR="00681BEE" w:rsidRPr="00681BEE">
        <w:rPr>
          <w:rFonts w:eastAsia="Times New Roman" w:cs="Arial Unicode MS"/>
          <w:color w:val="auto"/>
          <w:lang w:eastAsia="en-AU" w:bidi="lo-LA"/>
        </w:rPr>
        <w:t>F</w:t>
      </w:r>
      <w:r w:rsidR="00654CC2">
        <w:rPr>
          <w:rFonts w:eastAsia="Times New Roman" w:cs="Arial Unicode MS"/>
          <w:color w:val="auto"/>
          <w:lang w:eastAsia="en-AU" w:bidi="lo-LA"/>
        </w:rPr>
        <w:t>acility</w:t>
      </w:r>
      <w:r w:rsidR="00681BEE" w:rsidRPr="00681BEE">
        <w:rPr>
          <w:rFonts w:eastAsia="Times New Roman" w:cs="Arial Unicode MS"/>
          <w:color w:val="auto"/>
          <w:lang w:eastAsia="en-AU" w:bidi="lo-LA"/>
        </w:rPr>
        <w:t xml:space="preserve"> </w:t>
      </w:r>
      <w:r w:rsidR="00784ACE">
        <w:rPr>
          <w:rFonts w:eastAsia="Times New Roman" w:cs="Arial Unicode MS"/>
          <w:color w:val="auto"/>
          <w:lang w:eastAsia="en-AU" w:bidi="lo-LA"/>
        </w:rPr>
        <w:t>to the provinces, and continue</w:t>
      </w:r>
      <w:r w:rsidR="00681BEE" w:rsidRPr="00681BEE">
        <w:rPr>
          <w:rFonts w:eastAsia="Times New Roman" w:cs="Arial Unicode MS"/>
          <w:color w:val="auto"/>
          <w:lang w:eastAsia="en-AU" w:bidi="lo-LA"/>
        </w:rPr>
        <w:t xml:space="preserve"> to build capacity on gender. </w:t>
      </w:r>
      <w:r w:rsidR="00784ACE" w:rsidRPr="00784ACE">
        <w:rPr>
          <w:rFonts w:eastAsia="Times New Roman" w:cs="Arial Unicode MS"/>
          <w:color w:val="auto"/>
          <w:lang w:eastAsia="en-AU" w:bidi="lo-LA"/>
        </w:rPr>
        <w:t>Next steps will be allocat</w:t>
      </w:r>
      <w:r w:rsidR="00784ACE">
        <w:rPr>
          <w:rFonts w:eastAsia="Times New Roman" w:cs="Arial Unicode MS"/>
          <w:color w:val="auto"/>
          <w:lang w:eastAsia="en-AU" w:bidi="lo-LA"/>
        </w:rPr>
        <w:t>ing additional financing to scale up the existing components and address the issues from the finding from MTR</w:t>
      </w:r>
      <w:r w:rsidR="00784ACE" w:rsidRPr="00784ACE">
        <w:rPr>
          <w:rFonts w:eastAsia="Times New Roman" w:cs="Arial Unicode MS"/>
          <w:color w:val="auto"/>
          <w:lang w:eastAsia="en-AU" w:bidi="lo-LA"/>
        </w:rPr>
        <w:t xml:space="preserve">. </w:t>
      </w:r>
      <w:r w:rsidR="00681BEE" w:rsidRPr="00681BEE">
        <w:rPr>
          <w:rFonts w:eastAsia="Times New Roman" w:cs="Arial Unicode MS"/>
          <w:color w:val="auto"/>
          <w:lang w:eastAsia="en-AU" w:bidi="lo-LA"/>
        </w:rPr>
        <w:t xml:space="preserve">The additional financing means the Bank has already requested a two year no-cost extension until </w:t>
      </w:r>
      <w:r w:rsidR="00784ACE">
        <w:rPr>
          <w:rFonts w:eastAsia="Times New Roman" w:cs="Arial Unicode MS"/>
          <w:color w:val="auto"/>
          <w:lang w:eastAsia="en-AU" w:bidi="lo-LA"/>
        </w:rPr>
        <w:t>the end of 2024</w:t>
      </w:r>
      <w:r w:rsidR="00681BEE" w:rsidRPr="00681BEE">
        <w:rPr>
          <w:rFonts w:eastAsia="Times New Roman" w:cs="Arial Unicode MS"/>
          <w:color w:val="auto"/>
          <w:lang w:eastAsia="en-AU" w:bidi="lo-LA"/>
        </w:rPr>
        <w:t>. At the time of writing, DFAT was seeking permission to remain committed to the project until its completion.</w:t>
      </w:r>
    </w:p>
    <w:tbl>
      <w:tblPr>
        <w:tblStyle w:val="DFATTable1"/>
        <w:tblW w:w="13892"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261"/>
        <w:gridCol w:w="1518"/>
        <w:gridCol w:w="3301"/>
        <w:gridCol w:w="3969"/>
        <w:gridCol w:w="1843"/>
      </w:tblGrid>
      <w:tr w:rsidR="00C10415" w14:paraId="7028FD97" w14:textId="77777777" w:rsidTr="00511289">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261" w:type="dxa"/>
            <w:hideMark/>
          </w:tcPr>
          <w:p w14:paraId="1630799A" w14:textId="77777777" w:rsidR="00C10415" w:rsidRDefault="00C10415" w:rsidP="008A0512">
            <w:pPr>
              <w:pStyle w:val="TableHeaderRow"/>
            </w:pPr>
            <w:r>
              <w:lastRenderedPageBreak/>
              <w:t>Recommendation</w:t>
            </w:r>
          </w:p>
        </w:tc>
        <w:tc>
          <w:tcPr>
            <w:tcW w:w="1518" w:type="dxa"/>
            <w:tcBorders>
              <w:bottom w:val="single" w:sz="4" w:space="0" w:color="495965" w:themeColor="text2"/>
            </w:tcBorders>
            <w:hideMark/>
          </w:tcPr>
          <w:p w14:paraId="5CB5BFF1" w14:textId="77777777" w:rsidR="00C10415"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3301" w:type="dxa"/>
            <w:hideMark/>
          </w:tcPr>
          <w:p w14:paraId="439166D4" w14:textId="77777777" w:rsidR="00C10415"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3969" w:type="dxa"/>
            <w:hideMark/>
          </w:tcPr>
          <w:p w14:paraId="3C22AA88" w14:textId="77777777" w:rsidR="00C10415"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843" w:type="dxa"/>
            <w:hideMark/>
          </w:tcPr>
          <w:p w14:paraId="18F5033E" w14:textId="77777777" w:rsidR="00C10415" w:rsidRPr="005D67B8"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0A8A2137" w14:textId="77777777" w:rsidR="00C10415" w:rsidRPr="008F4A4D" w:rsidRDefault="00C10415" w:rsidP="008A0512">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C10415" w14:paraId="676121D6" w14:textId="77777777" w:rsidTr="00511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6F95760D" w14:textId="55CE85AB" w:rsidR="00C10415" w:rsidRPr="00F30C60" w:rsidRDefault="00F30C60" w:rsidP="005D6697">
            <w:pPr>
              <w:pStyle w:val="Heading3"/>
              <w:outlineLvl w:val="2"/>
              <w:rPr>
                <w:sz w:val="22"/>
                <w:szCs w:val="22"/>
              </w:rPr>
            </w:pPr>
            <w:r w:rsidRPr="00F30C60">
              <w:rPr>
                <w:sz w:val="22"/>
                <w:szCs w:val="22"/>
              </w:rPr>
              <w:t>Recommendation 1</w:t>
            </w:r>
            <w:r w:rsidR="002D74D2">
              <w:rPr>
                <w:sz w:val="22"/>
                <w:szCs w:val="22"/>
              </w:rPr>
              <w:t>:</w:t>
            </w:r>
          </w:p>
          <w:p w14:paraId="53DEB5A6" w14:textId="13598BCF" w:rsidR="00C10415" w:rsidRPr="00F30C60" w:rsidRDefault="002D74D2" w:rsidP="005D6697">
            <w:pPr>
              <w:pStyle w:val="BodyText"/>
              <w:rPr>
                <w:rFonts w:asciiTheme="majorHAnsi" w:hAnsiTheme="majorHAnsi"/>
                <w:iCs/>
                <w:sz w:val="24"/>
                <w:szCs w:val="24"/>
              </w:rPr>
            </w:pPr>
            <w:r>
              <w:rPr>
                <w:iCs/>
              </w:rPr>
              <w:t>Increasing</w:t>
            </w:r>
            <w:r w:rsidR="00F30C60" w:rsidRPr="00F30C60">
              <w:rPr>
                <w:iCs/>
              </w:rPr>
              <w:t xml:space="preserve"> cooperation between D</w:t>
            </w:r>
            <w:r w:rsidR="004241F2">
              <w:rPr>
                <w:iCs/>
              </w:rPr>
              <w:t xml:space="preserve">epartment of </w:t>
            </w:r>
            <w:r w:rsidR="00F30C60" w:rsidRPr="00F30C60">
              <w:rPr>
                <w:iCs/>
              </w:rPr>
              <w:t>E</w:t>
            </w:r>
            <w:r w:rsidR="004241F2">
              <w:rPr>
                <w:iCs/>
              </w:rPr>
              <w:t xml:space="preserve">nterprise </w:t>
            </w:r>
            <w:r w:rsidR="00F30C60" w:rsidRPr="00F30C60">
              <w:rPr>
                <w:iCs/>
              </w:rPr>
              <w:t>R</w:t>
            </w:r>
            <w:r w:rsidR="004241F2">
              <w:rPr>
                <w:iCs/>
              </w:rPr>
              <w:t xml:space="preserve">egistration </w:t>
            </w:r>
            <w:r w:rsidR="00F30C60" w:rsidRPr="00F30C60">
              <w:rPr>
                <w:iCs/>
              </w:rPr>
              <w:t>M</w:t>
            </w:r>
            <w:r w:rsidR="004241F2">
              <w:rPr>
                <w:iCs/>
              </w:rPr>
              <w:t>anagement</w:t>
            </w:r>
            <w:r w:rsidR="00784ACE">
              <w:rPr>
                <w:iCs/>
              </w:rPr>
              <w:t xml:space="preserve"> (DERM)</w:t>
            </w:r>
            <w:r w:rsidR="00F30C60" w:rsidRPr="00F30C60">
              <w:rPr>
                <w:iCs/>
              </w:rPr>
              <w:t xml:space="preserve"> and Department of Tax in adopting a unique business ID and IT system integration and interoperability.</w:t>
            </w:r>
          </w:p>
        </w:tc>
        <w:tc>
          <w:tcPr>
            <w:tcW w:w="1518" w:type="dxa"/>
            <w:shd w:val="clear" w:color="auto" w:fill="92D050"/>
            <w:hideMark/>
          </w:tcPr>
          <w:p w14:paraId="21EB94EC" w14:textId="77777777" w:rsidR="00C10415" w:rsidRPr="008F4A4D" w:rsidRDefault="00C10415" w:rsidP="005D6697">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3301" w:type="dxa"/>
          </w:tcPr>
          <w:p w14:paraId="65BCDFA0" w14:textId="2BBB477E" w:rsidR="00C10415" w:rsidRPr="00F30C60" w:rsidRDefault="00511289"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w:t>
            </w:r>
            <w:r w:rsidR="004C4E33" w:rsidRPr="004C4E33">
              <w:rPr>
                <w:rFonts w:asciiTheme="majorHAnsi" w:hAnsiTheme="majorHAnsi"/>
              </w:rPr>
              <w:t xml:space="preserve">everal business registration procedures </w:t>
            </w:r>
            <w:r w:rsidR="00654CC2">
              <w:rPr>
                <w:rFonts w:asciiTheme="majorHAnsi" w:hAnsiTheme="majorHAnsi"/>
              </w:rPr>
              <w:t>regarding</w:t>
            </w:r>
            <w:r w:rsidR="004C4E33" w:rsidRPr="004C4E33">
              <w:rPr>
                <w:rFonts w:asciiTheme="majorHAnsi" w:hAnsiTheme="majorHAnsi"/>
              </w:rPr>
              <w:t xml:space="preserve"> taxation (orientation seminar, activation of TIN at tax authority)</w:t>
            </w:r>
            <w:r w:rsidR="00654CC2">
              <w:rPr>
                <w:rFonts w:asciiTheme="majorHAnsi" w:hAnsiTheme="majorHAnsi"/>
              </w:rPr>
              <w:t xml:space="preserve"> are no longer paper-based</w:t>
            </w:r>
            <w:r w:rsidR="004C4E33" w:rsidRPr="004C4E33">
              <w:rPr>
                <w:rFonts w:asciiTheme="majorHAnsi" w:hAnsiTheme="majorHAnsi"/>
              </w:rPr>
              <w:t xml:space="preserve"> but the private sector reports that they are still required in practice</w:t>
            </w:r>
            <w:r w:rsidR="00D81087">
              <w:rPr>
                <w:rFonts w:asciiTheme="majorHAnsi" w:hAnsiTheme="majorHAnsi"/>
              </w:rPr>
              <w:t xml:space="preserve">.  </w:t>
            </w:r>
          </w:p>
        </w:tc>
        <w:tc>
          <w:tcPr>
            <w:tcW w:w="3969" w:type="dxa"/>
          </w:tcPr>
          <w:p w14:paraId="19DBD851" w14:textId="7A294B44" w:rsidR="00C10415" w:rsidRPr="00F30C60" w:rsidRDefault="00F30C60" w:rsidP="00D8108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30C60">
              <w:rPr>
                <w:rFonts w:asciiTheme="majorHAnsi" w:hAnsiTheme="majorHAnsi"/>
              </w:rPr>
              <w:t xml:space="preserve">The newly created Starting a Business Task Force (SB Task Force) provides </w:t>
            </w:r>
            <w:r w:rsidR="00D81087">
              <w:rPr>
                <w:rFonts w:asciiTheme="majorHAnsi" w:hAnsiTheme="majorHAnsi"/>
              </w:rPr>
              <w:t>the necessary mechanism for</w:t>
            </w:r>
            <w:r w:rsidRPr="00F30C60">
              <w:rPr>
                <w:rFonts w:asciiTheme="majorHAnsi" w:hAnsiTheme="majorHAnsi"/>
              </w:rPr>
              <w:t xml:space="preserve"> inter-ministerial coordination and reform deepening. </w:t>
            </w:r>
            <w:r w:rsidR="00D81087">
              <w:rPr>
                <w:rFonts w:asciiTheme="majorHAnsi" w:hAnsiTheme="majorHAnsi"/>
              </w:rPr>
              <w:t>T</w:t>
            </w:r>
            <w:r w:rsidRPr="00F30C60">
              <w:rPr>
                <w:rFonts w:asciiTheme="majorHAnsi" w:hAnsiTheme="majorHAnsi"/>
              </w:rPr>
              <w:t xml:space="preserve">he SB Task Force </w:t>
            </w:r>
            <w:r w:rsidR="00D81087">
              <w:rPr>
                <w:rFonts w:asciiTheme="majorHAnsi" w:hAnsiTheme="majorHAnsi"/>
              </w:rPr>
              <w:t xml:space="preserve">will create and </w:t>
            </w:r>
            <w:r w:rsidRPr="00F30C60">
              <w:rPr>
                <w:rFonts w:asciiTheme="majorHAnsi" w:hAnsiTheme="majorHAnsi"/>
              </w:rPr>
              <w:t>adopt an action-plan with clear and time-bound actions as well as commit to systematic reporting on progress to ensure accountability.</w:t>
            </w:r>
            <w:r w:rsidR="00784ACE">
              <w:rPr>
                <w:rFonts w:asciiTheme="majorHAnsi" w:hAnsiTheme="majorHAnsi"/>
              </w:rPr>
              <w:t xml:space="preserve"> DFAT has followed the progress through the LCT implementation support missions.</w:t>
            </w:r>
          </w:p>
        </w:tc>
        <w:tc>
          <w:tcPr>
            <w:tcW w:w="1843" w:type="dxa"/>
          </w:tcPr>
          <w:p w14:paraId="22065114" w14:textId="7BE577E2" w:rsidR="00C10415" w:rsidRPr="008F4A4D" w:rsidRDefault="001A6C54"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On-going</w:t>
            </w:r>
          </w:p>
        </w:tc>
      </w:tr>
      <w:tr w:rsidR="004241F2" w14:paraId="288D0594" w14:textId="77777777" w:rsidTr="005112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2E839F2" w14:textId="090763D4" w:rsidR="004241F2" w:rsidRPr="00F30C60" w:rsidRDefault="004241F2" w:rsidP="004241F2">
            <w:pPr>
              <w:pStyle w:val="Heading3"/>
              <w:outlineLvl w:val="2"/>
              <w:rPr>
                <w:sz w:val="22"/>
                <w:szCs w:val="22"/>
              </w:rPr>
            </w:pPr>
            <w:r>
              <w:rPr>
                <w:sz w:val="22"/>
                <w:szCs w:val="22"/>
              </w:rPr>
              <w:t>Recommendation 2</w:t>
            </w:r>
          </w:p>
          <w:p w14:paraId="2C3BEEF9" w14:textId="2E5D073D" w:rsidR="004241F2" w:rsidRPr="00AD17CF" w:rsidRDefault="006E372B" w:rsidP="00007993">
            <w:pPr>
              <w:pStyle w:val="BodyText"/>
            </w:pPr>
            <w:r w:rsidRPr="00007993">
              <w:rPr>
                <w:rFonts w:asciiTheme="minorHAnsi" w:hAnsiTheme="minorHAnsi"/>
                <w:iCs/>
              </w:rPr>
              <w:t xml:space="preserve">Improving </w:t>
            </w:r>
            <w:r w:rsidR="004241F2" w:rsidRPr="00007993">
              <w:rPr>
                <w:rFonts w:asciiTheme="minorHAnsi" w:hAnsiTheme="minorHAnsi"/>
                <w:iCs/>
              </w:rPr>
              <w:t>communication of reform of business registration</w:t>
            </w:r>
            <w:r w:rsidR="00D3238E" w:rsidRPr="00007993">
              <w:rPr>
                <w:rFonts w:asciiTheme="minorHAnsi" w:hAnsiTheme="minorHAnsi"/>
                <w:iCs/>
              </w:rPr>
              <w:t xml:space="preserve"> procedures</w:t>
            </w:r>
            <w:r w:rsidR="004241F2" w:rsidRPr="00007993">
              <w:rPr>
                <w:rFonts w:asciiTheme="minorHAnsi" w:hAnsiTheme="minorHAnsi"/>
                <w:iCs/>
              </w:rPr>
              <w:t xml:space="preserve"> to the private sector and provincial and distr</w:t>
            </w:r>
            <w:r w:rsidR="00D3238E" w:rsidRPr="00007993">
              <w:rPr>
                <w:rFonts w:asciiTheme="minorHAnsi" w:hAnsiTheme="minorHAnsi"/>
                <w:iCs/>
              </w:rPr>
              <w:t>ict level implementing agencies</w:t>
            </w:r>
            <w:r w:rsidR="004241F2" w:rsidRPr="00007993">
              <w:rPr>
                <w:rFonts w:asciiTheme="minorHAnsi" w:hAnsiTheme="minorHAnsi"/>
                <w:iCs/>
              </w:rPr>
              <w:t xml:space="preserve"> as paramount to change perceptions about reforms.</w:t>
            </w:r>
          </w:p>
        </w:tc>
        <w:tc>
          <w:tcPr>
            <w:tcW w:w="1518" w:type="dxa"/>
            <w:shd w:val="clear" w:color="auto" w:fill="FFF371" w:themeFill="accent4" w:themeFillShade="E6"/>
          </w:tcPr>
          <w:p w14:paraId="124B9450" w14:textId="5A6A3971" w:rsidR="004241F2" w:rsidRPr="008F4A4D" w:rsidRDefault="00D3238E" w:rsidP="005D6697">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sidRPr="00784ACE">
              <w:rPr>
                <w:sz w:val="24"/>
                <w:szCs w:val="24"/>
              </w:rPr>
              <w:t>Agree</w:t>
            </w:r>
            <w:r w:rsidR="00EB46D2" w:rsidRPr="00784ACE">
              <w:rPr>
                <w:sz w:val="24"/>
                <w:szCs w:val="24"/>
              </w:rPr>
              <w:t xml:space="preserve"> in part</w:t>
            </w:r>
          </w:p>
        </w:tc>
        <w:tc>
          <w:tcPr>
            <w:tcW w:w="3301" w:type="dxa"/>
          </w:tcPr>
          <w:p w14:paraId="788569F8" w14:textId="4AB2644C" w:rsidR="004241F2" w:rsidRPr="00AD17CF" w:rsidRDefault="00784ACE" w:rsidP="00784ACE">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Pr>
                <w:rFonts w:asciiTheme="majorHAnsi" w:hAnsiTheme="majorHAnsi"/>
                <w:lang w:val="en-US"/>
              </w:rPr>
              <w:t>Some of</w:t>
            </w:r>
            <w:r w:rsidR="008E526D">
              <w:rPr>
                <w:rFonts w:asciiTheme="majorHAnsi" w:hAnsiTheme="majorHAnsi"/>
                <w:lang w:val="en-US"/>
              </w:rPr>
              <w:t xml:space="preserve"> local business </w:t>
            </w:r>
            <w:r w:rsidR="00EE2D82">
              <w:rPr>
                <w:rFonts w:asciiTheme="majorHAnsi" w:hAnsiTheme="majorHAnsi"/>
                <w:lang w:val="en-US"/>
              </w:rPr>
              <w:t>registration authorities have not complied with the reformed business registration procedures and still practice the former procedures</w:t>
            </w:r>
            <w:r w:rsidR="00EB46D2">
              <w:rPr>
                <w:rFonts w:asciiTheme="majorHAnsi" w:hAnsiTheme="majorHAnsi"/>
                <w:lang w:val="en-US"/>
              </w:rPr>
              <w:t xml:space="preserve">. DFAT strongly agrees to improve the communication of reform to private sector and local business registration authorities. However, DFAT </w:t>
            </w:r>
            <w:r>
              <w:rPr>
                <w:rFonts w:asciiTheme="majorHAnsi" w:hAnsiTheme="majorHAnsi"/>
                <w:lang w:val="en-US"/>
              </w:rPr>
              <w:t>has encouraged</w:t>
            </w:r>
            <w:r w:rsidR="00D22739">
              <w:rPr>
                <w:rFonts w:asciiTheme="majorHAnsi" w:hAnsiTheme="majorHAnsi"/>
                <w:lang w:val="en-US"/>
              </w:rPr>
              <w:t xml:space="preserve"> </w:t>
            </w:r>
            <w:proofErr w:type="spellStart"/>
            <w:r w:rsidR="00D22739">
              <w:rPr>
                <w:rFonts w:asciiTheme="majorHAnsi" w:hAnsiTheme="majorHAnsi"/>
                <w:lang w:val="en-US"/>
              </w:rPr>
              <w:t>GoL</w:t>
            </w:r>
            <w:proofErr w:type="spellEnd"/>
            <w:r>
              <w:rPr>
                <w:rFonts w:asciiTheme="majorHAnsi" w:hAnsiTheme="majorHAnsi"/>
                <w:lang w:val="en-US"/>
              </w:rPr>
              <w:t xml:space="preserve"> </w:t>
            </w:r>
            <w:r w:rsidR="00EB46D2">
              <w:rPr>
                <w:rFonts w:asciiTheme="majorHAnsi" w:hAnsiTheme="majorHAnsi"/>
                <w:lang w:val="en-US"/>
              </w:rPr>
              <w:t>to improve the monitoring mechanism as well to ensure that the r</w:t>
            </w:r>
            <w:r w:rsidR="00ED25DA">
              <w:rPr>
                <w:rFonts w:asciiTheme="majorHAnsi" w:hAnsiTheme="majorHAnsi"/>
                <w:lang w:val="en-US"/>
              </w:rPr>
              <w:t xml:space="preserve">eform have been practiced </w:t>
            </w:r>
            <w:r w:rsidR="00EB46D2">
              <w:rPr>
                <w:rFonts w:asciiTheme="majorHAnsi" w:hAnsiTheme="majorHAnsi"/>
                <w:lang w:val="en-US"/>
              </w:rPr>
              <w:t>nationwide.</w:t>
            </w:r>
          </w:p>
        </w:tc>
        <w:tc>
          <w:tcPr>
            <w:tcW w:w="3969" w:type="dxa"/>
          </w:tcPr>
          <w:p w14:paraId="313F560A" w14:textId="38BE81F0" w:rsidR="004241F2" w:rsidRPr="00F30C60" w:rsidRDefault="00EB46D2"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Department of Enterprise Registration</w:t>
            </w:r>
            <w:r w:rsidR="00511289">
              <w:rPr>
                <w:rFonts w:asciiTheme="majorHAnsi" w:hAnsiTheme="majorHAnsi"/>
              </w:rPr>
              <w:t xml:space="preserve"> Management (DERM)</w:t>
            </w:r>
            <w:r>
              <w:rPr>
                <w:rFonts w:asciiTheme="majorHAnsi" w:hAnsiTheme="majorHAnsi"/>
              </w:rPr>
              <w:t xml:space="preserve"> will conduct the dissemination workshop for the private sector and all local business registration authorities. DFAT </w:t>
            </w:r>
            <w:r w:rsidR="00E6019E">
              <w:rPr>
                <w:rFonts w:asciiTheme="majorHAnsi" w:hAnsiTheme="majorHAnsi"/>
              </w:rPr>
              <w:t xml:space="preserve">provided advice on improving monitoring mechanism and will follow up </w:t>
            </w:r>
            <w:r w:rsidR="00ED25DA">
              <w:rPr>
                <w:rFonts w:asciiTheme="majorHAnsi" w:hAnsiTheme="majorHAnsi"/>
              </w:rPr>
              <w:t>through</w:t>
            </w:r>
            <w:r w:rsidR="00E6019E">
              <w:rPr>
                <w:rFonts w:asciiTheme="majorHAnsi" w:hAnsiTheme="majorHAnsi"/>
              </w:rPr>
              <w:t xml:space="preserve"> the project implementation support mission. </w:t>
            </w:r>
          </w:p>
        </w:tc>
        <w:tc>
          <w:tcPr>
            <w:tcW w:w="1843" w:type="dxa"/>
          </w:tcPr>
          <w:p w14:paraId="65D49CB7" w14:textId="697D80C6" w:rsidR="004241F2" w:rsidRPr="008F4A4D" w:rsidRDefault="00A9512C"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On-going</w:t>
            </w:r>
          </w:p>
        </w:tc>
      </w:tr>
      <w:tr w:rsidR="00A07BD8" w14:paraId="2FFA1305" w14:textId="77777777" w:rsidTr="008F1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842F66E" w14:textId="77777777" w:rsidR="00367536" w:rsidRDefault="00A07BD8" w:rsidP="00367536">
            <w:pPr>
              <w:keepNext/>
              <w:keepLines/>
              <w:spacing w:before="480" w:after="120" w:line="360" w:lineRule="atLeast"/>
              <w:contextualSpacing/>
              <w:outlineLvl w:val="2"/>
              <w:rPr>
                <w:rFonts w:asciiTheme="majorHAnsi" w:eastAsiaTheme="majorEastAsia" w:hAnsiTheme="majorHAnsi" w:cstheme="majorBidi"/>
                <w:bCs/>
                <w:lang w:val="en-AU"/>
              </w:rPr>
            </w:pPr>
            <w:r>
              <w:rPr>
                <w:rFonts w:asciiTheme="majorHAnsi" w:eastAsiaTheme="majorEastAsia" w:hAnsiTheme="majorHAnsi" w:cstheme="majorBidi"/>
                <w:bCs/>
                <w:lang w:val="en-AU"/>
              </w:rPr>
              <w:lastRenderedPageBreak/>
              <w:t>Recommendation 3</w:t>
            </w:r>
          </w:p>
          <w:p w14:paraId="6ED453AC" w14:textId="5131B66B" w:rsidR="00A07BD8" w:rsidRPr="00367536" w:rsidRDefault="00E6019E" w:rsidP="00007993">
            <w:pPr>
              <w:pStyle w:val="BodyText"/>
              <w:rPr>
                <w:rFonts w:asciiTheme="minorHAnsi" w:hAnsiTheme="minorHAnsi" w:cs="Times New Roman"/>
                <w:lang w:val="en-US" w:bidi="lo-LA"/>
              </w:rPr>
            </w:pPr>
            <w:r w:rsidRPr="00007993">
              <w:rPr>
                <w:iCs/>
              </w:rPr>
              <w:t>The MTR mission advised</w:t>
            </w:r>
            <w:r w:rsidR="00367536" w:rsidRPr="00007993">
              <w:rPr>
                <w:iCs/>
              </w:rPr>
              <w:t xml:space="preserve"> MOIC </w:t>
            </w:r>
            <w:r w:rsidR="006E372B" w:rsidRPr="00007993">
              <w:rPr>
                <w:iCs/>
              </w:rPr>
              <w:t>to update</w:t>
            </w:r>
            <w:r w:rsidR="00367536" w:rsidRPr="00007993">
              <w:rPr>
                <w:iCs/>
              </w:rPr>
              <w:t xml:space="preserve"> content of operating licenses portal </w:t>
            </w:r>
            <w:r w:rsidR="006E372B" w:rsidRPr="00007993">
              <w:rPr>
                <w:iCs/>
              </w:rPr>
              <w:t>and promote</w:t>
            </w:r>
            <w:r w:rsidR="00367536" w:rsidRPr="00007993">
              <w:rPr>
                <w:iCs/>
              </w:rPr>
              <w:t xml:space="preserve"> its use by the public and private sector.</w:t>
            </w:r>
          </w:p>
        </w:tc>
        <w:tc>
          <w:tcPr>
            <w:tcW w:w="1518" w:type="dxa"/>
            <w:tcBorders>
              <w:bottom w:val="single" w:sz="4" w:space="0" w:color="495965" w:themeColor="text2"/>
            </w:tcBorders>
            <w:shd w:val="clear" w:color="auto" w:fill="92D050"/>
          </w:tcPr>
          <w:p w14:paraId="629AF27B" w14:textId="37723C86" w:rsidR="00A07BD8" w:rsidRDefault="00A07BD8" w:rsidP="005D6697">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3301" w:type="dxa"/>
          </w:tcPr>
          <w:p w14:paraId="6D554268" w14:textId="17A40D99" w:rsidR="00A07BD8" w:rsidRPr="00F30C60" w:rsidRDefault="00367536"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67536">
              <w:rPr>
                <w:rFonts w:asciiTheme="majorHAnsi" w:hAnsiTheme="majorHAnsi"/>
              </w:rPr>
              <w:t>The operating licenses portal is managed by the ICT Division of DERM. The portal is a</w:t>
            </w:r>
            <w:r w:rsidR="00ED25DA">
              <w:rPr>
                <w:rFonts w:asciiTheme="majorHAnsi" w:hAnsiTheme="majorHAnsi"/>
              </w:rPr>
              <w:t>n important solution to reduce</w:t>
            </w:r>
            <w:r w:rsidRPr="00367536">
              <w:rPr>
                <w:rFonts w:asciiTheme="majorHAnsi" w:hAnsiTheme="majorHAnsi"/>
              </w:rPr>
              <w:t xml:space="preserve"> risks related to COVID</w:t>
            </w:r>
            <w:r w:rsidR="00511289">
              <w:rPr>
                <w:rFonts w:asciiTheme="majorHAnsi" w:hAnsiTheme="majorHAnsi"/>
              </w:rPr>
              <w:t>-19</w:t>
            </w:r>
            <w:r w:rsidRPr="00367536">
              <w:rPr>
                <w:rFonts w:asciiTheme="majorHAnsi" w:hAnsiTheme="majorHAnsi"/>
              </w:rPr>
              <w:t>.</w:t>
            </w:r>
          </w:p>
        </w:tc>
        <w:tc>
          <w:tcPr>
            <w:tcW w:w="3969" w:type="dxa"/>
          </w:tcPr>
          <w:p w14:paraId="7AE174EE" w14:textId="75FD2770" w:rsidR="00A07BD8" w:rsidRPr="00D3238E" w:rsidRDefault="00E915DA"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DERM will</w:t>
            </w:r>
            <w:r w:rsidR="005D0254" w:rsidRPr="005D0254">
              <w:rPr>
                <w:rFonts w:asciiTheme="majorHAnsi" w:hAnsiTheme="majorHAnsi"/>
              </w:rPr>
              <w:t xml:space="preserve"> assign, within the project team, a dedicated non-ICT staff familiar with regulatory procedures to this task. DERM/MOIC to issue guidelines for managing and updating the licensing portal.</w:t>
            </w:r>
            <w:r w:rsidR="00ED25DA">
              <w:rPr>
                <w:rFonts w:asciiTheme="majorHAnsi" w:hAnsiTheme="majorHAnsi"/>
              </w:rPr>
              <w:t xml:space="preserve"> In the medium term, MOIC will</w:t>
            </w:r>
            <w:r w:rsidR="005D0254" w:rsidRPr="005D0254">
              <w:rPr>
                <w:rFonts w:asciiTheme="majorHAnsi" w:hAnsiTheme="majorHAnsi"/>
              </w:rPr>
              <w:t xml:space="preserve"> propose to government to consider the establishment of a centralized authority to coordinate broader licensing reforms.</w:t>
            </w:r>
          </w:p>
        </w:tc>
        <w:tc>
          <w:tcPr>
            <w:tcW w:w="1843" w:type="dxa"/>
          </w:tcPr>
          <w:p w14:paraId="364FD70E" w14:textId="7E72FAA7" w:rsidR="00A07BD8" w:rsidRPr="008F4A4D" w:rsidRDefault="001A6C54"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From 30 April 2021 until the end of the project</w:t>
            </w:r>
          </w:p>
        </w:tc>
      </w:tr>
      <w:tr w:rsidR="005D0254" w14:paraId="148B24FC" w14:textId="77777777" w:rsidTr="008F1A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27DAD84" w14:textId="14FEFDD7" w:rsidR="00E915DA" w:rsidRPr="00E915DA" w:rsidRDefault="00E915DA" w:rsidP="00E915DA">
            <w:pPr>
              <w:keepNext/>
              <w:keepLines/>
              <w:spacing w:before="480" w:after="120" w:line="360" w:lineRule="atLeast"/>
              <w:contextualSpacing/>
              <w:outlineLvl w:val="2"/>
              <w:rPr>
                <w:rFonts w:asciiTheme="majorHAnsi" w:eastAsiaTheme="majorEastAsia" w:hAnsiTheme="majorHAnsi" w:cstheme="majorBidi"/>
                <w:bCs/>
                <w:lang w:val="en-AU"/>
              </w:rPr>
            </w:pPr>
            <w:r>
              <w:rPr>
                <w:rFonts w:asciiTheme="majorHAnsi" w:eastAsiaTheme="majorEastAsia" w:hAnsiTheme="majorHAnsi" w:cstheme="majorBidi"/>
                <w:bCs/>
                <w:lang w:val="en-AU"/>
              </w:rPr>
              <w:t>Recommendation 4</w:t>
            </w:r>
          </w:p>
          <w:p w14:paraId="4FDA3DDF" w14:textId="6870AA77" w:rsidR="005D0254" w:rsidRDefault="00AE00B6" w:rsidP="00007993">
            <w:pPr>
              <w:pStyle w:val="BodyText"/>
              <w:rPr>
                <w:rFonts w:asciiTheme="majorHAnsi" w:eastAsiaTheme="majorEastAsia" w:hAnsiTheme="majorHAnsi" w:cstheme="majorBidi"/>
                <w:bCs/>
                <w:lang w:val="en-AU"/>
              </w:rPr>
            </w:pPr>
            <w:r w:rsidRPr="00007993">
              <w:rPr>
                <w:rFonts w:asciiTheme="minorHAnsi" w:hAnsiTheme="minorHAnsi"/>
                <w:iCs/>
              </w:rPr>
              <w:t>I</w:t>
            </w:r>
            <w:r w:rsidR="0025618C" w:rsidRPr="00007993">
              <w:rPr>
                <w:rFonts w:asciiTheme="minorHAnsi" w:hAnsiTheme="minorHAnsi"/>
                <w:iCs/>
              </w:rPr>
              <w:t xml:space="preserve">nvestment </w:t>
            </w:r>
            <w:r w:rsidRPr="00007993">
              <w:rPr>
                <w:rFonts w:asciiTheme="minorHAnsi" w:hAnsiTheme="minorHAnsi"/>
                <w:iCs/>
              </w:rPr>
              <w:t>P</w:t>
            </w:r>
            <w:r w:rsidR="0025618C" w:rsidRPr="00007993">
              <w:rPr>
                <w:rFonts w:asciiTheme="minorHAnsi" w:hAnsiTheme="minorHAnsi"/>
                <w:iCs/>
              </w:rPr>
              <w:t xml:space="preserve">romotion </w:t>
            </w:r>
            <w:r w:rsidRPr="00007993">
              <w:rPr>
                <w:rFonts w:asciiTheme="minorHAnsi" w:hAnsiTheme="minorHAnsi"/>
                <w:iCs/>
              </w:rPr>
              <w:t>D</w:t>
            </w:r>
            <w:r w:rsidR="0025618C" w:rsidRPr="00007993">
              <w:rPr>
                <w:rFonts w:asciiTheme="minorHAnsi" w:hAnsiTheme="minorHAnsi"/>
                <w:iCs/>
              </w:rPr>
              <w:t>epartment (IPD)</w:t>
            </w:r>
            <w:r w:rsidRPr="00007993">
              <w:rPr>
                <w:rFonts w:asciiTheme="minorHAnsi" w:hAnsiTheme="minorHAnsi"/>
                <w:iCs/>
              </w:rPr>
              <w:t xml:space="preserve"> in collaboration with DERM </w:t>
            </w:r>
            <w:r w:rsidR="006E372B" w:rsidRPr="00007993">
              <w:rPr>
                <w:rFonts w:asciiTheme="minorHAnsi" w:hAnsiTheme="minorHAnsi"/>
                <w:iCs/>
              </w:rPr>
              <w:t xml:space="preserve">should </w:t>
            </w:r>
            <w:r w:rsidRPr="00007993">
              <w:rPr>
                <w:rFonts w:asciiTheme="minorHAnsi" w:hAnsiTheme="minorHAnsi"/>
                <w:iCs/>
              </w:rPr>
              <w:t xml:space="preserve">proactively supports broader reform agenda beyond its own, especially </w:t>
            </w:r>
            <w:r w:rsidR="0025618C" w:rsidRPr="00007993">
              <w:rPr>
                <w:rFonts w:asciiTheme="minorHAnsi" w:hAnsiTheme="minorHAnsi"/>
                <w:iCs/>
              </w:rPr>
              <w:t xml:space="preserve">operating </w:t>
            </w:r>
            <w:r w:rsidRPr="00007993">
              <w:rPr>
                <w:rFonts w:asciiTheme="minorHAnsi" w:hAnsiTheme="minorHAnsi"/>
                <w:iCs/>
              </w:rPr>
              <w:t>licensing reform which will be undertaken by line ministries.</w:t>
            </w:r>
          </w:p>
        </w:tc>
        <w:tc>
          <w:tcPr>
            <w:tcW w:w="1518" w:type="dxa"/>
            <w:shd w:val="clear" w:color="auto" w:fill="FFEE32" w:themeFill="accent4" w:themeFillShade="BF"/>
          </w:tcPr>
          <w:p w14:paraId="02848396" w14:textId="1A3C8398" w:rsidR="005D0254" w:rsidRDefault="008F1AD1" w:rsidP="005D6697">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 in part</w:t>
            </w:r>
          </w:p>
        </w:tc>
        <w:tc>
          <w:tcPr>
            <w:tcW w:w="3301" w:type="dxa"/>
          </w:tcPr>
          <w:p w14:paraId="30B8B05D" w14:textId="399FCAC5" w:rsidR="005D0254" w:rsidRDefault="00D22739"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 xml:space="preserve">The </w:t>
            </w:r>
            <w:r w:rsidR="00F45311" w:rsidRPr="00F45311">
              <w:rPr>
                <w:rFonts w:asciiTheme="majorHAnsi" w:hAnsiTheme="majorHAnsi"/>
              </w:rPr>
              <w:t>M</w:t>
            </w:r>
            <w:r w:rsidR="0025618C">
              <w:rPr>
                <w:rFonts w:asciiTheme="majorHAnsi" w:hAnsiTheme="majorHAnsi"/>
              </w:rPr>
              <w:t xml:space="preserve">inistry of </w:t>
            </w:r>
            <w:r w:rsidR="00F45311" w:rsidRPr="00F45311">
              <w:rPr>
                <w:rFonts w:asciiTheme="majorHAnsi" w:hAnsiTheme="majorHAnsi"/>
              </w:rPr>
              <w:t>P</w:t>
            </w:r>
            <w:r w:rsidR="0025618C">
              <w:rPr>
                <w:rFonts w:asciiTheme="majorHAnsi" w:hAnsiTheme="majorHAnsi"/>
              </w:rPr>
              <w:t>lanning and Investment (MPI)</w:t>
            </w:r>
            <w:r w:rsidR="00F45311" w:rsidRPr="00F45311">
              <w:rPr>
                <w:rFonts w:asciiTheme="majorHAnsi" w:hAnsiTheme="majorHAnsi"/>
              </w:rPr>
              <w:t xml:space="preserve"> has </w:t>
            </w:r>
            <w:r>
              <w:rPr>
                <w:rFonts w:asciiTheme="majorHAnsi" w:hAnsiTheme="majorHAnsi"/>
              </w:rPr>
              <w:t>progressed</w:t>
            </w:r>
            <w:r w:rsidR="00F45311" w:rsidRPr="00F45311">
              <w:rPr>
                <w:rFonts w:asciiTheme="majorHAnsi" w:hAnsiTheme="majorHAnsi"/>
              </w:rPr>
              <w:t xml:space="preserve"> D</w:t>
            </w:r>
            <w:r w:rsidR="0025618C">
              <w:rPr>
                <w:rFonts w:asciiTheme="majorHAnsi" w:hAnsiTheme="majorHAnsi"/>
              </w:rPr>
              <w:t xml:space="preserve">oing </w:t>
            </w:r>
            <w:r w:rsidR="0025618C" w:rsidRPr="00F45311">
              <w:rPr>
                <w:rFonts w:asciiTheme="majorHAnsi" w:hAnsiTheme="majorHAnsi"/>
              </w:rPr>
              <w:t>B</w:t>
            </w:r>
            <w:r w:rsidR="0025618C">
              <w:rPr>
                <w:rFonts w:asciiTheme="majorHAnsi" w:hAnsiTheme="majorHAnsi"/>
              </w:rPr>
              <w:t>usiness (DB)</w:t>
            </w:r>
            <w:r w:rsidR="00F45311" w:rsidRPr="00F45311">
              <w:rPr>
                <w:rFonts w:asciiTheme="majorHAnsi" w:hAnsiTheme="majorHAnsi"/>
              </w:rPr>
              <w:t xml:space="preserve"> reform</w:t>
            </w:r>
            <w:r>
              <w:rPr>
                <w:rFonts w:asciiTheme="majorHAnsi" w:hAnsiTheme="majorHAnsi"/>
              </w:rPr>
              <w:t>s;</w:t>
            </w:r>
            <w:r w:rsidR="00F45311" w:rsidRPr="00F45311">
              <w:rPr>
                <w:rFonts w:asciiTheme="majorHAnsi" w:hAnsiTheme="majorHAnsi"/>
              </w:rPr>
              <w:t xml:space="preserve"> improved coordination, </w:t>
            </w:r>
            <w:proofErr w:type="gramStart"/>
            <w:r w:rsidR="00F45311" w:rsidRPr="00F45311">
              <w:rPr>
                <w:rFonts w:asciiTheme="majorHAnsi" w:hAnsiTheme="majorHAnsi"/>
              </w:rPr>
              <w:t>monitoring</w:t>
            </w:r>
            <w:proofErr w:type="gramEnd"/>
            <w:r w:rsidR="00F45311" w:rsidRPr="00F45311">
              <w:rPr>
                <w:rFonts w:asciiTheme="majorHAnsi" w:hAnsiTheme="majorHAnsi"/>
              </w:rPr>
              <w:t xml:space="preserve"> and reporting mechanism</w:t>
            </w:r>
            <w:r>
              <w:rPr>
                <w:rFonts w:asciiTheme="majorHAnsi" w:hAnsiTheme="majorHAnsi"/>
              </w:rPr>
              <w:t>s;</w:t>
            </w:r>
            <w:r w:rsidR="00F45311" w:rsidRPr="00F45311">
              <w:rPr>
                <w:rFonts w:asciiTheme="majorHAnsi" w:hAnsiTheme="majorHAnsi"/>
              </w:rPr>
              <w:t xml:space="preserve"> and involved the private sector. However, progress is </w:t>
            </w:r>
            <w:r>
              <w:rPr>
                <w:rFonts w:asciiTheme="majorHAnsi" w:hAnsiTheme="majorHAnsi"/>
              </w:rPr>
              <w:t xml:space="preserve">still </w:t>
            </w:r>
            <w:r w:rsidR="00F45311" w:rsidRPr="00F45311">
              <w:rPr>
                <w:rFonts w:asciiTheme="majorHAnsi" w:hAnsiTheme="majorHAnsi"/>
              </w:rPr>
              <w:t>constrained by a combination of lack of technical expertise</w:t>
            </w:r>
            <w:r>
              <w:rPr>
                <w:rFonts w:asciiTheme="majorHAnsi" w:hAnsiTheme="majorHAnsi"/>
              </w:rPr>
              <w:t>;</w:t>
            </w:r>
            <w:r w:rsidR="00F45311" w:rsidRPr="00F45311">
              <w:rPr>
                <w:rFonts w:asciiTheme="majorHAnsi" w:hAnsiTheme="majorHAnsi"/>
              </w:rPr>
              <w:t xml:space="preserve"> </w:t>
            </w:r>
            <w:r>
              <w:rPr>
                <w:rFonts w:asciiTheme="majorHAnsi" w:hAnsiTheme="majorHAnsi"/>
              </w:rPr>
              <w:t xml:space="preserve">no </w:t>
            </w:r>
            <w:r w:rsidR="00F45311" w:rsidRPr="00F45311">
              <w:rPr>
                <w:rFonts w:asciiTheme="majorHAnsi" w:hAnsiTheme="majorHAnsi"/>
              </w:rPr>
              <w:t xml:space="preserve">effective monitoring mechanism </w:t>
            </w:r>
            <w:r>
              <w:rPr>
                <w:rFonts w:asciiTheme="majorHAnsi" w:hAnsiTheme="majorHAnsi"/>
              </w:rPr>
              <w:t>within</w:t>
            </w:r>
            <w:r w:rsidR="00F45311" w:rsidRPr="00F45311">
              <w:rPr>
                <w:rFonts w:asciiTheme="majorHAnsi" w:hAnsiTheme="majorHAnsi"/>
              </w:rPr>
              <w:t xml:space="preserve"> the secretariat</w:t>
            </w:r>
            <w:r>
              <w:rPr>
                <w:rFonts w:asciiTheme="majorHAnsi" w:hAnsiTheme="majorHAnsi"/>
              </w:rPr>
              <w:t>;</w:t>
            </w:r>
            <w:r w:rsidR="00F45311" w:rsidRPr="00F45311">
              <w:rPr>
                <w:rFonts w:asciiTheme="majorHAnsi" w:hAnsiTheme="majorHAnsi"/>
              </w:rPr>
              <w:t xml:space="preserve"> and</w:t>
            </w:r>
            <w:r>
              <w:rPr>
                <w:rFonts w:asciiTheme="majorHAnsi" w:hAnsiTheme="majorHAnsi"/>
              </w:rPr>
              <w:t xml:space="preserve"> lack of</w:t>
            </w:r>
            <w:r w:rsidR="00F45311" w:rsidRPr="00F45311">
              <w:rPr>
                <w:rFonts w:asciiTheme="majorHAnsi" w:hAnsiTheme="majorHAnsi"/>
              </w:rPr>
              <w:t xml:space="preserve"> ownership from I</w:t>
            </w:r>
            <w:r w:rsidR="00392377">
              <w:rPr>
                <w:rFonts w:asciiTheme="majorHAnsi" w:hAnsiTheme="majorHAnsi"/>
              </w:rPr>
              <w:t xml:space="preserve">mplementation </w:t>
            </w:r>
            <w:r w:rsidR="00F45311" w:rsidRPr="00F45311">
              <w:rPr>
                <w:rFonts w:asciiTheme="majorHAnsi" w:hAnsiTheme="majorHAnsi"/>
              </w:rPr>
              <w:t>A</w:t>
            </w:r>
            <w:r w:rsidR="00392377">
              <w:rPr>
                <w:rFonts w:asciiTheme="majorHAnsi" w:hAnsiTheme="majorHAnsi"/>
              </w:rPr>
              <w:t>gencies (IA</w:t>
            </w:r>
            <w:r w:rsidR="00F45311" w:rsidRPr="00F45311">
              <w:rPr>
                <w:rFonts w:asciiTheme="majorHAnsi" w:hAnsiTheme="majorHAnsi"/>
              </w:rPr>
              <w:t>s</w:t>
            </w:r>
            <w:r w:rsidR="00392377">
              <w:rPr>
                <w:rFonts w:asciiTheme="majorHAnsi" w:hAnsiTheme="majorHAnsi"/>
              </w:rPr>
              <w:t>)</w:t>
            </w:r>
            <w:r w:rsidR="00F45311" w:rsidRPr="00F45311">
              <w:rPr>
                <w:rFonts w:asciiTheme="majorHAnsi" w:hAnsiTheme="majorHAnsi"/>
              </w:rPr>
              <w:t xml:space="preserve"> in charge of each area.</w:t>
            </w:r>
          </w:p>
        </w:tc>
        <w:tc>
          <w:tcPr>
            <w:tcW w:w="3969" w:type="dxa"/>
          </w:tcPr>
          <w:p w14:paraId="3852B355" w14:textId="02B5CAAC" w:rsidR="005D0254" w:rsidRPr="005D0254" w:rsidRDefault="00AE00B6" w:rsidP="0039237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E00B6">
              <w:rPr>
                <w:rFonts w:asciiTheme="majorHAnsi" w:hAnsiTheme="majorHAnsi"/>
              </w:rPr>
              <w:t xml:space="preserve">The Prime Minister’s Office </w:t>
            </w:r>
            <w:r w:rsidR="00392377">
              <w:rPr>
                <w:rFonts w:asciiTheme="majorHAnsi" w:hAnsiTheme="majorHAnsi"/>
              </w:rPr>
              <w:t>will</w:t>
            </w:r>
            <w:r w:rsidRPr="00AE00B6">
              <w:rPr>
                <w:rFonts w:asciiTheme="majorHAnsi" w:hAnsiTheme="majorHAnsi"/>
              </w:rPr>
              <w:t xml:space="preserve"> strengthen the monitoring and supervision of P</w:t>
            </w:r>
            <w:r w:rsidR="00392377">
              <w:rPr>
                <w:rFonts w:asciiTheme="majorHAnsi" w:hAnsiTheme="majorHAnsi"/>
              </w:rPr>
              <w:t>rime Minister (PM)</w:t>
            </w:r>
            <w:r w:rsidRPr="00AE00B6">
              <w:rPr>
                <w:rFonts w:asciiTheme="majorHAnsi" w:hAnsiTheme="majorHAnsi"/>
              </w:rPr>
              <w:t xml:space="preserve"> Order 02 and 03 and work closely with relevant secretariats. </w:t>
            </w:r>
            <w:r w:rsidR="00392377">
              <w:rPr>
                <w:rFonts w:asciiTheme="majorHAnsi" w:hAnsiTheme="majorHAnsi"/>
              </w:rPr>
              <w:t xml:space="preserve">IPD will </w:t>
            </w:r>
            <w:r w:rsidR="00D22739">
              <w:rPr>
                <w:rFonts w:asciiTheme="majorHAnsi" w:hAnsiTheme="majorHAnsi"/>
              </w:rPr>
              <w:t>d</w:t>
            </w:r>
            <w:r w:rsidR="00392377">
              <w:rPr>
                <w:rFonts w:asciiTheme="majorHAnsi" w:hAnsiTheme="majorHAnsi"/>
              </w:rPr>
              <w:t>evelop</w:t>
            </w:r>
            <w:r w:rsidRPr="00AE00B6">
              <w:rPr>
                <w:rFonts w:asciiTheme="majorHAnsi" w:hAnsiTheme="majorHAnsi"/>
              </w:rPr>
              <w:t xml:space="preserve"> key per</w:t>
            </w:r>
            <w:r w:rsidR="00392377">
              <w:rPr>
                <w:rFonts w:asciiTheme="majorHAnsi" w:hAnsiTheme="majorHAnsi"/>
              </w:rPr>
              <w:t>formance indicator</w:t>
            </w:r>
            <w:r w:rsidR="00D22739">
              <w:rPr>
                <w:rFonts w:asciiTheme="majorHAnsi" w:hAnsiTheme="majorHAnsi"/>
              </w:rPr>
              <w:t>s</w:t>
            </w:r>
            <w:r w:rsidR="00392377">
              <w:rPr>
                <w:rFonts w:asciiTheme="majorHAnsi" w:hAnsiTheme="majorHAnsi"/>
              </w:rPr>
              <w:t xml:space="preserve"> (KPI) </w:t>
            </w:r>
            <w:r w:rsidRPr="00AE00B6">
              <w:rPr>
                <w:rFonts w:asciiTheme="majorHAnsi" w:hAnsiTheme="majorHAnsi"/>
              </w:rPr>
              <w:t xml:space="preserve">to monitor PM Order No. 02 implementation </w:t>
            </w:r>
            <w:r w:rsidR="00392377">
              <w:rPr>
                <w:rFonts w:asciiTheme="majorHAnsi" w:hAnsiTheme="majorHAnsi"/>
              </w:rPr>
              <w:t>which</w:t>
            </w:r>
            <w:r w:rsidRPr="00AE00B6">
              <w:rPr>
                <w:rFonts w:asciiTheme="majorHAnsi" w:hAnsiTheme="majorHAnsi"/>
              </w:rPr>
              <w:t xml:space="preserve"> could enhance accountability. In addition, better communication on </w:t>
            </w:r>
            <w:r w:rsidR="00D22739">
              <w:rPr>
                <w:rFonts w:asciiTheme="majorHAnsi" w:hAnsiTheme="majorHAnsi"/>
              </w:rPr>
              <w:t xml:space="preserve">the </w:t>
            </w:r>
            <w:r w:rsidRPr="00AE00B6">
              <w:rPr>
                <w:rFonts w:asciiTheme="majorHAnsi" w:hAnsiTheme="majorHAnsi"/>
              </w:rPr>
              <w:t xml:space="preserve">DB reform agenda to the private sector and public in Vientiane Capital would support effective implementation. </w:t>
            </w:r>
          </w:p>
        </w:tc>
        <w:tc>
          <w:tcPr>
            <w:tcW w:w="1843" w:type="dxa"/>
          </w:tcPr>
          <w:p w14:paraId="57B6A2A9" w14:textId="584851AC" w:rsidR="005D0254" w:rsidRPr="008F4A4D" w:rsidRDefault="001A6C54"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From 30 June 2021 until the end of the project</w:t>
            </w:r>
          </w:p>
        </w:tc>
      </w:tr>
      <w:tr w:rsidR="00AE00B6" w14:paraId="44144F40" w14:textId="77777777" w:rsidTr="00F3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05CFFDF" w14:textId="6AD0F0C4" w:rsidR="00AE00B6" w:rsidRDefault="00AE00B6" w:rsidP="00E915DA">
            <w:pPr>
              <w:keepNext/>
              <w:keepLines/>
              <w:spacing w:before="480" w:after="120" w:line="360" w:lineRule="atLeast"/>
              <w:contextualSpacing/>
              <w:outlineLvl w:val="2"/>
              <w:rPr>
                <w:rFonts w:asciiTheme="majorHAnsi" w:eastAsiaTheme="majorEastAsia" w:hAnsiTheme="majorHAnsi" w:cstheme="majorBidi"/>
                <w:bCs/>
                <w:lang w:val="en-AU"/>
              </w:rPr>
            </w:pPr>
            <w:r w:rsidRPr="00AE00B6">
              <w:rPr>
                <w:rFonts w:asciiTheme="majorHAnsi" w:eastAsiaTheme="majorEastAsia" w:hAnsiTheme="majorHAnsi" w:cstheme="majorBidi"/>
                <w:bCs/>
                <w:lang w:val="en-AU"/>
              </w:rPr>
              <w:lastRenderedPageBreak/>
              <w:t xml:space="preserve">Recommendation </w:t>
            </w:r>
            <w:r>
              <w:rPr>
                <w:rFonts w:asciiTheme="majorHAnsi" w:eastAsiaTheme="majorEastAsia" w:hAnsiTheme="majorHAnsi" w:cstheme="majorBidi"/>
                <w:bCs/>
                <w:lang w:val="en-AU"/>
              </w:rPr>
              <w:t>5</w:t>
            </w:r>
          </w:p>
          <w:p w14:paraId="27FC645D" w14:textId="5A9966D6" w:rsidR="00AE00B6" w:rsidRDefault="00C87A44" w:rsidP="00E915DA">
            <w:pPr>
              <w:keepNext/>
              <w:keepLines/>
              <w:spacing w:before="480" w:after="120" w:line="360" w:lineRule="atLeast"/>
              <w:contextualSpacing/>
              <w:outlineLvl w:val="2"/>
              <w:rPr>
                <w:rFonts w:asciiTheme="majorHAnsi" w:eastAsiaTheme="majorEastAsia" w:hAnsiTheme="majorHAnsi" w:cstheme="majorBidi"/>
                <w:bCs/>
                <w:lang w:val="en-AU"/>
              </w:rPr>
            </w:pPr>
            <w:r>
              <w:rPr>
                <w:rFonts w:asciiTheme="majorHAnsi" w:eastAsiaTheme="majorEastAsia" w:hAnsiTheme="majorHAnsi" w:cstheme="majorBidi"/>
                <w:bCs/>
                <w:lang w:val="en-AU"/>
              </w:rPr>
              <w:t>Business Assistance Facility (</w:t>
            </w:r>
            <w:r w:rsidR="00134540">
              <w:rPr>
                <w:rFonts w:asciiTheme="majorHAnsi" w:eastAsiaTheme="majorEastAsia" w:hAnsiTheme="majorHAnsi" w:cstheme="majorBidi"/>
                <w:bCs/>
                <w:lang w:val="en-AU"/>
              </w:rPr>
              <w:t>BAF</w:t>
            </w:r>
            <w:r>
              <w:rPr>
                <w:rFonts w:asciiTheme="majorHAnsi" w:eastAsiaTheme="majorEastAsia" w:hAnsiTheme="majorHAnsi" w:cstheme="majorBidi"/>
                <w:bCs/>
                <w:lang w:val="en-AU"/>
              </w:rPr>
              <w:t>)</w:t>
            </w:r>
            <w:r w:rsidR="00134540">
              <w:rPr>
                <w:rFonts w:asciiTheme="majorHAnsi" w:eastAsiaTheme="majorEastAsia" w:hAnsiTheme="majorHAnsi" w:cstheme="majorBidi"/>
                <w:bCs/>
                <w:lang w:val="en-AU"/>
              </w:rPr>
              <w:t xml:space="preserve"> </w:t>
            </w:r>
            <w:r w:rsidR="00A9512C">
              <w:rPr>
                <w:rFonts w:asciiTheme="majorHAnsi" w:eastAsiaTheme="majorEastAsia" w:hAnsiTheme="majorHAnsi" w:cstheme="majorBidi"/>
                <w:bCs/>
                <w:lang w:val="en-AU"/>
              </w:rPr>
              <w:t>should improve</w:t>
            </w:r>
            <w:r w:rsidR="00134540" w:rsidRPr="00134540">
              <w:rPr>
                <w:rFonts w:asciiTheme="majorHAnsi" w:eastAsiaTheme="majorEastAsia" w:hAnsiTheme="majorHAnsi" w:cstheme="majorBidi"/>
                <w:bCs/>
                <w:lang w:val="en-AU"/>
              </w:rPr>
              <w:t xml:space="preserve"> its outreach strategy to reach outside of Vientiane groups and zones with less access</w:t>
            </w:r>
            <w:r w:rsidR="00134540">
              <w:rPr>
                <w:rFonts w:asciiTheme="majorHAnsi" w:eastAsiaTheme="majorEastAsia" w:hAnsiTheme="majorHAnsi" w:cstheme="majorBidi"/>
                <w:bCs/>
                <w:lang w:val="en-AU"/>
              </w:rPr>
              <w:t>.</w:t>
            </w:r>
          </w:p>
        </w:tc>
        <w:tc>
          <w:tcPr>
            <w:tcW w:w="1518" w:type="dxa"/>
            <w:shd w:val="clear" w:color="auto" w:fill="92D050"/>
          </w:tcPr>
          <w:p w14:paraId="18A30D5E" w14:textId="6654B1F9" w:rsidR="00AE00B6" w:rsidRDefault="00C87A44" w:rsidP="005D6697">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3301" w:type="dxa"/>
          </w:tcPr>
          <w:p w14:paraId="424490DC" w14:textId="1B9028D9" w:rsidR="00AE00B6" w:rsidRPr="00F45311" w:rsidRDefault="008F1AD1" w:rsidP="00847ED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The firms in Vientiane Capital have </w:t>
            </w:r>
            <w:r w:rsidR="00C87A44">
              <w:rPr>
                <w:rFonts w:asciiTheme="majorHAnsi" w:hAnsiTheme="majorHAnsi"/>
              </w:rPr>
              <w:t>advantage on accessing to business advisory and the matching grants from BAF.</w:t>
            </w:r>
            <w:r w:rsidR="00847ED3">
              <w:rPr>
                <w:rFonts w:asciiTheme="majorHAnsi" w:hAnsiTheme="majorHAnsi"/>
              </w:rPr>
              <w:t xml:space="preserve"> T</w:t>
            </w:r>
            <w:r w:rsidR="00C87A44">
              <w:rPr>
                <w:rFonts w:asciiTheme="majorHAnsi" w:hAnsiTheme="majorHAnsi"/>
              </w:rPr>
              <w:t xml:space="preserve">he outreach </w:t>
            </w:r>
            <w:r w:rsidR="00847ED3">
              <w:rPr>
                <w:rFonts w:asciiTheme="majorHAnsi" w:hAnsiTheme="majorHAnsi"/>
              </w:rPr>
              <w:t xml:space="preserve">can be improved </w:t>
            </w:r>
            <w:r w:rsidR="00C87A44">
              <w:rPr>
                <w:rFonts w:asciiTheme="majorHAnsi" w:hAnsiTheme="majorHAnsi"/>
              </w:rPr>
              <w:t xml:space="preserve">by determining the clear quota for the firms outside Vientiane Capital. </w:t>
            </w:r>
            <w:r>
              <w:rPr>
                <w:rFonts w:asciiTheme="majorHAnsi" w:hAnsiTheme="majorHAnsi"/>
              </w:rPr>
              <w:t xml:space="preserve"> </w:t>
            </w:r>
          </w:p>
        </w:tc>
        <w:tc>
          <w:tcPr>
            <w:tcW w:w="3969" w:type="dxa"/>
          </w:tcPr>
          <w:p w14:paraId="5B762D39" w14:textId="08577748" w:rsidR="00AE00B6" w:rsidRPr="00AE00B6" w:rsidRDefault="002719F4" w:rsidP="00ED25D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DFAT provided additional financing (AUD 1 million)</w:t>
            </w:r>
            <w:r w:rsidR="00847ED3">
              <w:rPr>
                <w:rFonts w:asciiTheme="majorHAnsi" w:hAnsiTheme="majorHAnsi"/>
              </w:rPr>
              <w:t xml:space="preserve"> to LCT to assist Lao PDR on</w:t>
            </w:r>
            <w:r>
              <w:rPr>
                <w:rFonts w:asciiTheme="majorHAnsi" w:hAnsiTheme="majorHAnsi"/>
              </w:rPr>
              <w:t xml:space="preserve"> economic recovery</w:t>
            </w:r>
            <w:r w:rsidR="00847ED3">
              <w:rPr>
                <w:rFonts w:asciiTheme="majorHAnsi" w:hAnsiTheme="majorHAnsi"/>
              </w:rPr>
              <w:t xml:space="preserve"> including private sector</w:t>
            </w:r>
            <w:r>
              <w:rPr>
                <w:rFonts w:asciiTheme="majorHAnsi" w:hAnsiTheme="majorHAnsi"/>
              </w:rPr>
              <w:t xml:space="preserve"> due to COVID-19 impact. In addition, USAID will also provide additional fund. As a result, the </w:t>
            </w:r>
            <w:r w:rsidR="00ED25DA">
              <w:rPr>
                <w:rFonts w:asciiTheme="majorHAnsi" w:hAnsiTheme="majorHAnsi"/>
              </w:rPr>
              <w:t xml:space="preserve">targeted </w:t>
            </w:r>
            <w:r>
              <w:rPr>
                <w:rFonts w:asciiTheme="majorHAnsi" w:hAnsiTheme="majorHAnsi"/>
              </w:rPr>
              <w:t>BAF supporting firms will be increase</w:t>
            </w:r>
            <w:r w:rsidR="00ED25DA">
              <w:rPr>
                <w:rFonts w:asciiTheme="majorHAnsi" w:hAnsiTheme="majorHAnsi"/>
              </w:rPr>
              <w:t>d</w:t>
            </w:r>
            <w:r>
              <w:rPr>
                <w:rFonts w:asciiTheme="majorHAnsi" w:hAnsiTheme="majorHAnsi"/>
              </w:rPr>
              <w:t xml:space="preserve"> from 300 firms to 500 firms</w:t>
            </w:r>
            <w:r w:rsidR="00686A88">
              <w:rPr>
                <w:rFonts w:asciiTheme="majorHAnsi" w:hAnsiTheme="majorHAnsi"/>
              </w:rPr>
              <w:t xml:space="preserve">. </w:t>
            </w:r>
            <w:r w:rsidR="00686A88" w:rsidRPr="00686A88">
              <w:rPr>
                <w:rFonts w:asciiTheme="majorHAnsi" w:hAnsiTheme="majorHAnsi"/>
              </w:rPr>
              <w:t xml:space="preserve">BAF </w:t>
            </w:r>
            <w:r w:rsidR="00686A88">
              <w:rPr>
                <w:rFonts w:asciiTheme="majorHAnsi" w:hAnsiTheme="majorHAnsi"/>
              </w:rPr>
              <w:t xml:space="preserve">will </w:t>
            </w:r>
            <w:r w:rsidR="00686A88" w:rsidRPr="00686A88">
              <w:rPr>
                <w:rFonts w:asciiTheme="majorHAnsi" w:hAnsiTheme="majorHAnsi"/>
              </w:rPr>
              <w:t>expand its outreach strategy to reach outside of Vientiane to groups and zones with less access.</w:t>
            </w:r>
            <w:r w:rsidR="00ED25DA">
              <w:rPr>
                <w:rFonts w:asciiTheme="majorHAnsi" w:hAnsiTheme="majorHAnsi"/>
              </w:rPr>
              <w:t xml:space="preserve"> The Vientiane Post will work with the contract branch to extend the LCT project period.</w:t>
            </w:r>
          </w:p>
        </w:tc>
        <w:tc>
          <w:tcPr>
            <w:tcW w:w="1843" w:type="dxa"/>
          </w:tcPr>
          <w:p w14:paraId="5FB1D3B9" w14:textId="33CE6DA3" w:rsidR="00AE00B6" w:rsidRPr="008F4A4D" w:rsidRDefault="001A6C54"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From April 2021 until the end of the project</w:t>
            </w:r>
          </w:p>
        </w:tc>
      </w:tr>
      <w:tr w:rsidR="00225123" w14:paraId="4D19396A" w14:textId="77777777" w:rsidTr="00F30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8C3393F" w14:textId="77777777" w:rsidR="00225123" w:rsidRDefault="00225123" w:rsidP="00E915DA">
            <w:pPr>
              <w:keepNext/>
              <w:keepLines/>
              <w:spacing w:before="480" w:after="120" w:line="360" w:lineRule="atLeast"/>
              <w:contextualSpacing/>
              <w:outlineLvl w:val="2"/>
              <w:rPr>
                <w:rFonts w:asciiTheme="majorHAnsi" w:eastAsiaTheme="majorEastAsia" w:hAnsiTheme="majorHAnsi" w:cstheme="majorBidi"/>
                <w:bCs/>
                <w:lang w:val="en-AU"/>
              </w:rPr>
            </w:pPr>
            <w:r w:rsidRPr="00225123">
              <w:rPr>
                <w:rFonts w:asciiTheme="majorHAnsi" w:eastAsiaTheme="majorEastAsia" w:hAnsiTheme="majorHAnsi" w:cstheme="majorBidi"/>
                <w:bCs/>
                <w:lang w:val="en-AU"/>
              </w:rPr>
              <w:t xml:space="preserve">Recommendation </w:t>
            </w:r>
            <w:r w:rsidR="00F57721">
              <w:rPr>
                <w:rFonts w:asciiTheme="majorHAnsi" w:eastAsiaTheme="majorEastAsia" w:hAnsiTheme="majorHAnsi" w:cstheme="majorBidi"/>
                <w:bCs/>
                <w:lang w:val="en-AU"/>
              </w:rPr>
              <w:t>6</w:t>
            </w:r>
          </w:p>
          <w:p w14:paraId="7FBE2314" w14:textId="50C41B46" w:rsidR="00AD17CF" w:rsidRPr="00AE00B6" w:rsidRDefault="00AD17CF" w:rsidP="00E915DA">
            <w:pPr>
              <w:keepNext/>
              <w:keepLines/>
              <w:spacing w:before="480" w:after="120" w:line="360" w:lineRule="atLeast"/>
              <w:contextualSpacing/>
              <w:outlineLvl w:val="2"/>
              <w:rPr>
                <w:rFonts w:asciiTheme="majorHAnsi" w:eastAsiaTheme="majorEastAsia" w:hAnsiTheme="majorHAnsi" w:cstheme="majorBidi"/>
                <w:bCs/>
                <w:lang w:val="en-AU"/>
              </w:rPr>
            </w:pPr>
            <w:r w:rsidRPr="00AD17CF">
              <w:rPr>
                <w:rFonts w:asciiTheme="majorHAnsi" w:eastAsiaTheme="majorEastAsia" w:hAnsiTheme="majorHAnsi" w:cstheme="majorBidi"/>
                <w:bCs/>
                <w:lang w:val="en-AU"/>
              </w:rPr>
              <w:t>N</w:t>
            </w:r>
            <w:r w:rsidR="00686A88">
              <w:rPr>
                <w:rFonts w:asciiTheme="majorHAnsi" w:eastAsiaTheme="majorEastAsia" w:hAnsiTheme="majorHAnsi" w:cstheme="majorBidi"/>
                <w:bCs/>
                <w:lang w:val="en-AU"/>
              </w:rPr>
              <w:t xml:space="preserve">ational </w:t>
            </w:r>
            <w:r w:rsidRPr="00AD17CF">
              <w:rPr>
                <w:rFonts w:asciiTheme="majorHAnsi" w:eastAsiaTheme="majorEastAsia" w:hAnsiTheme="majorHAnsi" w:cstheme="majorBidi"/>
                <w:bCs/>
                <w:lang w:val="en-AU"/>
              </w:rPr>
              <w:t>I</w:t>
            </w:r>
            <w:r w:rsidR="00686A88">
              <w:rPr>
                <w:rFonts w:asciiTheme="majorHAnsi" w:eastAsiaTheme="majorEastAsia" w:hAnsiTheme="majorHAnsi" w:cstheme="majorBidi"/>
                <w:bCs/>
                <w:lang w:val="en-AU"/>
              </w:rPr>
              <w:t xml:space="preserve">mplementation </w:t>
            </w:r>
            <w:r w:rsidRPr="00AD17CF">
              <w:rPr>
                <w:rFonts w:asciiTheme="majorHAnsi" w:eastAsiaTheme="majorEastAsia" w:hAnsiTheme="majorHAnsi" w:cstheme="majorBidi"/>
                <w:bCs/>
                <w:lang w:val="en-AU"/>
              </w:rPr>
              <w:t>U</w:t>
            </w:r>
            <w:r w:rsidR="00686A88">
              <w:rPr>
                <w:rFonts w:asciiTheme="majorHAnsi" w:eastAsiaTheme="majorEastAsia" w:hAnsiTheme="majorHAnsi" w:cstheme="majorBidi"/>
                <w:bCs/>
                <w:lang w:val="en-AU"/>
              </w:rPr>
              <w:t>nit (NIU)</w:t>
            </w:r>
            <w:r w:rsidRPr="00AD17CF">
              <w:rPr>
                <w:rFonts w:asciiTheme="majorHAnsi" w:eastAsiaTheme="majorEastAsia" w:hAnsiTheme="majorHAnsi" w:cstheme="majorBidi"/>
                <w:bCs/>
                <w:lang w:val="en-AU"/>
              </w:rPr>
              <w:t xml:space="preserve"> </w:t>
            </w:r>
            <w:r w:rsidR="00A9512C">
              <w:rPr>
                <w:rFonts w:asciiTheme="majorHAnsi" w:eastAsiaTheme="majorEastAsia" w:hAnsiTheme="majorHAnsi" w:cstheme="majorBidi"/>
                <w:bCs/>
                <w:lang w:val="en-AU"/>
              </w:rPr>
              <w:t>should take</w:t>
            </w:r>
            <w:r w:rsidRPr="00AD17CF">
              <w:rPr>
                <w:rFonts w:asciiTheme="majorHAnsi" w:eastAsiaTheme="majorEastAsia" w:hAnsiTheme="majorHAnsi" w:cstheme="majorBidi"/>
                <w:bCs/>
                <w:lang w:val="en-AU"/>
              </w:rPr>
              <w:t xml:space="preserve"> the lead in </w:t>
            </w:r>
            <w:r w:rsidR="00A9512C">
              <w:rPr>
                <w:rFonts w:asciiTheme="majorHAnsi" w:eastAsiaTheme="majorEastAsia" w:hAnsiTheme="majorHAnsi" w:cstheme="majorBidi"/>
                <w:bCs/>
                <w:lang w:val="en-AU"/>
              </w:rPr>
              <w:t>the reform</w:t>
            </w:r>
            <w:r w:rsidR="00686A88">
              <w:rPr>
                <w:rFonts w:asciiTheme="majorHAnsi" w:eastAsiaTheme="majorEastAsia" w:hAnsiTheme="majorHAnsi" w:cstheme="majorBidi"/>
                <w:bCs/>
                <w:lang w:val="en-AU"/>
              </w:rPr>
              <w:t xml:space="preserve"> monitoring and incentivis</w:t>
            </w:r>
            <w:r w:rsidR="00A9512C">
              <w:rPr>
                <w:rFonts w:asciiTheme="majorHAnsi" w:eastAsiaTheme="majorEastAsia" w:hAnsiTheme="majorHAnsi" w:cstheme="majorBidi"/>
                <w:bCs/>
                <w:lang w:val="en-AU"/>
              </w:rPr>
              <w:t>e Implementing Agencies (IAs)</w:t>
            </w:r>
            <w:r w:rsidR="00847ED3">
              <w:rPr>
                <w:rFonts w:asciiTheme="majorHAnsi" w:eastAsiaTheme="majorEastAsia" w:hAnsiTheme="majorHAnsi" w:cstheme="majorBidi"/>
                <w:bCs/>
                <w:lang w:val="en-AU"/>
              </w:rPr>
              <w:t xml:space="preserve"> by reporting to s</w:t>
            </w:r>
            <w:r w:rsidRPr="00AD17CF">
              <w:rPr>
                <w:rFonts w:asciiTheme="majorHAnsi" w:eastAsiaTheme="majorEastAsia" w:hAnsiTheme="majorHAnsi" w:cstheme="majorBidi"/>
                <w:bCs/>
                <w:lang w:val="en-AU"/>
              </w:rPr>
              <w:t>enior managemen</w:t>
            </w:r>
            <w:r w:rsidR="00A9512C">
              <w:rPr>
                <w:rFonts w:asciiTheme="majorHAnsi" w:eastAsiaTheme="majorEastAsia" w:hAnsiTheme="majorHAnsi" w:cstheme="majorBidi"/>
                <w:bCs/>
                <w:lang w:val="en-AU"/>
              </w:rPr>
              <w:t>t on their progress and publicis</w:t>
            </w:r>
            <w:r w:rsidRPr="00AD17CF">
              <w:rPr>
                <w:rFonts w:asciiTheme="majorHAnsi" w:eastAsiaTheme="majorEastAsia" w:hAnsiTheme="majorHAnsi" w:cstheme="majorBidi"/>
                <w:bCs/>
                <w:lang w:val="en-AU"/>
              </w:rPr>
              <w:t>ing achievement more publicly</w:t>
            </w:r>
          </w:p>
        </w:tc>
        <w:tc>
          <w:tcPr>
            <w:tcW w:w="1518" w:type="dxa"/>
            <w:shd w:val="clear" w:color="auto" w:fill="92D050"/>
          </w:tcPr>
          <w:p w14:paraId="3C54B80B" w14:textId="7C1C6F42" w:rsidR="00225123" w:rsidRDefault="00551B63" w:rsidP="00AD17CF">
            <w:pPr>
              <w:pStyle w:val="Heading3"/>
              <w:jc w:val="center"/>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w:t>
            </w:r>
          </w:p>
        </w:tc>
        <w:tc>
          <w:tcPr>
            <w:tcW w:w="3301" w:type="dxa"/>
          </w:tcPr>
          <w:p w14:paraId="1925488D" w14:textId="15FA3CE5" w:rsidR="00225123" w:rsidRPr="00134540" w:rsidRDefault="00AD17CF"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D17CF">
              <w:rPr>
                <w:rFonts w:asciiTheme="majorHAnsi" w:hAnsiTheme="majorHAnsi"/>
              </w:rPr>
              <w:t>As the project transitions from 2 years of planning to execution, the role of the NIU is shifting from managing inputs and budget to managing outputs and their implementation. This implies more quality assurance of outputs as well as close monitoring of IAs work plans.</w:t>
            </w:r>
          </w:p>
        </w:tc>
        <w:tc>
          <w:tcPr>
            <w:tcW w:w="3969" w:type="dxa"/>
          </w:tcPr>
          <w:p w14:paraId="465D18CC" w14:textId="05B1F7DE" w:rsidR="00225123" w:rsidRPr="00134540" w:rsidRDefault="00686A88"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T</w:t>
            </w:r>
            <w:r w:rsidR="00AD17CF" w:rsidRPr="00AD17CF">
              <w:rPr>
                <w:rFonts w:asciiTheme="majorHAnsi" w:hAnsiTheme="majorHAnsi"/>
              </w:rPr>
              <w:t xml:space="preserve">he NIU </w:t>
            </w:r>
            <w:r>
              <w:rPr>
                <w:rFonts w:asciiTheme="majorHAnsi" w:hAnsiTheme="majorHAnsi"/>
              </w:rPr>
              <w:t>will hire</w:t>
            </w:r>
            <w:r w:rsidR="00847ED3">
              <w:rPr>
                <w:rFonts w:asciiTheme="majorHAnsi" w:hAnsiTheme="majorHAnsi"/>
              </w:rPr>
              <w:t xml:space="preserve"> an M&amp;E consultant to e</w:t>
            </w:r>
            <w:r w:rsidR="00AD17CF" w:rsidRPr="00AD17CF">
              <w:rPr>
                <w:rFonts w:asciiTheme="majorHAnsi" w:hAnsiTheme="majorHAnsi"/>
              </w:rPr>
              <w:t>nsure smooth implementation of agreed action plans as well as leverage consultants and WB team technical advice</w:t>
            </w:r>
          </w:p>
        </w:tc>
        <w:tc>
          <w:tcPr>
            <w:tcW w:w="1843" w:type="dxa"/>
          </w:tcPr>
          <w:p w14:paraId="7C8D2033" w14:textId="6ADE0628" w:rsidR="00225123" w:rsidRPr="008F4A4D" w:rsidRDefault="001A6C54"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On-going</w:t>
            </w:r>
          </w:p>
        </w:tc>
      </w:tr>
      <w:tr w:rsidR="00AD17CF" w14:paraId="6C4EAF78" w14:textId="77777777" w:rsidTr="00F3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26AA4EA" w14:textId="77777777" w:rsidR="00AD17CF" w:rsidRDefault="00AD17CF" w:rsidP="00E915DA">
            <w:pPr>
              <w:keepNext/>
              <w:keepLines/>
              <w:spacing w:before="480" w:after="120" w:line="360" w:lineRule="atLeast"/>
              <w:contextualSpacing/>
              <w:outlineLvl w:val="2"/>
              <w:rPr>
                <w:rFonts w:asciiTheme="majorHAnsi" w:eastAsiaTheme="majorEastAsia" w:hAnsiTheme="majorHAnsi" w:cstheme="majorBidi"/>
                <w:bCs/>
                <w:lang w:val="en-US" w:bidi="lo-LA"/>
              </w:rPr>
            </w:pPr>
            <w:r>
              <w:rPr>
                <w:rFonts w:asciiTheme="majorHAnsi" w:eastAsiaTheme="majorEastAsia" w:hAnsiTheme="majorHAnsi" w:cstheme="majorBidi"/>
                <w:bCs/>
                <w:lang w:val="en-AU"/>
              </w:rPr>
              <w:lastRenderedPageBreak/>
              <w:t xml:space="preserve">Recommendation </w:t>
            </w:r>
            <w:r>
              <w:rPr>
                <w:rFonts w:asciiTheme="majorHAnsi" w:eastAsiaTheme="majorEastAsia" w:hAnsiTheme="majorHAnsi" w:cstheme="majorBidi"/>
                <w:bCs/>
                <w:lang w:val="en-US" w:bidi="lo-LA"/>
              </w:rPr>
              <w:t>7</w:t>
            </w:r>
          </w:p>
          <w:p w14:paraId="17F948FD" w14:textId="30AF4ECE" w:rsidR="00522D1E" w:rsidRPr="00AD17CF" w:rsidRDefault="00847ED3" w:rsidP="00E36F24">
            <w:pPr>
              <w:keepNext/>
              <w:keepLines/>
              <w:spacing w:before="480" w:after="120" w:line="360" w:lineRule="atLeast"/>
              <w:contextualSpacing/>
              <w:outlineLvl w:val="2"/>
              <w:rPr>
                <w:rFonts w:asciiTheme="majorHAnsi" w:eastAsiaTheme="majorEastAsia" w:hAnsiTheme="majorHAnsi" w:cstheme="majorBidi"/>
                <w:bCs/>
                <w:lang w:val="en-US" w:bidi="lo-LA"/>
              </w:rPr>
            </w:pPr>
            <w:r>
              <w:rPr>
                <w:rFonts w:asciiTheme="majorHAnsi" w:eastAsiaTheme="majorEastAsia" w:hAnsiTheme="majorHAnsi" w:cstheme="majorBidi"/>
                <w:bCs/>
                <w:lang w:val="en-US" w:bidi="lo-LA"/>
              </w:rPr>
              <w:t>I</w:t>
            </w:r>
            <w:r w:rsidR="00A9512C">
              <w:rPr>
                <w:rFonts w:asciiTheme="majorHAnsi" w:eastAsiaTheme="majorEastAsia" w:hAnsiTheme="majorHAnsi" w:cstheme="majorBidi"/>
                <w:bCs/>
                <w:lang w:val="en-US" w:bidi="lo-LA"/>
              </w:rPr>
              <w:t>mproving</w:t>
            </w:r>
            <w:r w:rsidR="00522D1E" w:rsidRPr="00522D1E">
              <w:rPr>
                <w:rFonts w:asciiTheme="majorHAnsi" w:eastAsiaTheme="majorEastAsia" w:hAnsiTheme="majorHAnsi" w:cstheme="majorBidi"/>
                <w:bCs/>
                <w:lang w:val="en-US" w:bidi="lo-LA"/>
              </w:rPr>
              <w:t xml:space="preserve"> communication and information sharing between the NIU and gender focal points, through regular coordination calls, a dedicated WhatsApp group, periodic brainstorming sessions </w:t>
            </w:r>
            <w:proofErr w:type="spellStart"/>
            <w:r w:rsidR="00522D1E" w:rsidRPr="00522D1E">
              <w:rPr>
                <w:rFonts w:asciiTheme="majorHAnsi" w:eastAsiaTheme="majorEastAsia" w:hAnsiTheme="majorHAnsi" w:cstheme="majorBidi"/>
                <w:bCs/>
                <w:lang w:val="en-US" w:bidi="lo-LA"/>
              </w:rPr>
              <w:t>etc</w:t>
            </w:r>
            <w:proofErr w:type="spellEnd"/>
          </w:p>
        </w:tc>
        <w:tc>
          <w:tcPr>
            <w:tcW w:w="1518" w:type="dxa"/>
            <w:shd w:val="clear" w:color="auto" w:fill="92D050"/>
          </w:tcPr>
          <w:p w14:paraId="5171CC47" w14:textId="61F48C09" w:rsidR="00AD17CF" w:rsidRDefault="00551B63" w:rsidP="00AD17CF">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3301" w:type="dxa"/>
          </w:tcPr>
          <w:p w14:paraId="15B6ACBE" w14:textId="1C52FA9C" w:rsidR="00AD17CF" w:rsidRPr="00AD17CF" w:rsidRDefault="00522D1E"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22D1E">
              <w:rPr>
                <w:rFonts w:asciiTheme="majorHAnsi" w:hAnsiTheme="majorHAnsi"/>
              </w:rPr>
              <w:t>Ownership and technical capacity</w:t>
            </w:r>
            <w:r>
              <w:rPr>
                <w:rFonts w:asciiTheme="majorHAnsi" w:hAnsiTheme="majorHAnsi"/>
              </w:rPr>
              <w:t xml:space="preserve"> on gender</w:t>
            </w:r>
            <w:r w:rsidRPr="00522D1E">
              <w:rPr>
                <w:rFonts w:asciiTheme="majorHAnsi" w:hAnsiTheme="majorHAnsi"/>
              </w:rPr>
              <w:t xml:space="preserve"> remain low within NIU and IAs</w:t>
            </w:r>
            <w:r w:rsidR="00E36F24">
              <w:rPr>
                <w:rFonts w:asciiTheme="majorHAnsi" w:hAnsiTheme="majorHAnsi"/>
              </w:rPr>
              <w:t>, so it is important to set up the regular information sharing among stakeholders concerned.</w:t>
            </w:r>
          </w:p>
        </w:tc>
        <w:tc>
          <w:tcPr>
            <w:tcW w:w="3969" w:type="dxa"/>
          </w:tcPr>
          <w:p w14:paraId="1C0DAC8C" w14:textId="7F194785" w:rsidR="00AD17CF" w:rsidRPr="00AD17CF" w:rsidRDefault="001E459E"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The LCT project will prepare</w:t>
            </w:r>
            <w:r w:rsidR="00522D1E" w:rsidRPr="00522D1E">
              <w:rPr>
                <w:rFonts w:asciiTheme="majorHAnsi" w:hAnsiTheme="majorHAnsi"/>
              </w:rPr>
              <w:t xml:space="preserve"> a comprehensive gender capacity building plan t</w:t>
            </w:r>
            <w:r>
              <w:rPr>
                <w:rFonts w:asciiTheme="majorHAnsi" w:hAnsiTheme="majorHAnsi"/>
              </w:rPr>
              <w:t xml:space="preserve">argeting both NIU staff and IAs with the consideration of </w:t>
            </w:r>
            <w:r w:rsidR="00522D1E" w:rsidRPr="00522D1E">
              <w:rPr>
                <w:rFonts w:asciiTheme="majorHAnsi" w:hAnsiTheme="majorHAnsi"/>
              </w:rPr>
              <w:t>regular training and awareness-raising session</w:t>
            </w:r>
            <w:r>
              <w:rPr>
                <w:rFonts w:asciiTheme="majorHAnsi" w:hAnsiTheme="majorHAnsi"/>
              </w:rPr>
              <w:t xml:space="preserve"> by experts.</w:t>
            </w:r>
          </w:p>
        </w:tc>
        <w:tc>
          <w:tcPr>
            <w:tcW w:w="1843" w:type="dxa"/>
          </w:tcPr>
          <w:p w14:paraId="53A14130" w14:textId="688D8CF9" w:rsidR="00AD17CF" w:rsidRPr="008F4A4D" w:rsidRDefault="001A6C54" w:rsidP="005D669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From April 2021 until the end of the project</w:t>
            </w:r>
          </w:p>
        </w:tc>
      </w:tr>
      <w:tr w:rsidR="00A40DF0" w14:paraId="55567E08" w14:textId="77777777" w:rsidTr="00F30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22DE566" w14:textId="4ED46EDA" w:rsidR="00A40DF0" w:rsidRDefault="00A40DF0" w:rsidP="00E915DA">
            <w:pPr>
              <w:keepNext/>
              <w:keepLines/>
              <w:spacing w:before="480" w:after="120" w:line="360" w:lineRule="atLeast"/>
              <w:contextualSpacing/>
              <w:outlineLvl w:val="2"/>
              <w:rPr>
                <w:rFonts w:asciiTheme="majorHAnsi" w:eastAsiaTheme="majorEastAsia" w:hAnsiTheme="majorHAnsi" w:cstheme="majorBidi"/>
                <w:bCs/>
                <w:lang w:val="en-AU"/>
              </w:rPr>
            </w:pPr>
            <w:r>
              <w:rPr>
                <w:rFonts w:asciiTheme="majorHAnsi" w:eastAsiaTheme="majorEastAsia" w:hAnsiTheme="majorHAnsi" w:cstheme="majorBidi"/>
                <w:bCs/>
                <w:lang w:val="en-AU"/>
              </w:rPr>
              <w:t>Recommendation 8</w:t>
            </w:r>
          </w:p>
          <w:p w14:paraId="3A174F08" w14:textId="74B54503" w:rsidR="00A40DF0" w:rsidRDefault="00C1683B" w:rsidP="00E915DA">
            <w:pPr>
              <w:keepNext/>
              <w:keepLines/>
              <w:spacing w:before="480" w:after="120" w:line="360" w:lineRule="atLeast"/>
              <w:contextualSpacing/>
              <w:outlineLvl w:val="2"/>
              <w:rPr>
                <w:rFonts w:asciiTheme="majorHAnsi" w:eastAsiaTheme="majorEastAsia" w:hAnsiTheme="majorHAnsi" w:cstheme="majorBidi"/>
                <w:bCs/>
                <w:lang w:val="en-AU"/>
              </w:rPr>
            </w:pPr>
            <w:r>
              <w:rPr>
                <w:rFonts w:asciiTheme="majorHAnsi" w:eastAsiaTheme="majorEastAsia" w:hAnsiTheme="majorHAnsi" w:cstheme="majorBidi"/>
                <w:bCs/>
                <w:lang w:val="en-AU"/>
              </w:rPr>
              <w:t>The LCT project should allocate</w:t>
            </w:r>
            <w:r w:rsidR="00A40DF0" w:rsidRPr="00A40DF0">
              <w:rPr>
                <w:rFonts w:asciiTheme="majorHAnsi" w:eastAsiaTheme="majorEastAsia" w:hAnsiTheme="majorHAnsi" w:cstheme="majorBidi"/>
                <w:bCs/>
                <w:lang w:val="en-AU"/>
              </w:rPr>
              <w:t xml:space="preserve"> some budget which can be accessed by the L</w:t>
            </w:r>
            <w:r w:rsidR="00551B63">
              <w:rPr>
                <w:rFonts w:asciiTheme="majorHAnsi" w:eastAsiaTheme="majorEastAsia" w:hAnsiTheme="majorHAnsi" w:cstheme="majorBidi"/>
                <w:bCs/>
                <w:lang w:val="en-AU"/>
              </w:rPr>
              <w:t xml:space="preserve">ao </w:t>
            </w:r>
            <w:r w:rsidR="00A40DF0" w:rsidRPr="00A40DF0">
              <w:rPr>
                <w:rFonts w:asciiTheme="majorHAnsi" w:eastAsiaTheme="majorEastAsia" w:hAnsiTheme="majorHAnsi" w:cstheme="majorBidi"/>
                <w:bCs/>
                <w:lang w:val="en-AU"/>
              </w:rPr>
              <w:t>B</w:t>
            </w:r>
            <w:r w:rsidR="00551B63">
              <w:rPr>
                <w:rFonts w:asciiTheme="majorHAnsi" w:eastAsiaTheme="majorEastAsia" w:hAnsiTheme="majorHAnsi" w:cstheme="majorBidi"/>
                <w:bCs/>
                <w:lang w:val="en-AU"/>
              </w:rPr>
              <w:t xml:space="preserve">usiness </w:t>
            </w:r>
            <w:r w:rsidR="00A40DF0" w:rsidRPr="00A40DF0">
              <w:rPr>
                <w:rFonts w:asciiTheme="majorHAnsi" w:eastAsiaTheme="majorEastAsia" w:hAnsiTheme="majorHAnsi" w:cstheme="majorBidi"/>
                <w:bCs/>
                <w:lang w:val="en-AU"/>
              </w:rPr>
              <w:t>F</w:t>
            </w:r>
            <w:r w:rsidR="00551B63">
              <w:rPr>
                <w:rFonts w:asciiTheme="majorHAnsi" w:eastAsiaTheme="majorEastAsia" w:hAnsiTheme="majorHAnsi" w:cstheme="majorBidi"/>
                <w:bCs/>
                <w:lang w:val="en-AU"/>
              </w:rPr>
              <w:t>orum</w:t>
            </w:r>
            <w:r>
              <w:rPr>
                <w:rFonts w:asciiTheme="majorHAnsi" w:eastAsiaTheme="majorEastAsia" w:hAnsiTheme="majorHAnsi" w:cstheme="majorBidi"/>
                <w:bCs/>
                <w:lang w:val="en-AU"/>
              </w:rPr>
              <w:t xml:space="preserve"> (LBF)</w:t>
            </w:r>
            <w:r w:rsidR="00A40DF0" w:rsidRPr="00A40DF0">
              <w:rPr>
                <w:rFonts w:asciiTheme="majorHAnsi" w:eastAsiaTheme="majorEastAsia" w:hAnsiTheme="majorHAnsi" w:cstheme="majorBidi"/>
                <w:bCs/>
                <w:lang w:val="en-AU"/>
              </w:rPr>
              <w:t xml:space="preserve"> and its techni</w:t>
            </w:r>
            <w:r w:rsidR="00551B63">
              <w:rPr>
                <w:rFonts w:asciiTheme="majorHAnsi" w:eastAsiaTheme="majorEastAsia" w:hAnsiTheme="majorHAnsi" w:cstheme="majorBidi"/>
                <w:bCs/>
                <w:lang w:val="en-AU"/>
              </w:rPr>
              <w:t>cal working groups, to fund the</w:t>
            </w:r>
            <w:r w:rsidR="00A40DF0" w:rsidRPr="00A40DF0">
              <w:rPr>
                <w:rFonts w:asciiTheme="majorHAnsi" w:eastAsiaTheme="majorEastAsia" w:hAnsiTheme="majorHAnsi" w:cstheme="majorBidi"/>
                <w:bCs/>
                <w:lang w:val="en-AU"/>
              </w:rPr>
              <w:t xml:space="preserve"> data and analytical work studies</w:t>
            </w:r>
          </w:p>
        </w:tc>
        <w:tc>
          <w:tcPr>
            <w:tcW w:w="1518" w:type="dxa"/>
            <w:shd w:val="clear" w:color="auto" w:fill="92D050"/>
          </w:tcPr>
          <w:p w14:paraId="2B3FC418" w14:textId="506EFB6B" w:rsidR="00A40DF0" w:rsidRDefault="00847ED3" w:rsidP="00AD17CF">
            <w:pPr>
              <w:pStyle w:val="Heading3"/>
              <w:jc w:val="center"/>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w:t>
            </w:r>
          </w:p>
        </w:tc>
        <w:tc>
          <w:tcPr>
            <w:tcW w:w="3301" w:type="dxa"/>
          </w:tcPr>
          <w:p w14:paraId="48528C8F" w14:textId="7FD7ADFA" w:rsidR="00A40DF0" w:rsidRPr="00522D1E" w:rsidRDefault="00A40DF0"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40DF0">
              <w:rPr>
                <w:rFonts w:asciiTheme="majorHAnsi" w:hAnsiTheme="majorHAnsi"/>
              </w:rPr>
              <w:t>The traction gained by the L</w:t>
            </w:r>
            <w:r w:rsidR="00551B63">
              <w:rPr>
                <w:rFonts w:asciiTheme="majorHAnsi" w:hAnsiTheme="majorHAnsi"/>
              </w:rPr>
              <w:t xml:space="preserve">ao </w:t>
            </w:r>
            <w:r w:rsidRPr="00A40DF0">
              <w:rPr>
                <w:rFonts w:asciiTheme="majorHAnsi" w:hAnsiTheme="majorHAnsi"/>
              </w:rPr>
              <w:t>N</w:t>
            </w:r>
            <w:r w:rsidR="00551B63">
              <w:rPr>
                <w:rFonts w:asciiTheme="majorHAnsi" w:hAnsiTheme="majorHAnsi"/>
              </w:rPr>
              <w:t xml:space="preserve">ational </w:t>
            </w:r>
            <w:r w:rsidRPr="00A40DF0">
              <w:rPr>
                <w:rFonts w:asciiTheme="majorHAnsi" w:hAnsiTheme="majorHAnsi"/>
              </w:rPr>
              <w:t>C</w:t>
            </w:r>
            <w:r w:rsidR="00551B63">
              <w:rPr>
                <w:rFonts w:asciiTheme="majorHAnsi" w:hAnsiTheme="majorHAnsi"/>
              </w:rPr>
              <w:t xml:space="preserve">hamber of </w:t>
            </w:r>
            <w:r w:rsidRPr="00A40DF0">
              <w:rPr>
                <w:rFonts w:asciiTheme="majorHAnsi" w:hAnsiTheme="majorHAnsi"/>
              </w:rPr>
              <w:t>C</w:t>
            </w:r>
            <w:r w:rsidR="00551B63">
              <w:rPr>
                <w:rFonts w:asciiTheme="majorHAnsi" w:hAnsiTheme="majorHAnsi"/>
              </w:rPr>
              <w:t xml:space="preserve">ommerce and </w:t>
            </w:r>
            <w:r w:rsidRPr="00A40DF0">
              <w:rPr>
                <w:rFonts w:asciiTheme="majorHAnsi" w:hAnsiTheme="majorHAnsi"/>
              </w:rPr>
              <w:t>I</w:t>
            </w:r>
            <w:r w:rsidR="00551B63">
              <w:rPr>
                <w:rFonts w:asciiTheme="majorHAnsi" w:hAnsiTheme="majorHAnsi"/>
              </w:rPr>
              <w:t>ndustry (LNCCI)</w:t>
            </w:r>
            <w:r w:rsidRPr="00A40DF0">
              <w:rPr>
                <w:rFonts w:asciiTheme="majorHAnsi" w:hAnsiTheme="majorHAnsi"/>
              </w:rPr>
              <w:t xml:space="preserve"> offers the project a real opportunity to leverage the private sector through the LBF and accelerate business and trade reforms. What the LBF and LNCCI need is robust data and studies by national and international experts to back-up the issues they raise.</w:t>
            </w:r>
          </w:p>
        </w:tc>
        <w:tc>
          <w:tcPr>
            <w:tcW w:w="3969" w:type="dxa"/>
          </w:tcPr>
          <w:p w14:paraId="21E71A80" w14:textId="4CB02142" w:rsidR="00A40DF0" w:rsidRPr="00522D1E" w:rsidRDefault="00A40DF0"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40DF0">
              <w:rPr>
                <w:rFonts w:asciiTheme="majorHAnsi" w:hAnsiTheme="majorHAnsi"/>
              </w:rPr>
              <w:t>In alignment with LBF preparation processes, further collaborative effort</w:t>
            </w:r>
            <w:r w:rsidR="00C1683B">
              <w:rPr>
                <w:rFonts w:asciiTheme="majorHAnsi" w:hAnsiTheme="majorHAnsi"/>
              </w:rPr>
              <w:t>s are needed to raise LNC</w:t>
            </w:r>
            <w:r w:rsidR="00847ED3">
              <w:rPr>
                <w:rFonts w:asciiTheme="majorHAnsi" w:hAnsiTheme="majorHAnsi"/>
              </w:rPr>
              <w:t>C</w:t>
            </w:r>
            <w:r w:rsidR="00C1683B">
              <w:rPr>
                <w:rFonts w:asciiTheme="majorHAnsi" w:hAnsiTheme="majorHAnsi"/>
              </w:rPr>
              <w:t>I/LBF s</w:t>
            </w:r>
            <w:r w:rsidRPr="00A40DF0">
              <w:rPr>
                <w:rFonts w:asciiTheme="majorHAnsi" w:hAnsiTheme="majorHAnsi"/>
              </w:rPr>
              <w:t>ecretariat’s e</w:t>
            </w:r>
            <w:r w:rsidR="00C1683B">
              <w:rPr>
                <w:rFonts w:asciiTheme="majorHAnsi" w:hAnsiTheme="majorHAnsi"/>
              </w:rPr>
              <w:t xml:space="preserve">ngagement in researching, </w:t>
            </w:r>
            <w:proofErr w:type="gramStart"/>
            <w:r w:rsidR="00C1683B">
              <w:rPr>
                <w:rFonts w:asciiTheme="majorHAnsi" w:hAnsiTheme="majorHAnsi"/>
              </w:rPr>
              <w:t>analys</w:t>
            </w:r>
            <w:r w:rsidRPr="00A40DF0">
              <w:rPr>
                <w:rFonts w:asciiTheme="majorHAnsi" w:hAnsiTheme="majorHAnsi"/>
              </w:rPr>
              <w:t>ing</w:t>
            </w:r>
            <w:proofErr w:type="gramEnd"/>
            <w:r w:rsidRPr="00A40DF0">
              <w:rPr>
                <w:rFonts w:asciiTheme="majorHAnsi" w:hAnsiTheme="majorHAnsi"/>
              </w:rPr>
              <w:t xml:space="preserve"> and articulating high priority trade facilitation issues for N</w:t>
            </w:r>
            <w:r w:rsidR="00C1683B">
              <w:rPr>
                <w:rFonts w:asciiTheme="majorHAnsi" w:hAnsiTheme="majorHAnsi"/>
              </w:rPr>
              <w:t xml:space="preserve">ational </w:t>
            </w:r>
            <w:r w:rsidRPr="00A40DF0">
              <w:rPr>
                <w:rFonts w:asciiTheme="majorHAnsi" w:hAnsiTheme="majorHAnsi"/>
              </w:rPr>
              <w:t>T</w:t>
            </w:r>
            <w:r w:rsidR="00C1683B">
              <w:rPr>
                <w:rFonts w:asciiTheme="majorHAnsi" w:hAnsiTheme="majorHAnsi"/>
              </w:rPr>
              <w:t xml:space="preserve">rade </w:t>
            </w:r>
            <w:r w:rsidRPr="00A40DF0">
              <w:rPr>
                <w:rFonts w:asciiTheme="majorHAnsi" w:hAnsiTheme="majorHAnsi"/>
              </w:rPr>
              <w:t>F</w:t>
            </w:r>
            <w:r w:rsidR="00C1683B">
              <w:rPr>
                <w:rFonts w:asciiTheme="majorHAnsi" w:hAnsiTheme="majorHAnsi"/>
              </w:rPr>
              <w:t xml:space="preserve">acilitation </w:t>
            </w:r>
            <w:r w:rsidRPr="00A40DF0">
              <w:rPr>
                <w:rFonts w:asciiTheme="majorHAnsi" w:hAnsiTheme="majorHAnsi"/>
              </w:rPr>
              <w:t>C</w:t>
            </w:r>
            <w:r w:rsidR="00C1683B">
              <w:rPr>
                <w:rFonts w:asciiTheme="majorHAnsi" w:hAnsiTheme="majorHAnsi"/>
              </w:rPr>
              <w:t>ommittee</w:t>
            </w:r>
            <w:r w:rsidRPr="00A40DF0">
              <w:rPr>
                <w:rFonts w:asciiTheme="majorHAnsi" w:hAnsiTheme="majorHAnsi"/>
              </w:rPr>
              <w:t xml:space="preserve"> consideration and action.</w:t>
            </w:r>
          </w:p>
        </w:tc>
        <w:tc>
          <w:tcPr>
            <w:tcW w:w="1843" w:type="dxa"/>
          </w:tcPr>
          <w:p w14:paraId="39F05E17" w14:textId="1835F2E1" w:rsidR="00A40DF0" w:rsidRPr="008F4A4D" w:rsidRDefault="001A6C54"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From 30 May until the end of the project </w:t>
            </w:r>
          </w:p>
        </w:tc>
      </w:tr>
    </w:tbl>
    <w:p w14:paraId="1865B93B" w14:textId="77777777" w:rsidR="00C10415" w:rsidRDefault="00C10415" w:rsidP="00C10415">
      <w:pPr>
        <w:pStyle w:val="BodyText"/>
        <w:rPr>
          <w:rFonts w:ascii="Franklin Gothic Book" w:hAnsi="Franklin Gothic Book"/>
          <w:color w:val="000000" w:themeColor="text1"/>
          <w:sz w:val="21"/>
        </w:rPr>
      </w:pPr>
    </w:p>
    <w:bookmarkEnd w:id="1"/>
    <w:p w14:paraId="117FBF2A" w14:textId="77777777" w:rsidR="00C10415" w:rsidRDefault="00C10415" w:rsidP="00C10415"/>
    <w:sectPr w:rsidR="00C10415" w:rsidSect="00C07853">
      <w:headerReference w:type="default" r:id="rId8"/>
      <w:footerReference w:type="default" r:id="rId9"/>
      <w:headerReference w:type="first" r:id="rId10"/>
      <w:footerReference w:type="first" r:id="rId11"/>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DDDBA" w14:textId="77777777" w:rsidR="00981DFA" w:rsidRDefault="00981DFA" w:rsidP="003A5358">
      <w:r>
        <w:separator/>
      </w:r>
    </w:p>
  </w:endnote>
  <w:endnote w:type="continuationSeparator" w:id="0">
    <w:p w14:paraId="5DFA215D" w14:textId="77777777" w:rsidR="00981DFA" w:rsidRDefault="00981DFA"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5DC0" w14:textId="77777777" w:rsidR="007451B9" w:rsidRDefault="007451B9" w:rsidP="00057479">
    <w:pPr>
      <w:pStyle w:val="Classification"/>
    </w:pPr>
    <w:r>
      <w:rPr>
        <w:noProof/>
        <w:lang w:val="en-US" w:bidi="lo-LA"/>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49" name="Picture 4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15DEB0F9" w:rsidR="007451B9" w:rsidRDefault="007451B9"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4116A5">
      <w:rPr>
        <w:rStyle w:val="PageNumber"/>
        <w:noProof/>
      </w:rPr>
      <w:t>2</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DB2F" w14:textId="2AD537A4" w:rsidR="007451B9" w:rsidRDefault="007451B9" w:rsidP="003A5358">
    <w:pPr>
      <w:pStyle w:val="Footer"/>
    </w:pPr>
    <w:r>
      <w:rPr>
        <w:noProof/>
        <w:lang w:val="en-US" w:bidi="lo-LA"/>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51" name="Picture 5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4116A5">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6E81C" w14:textId="77777777" w:rsidR="00981DFA" w:rsidRPr="008C5A0E" w:rsidRDefault="00981DFA" w:rsidP="003A5358">
      <w:pPr>
        <w:pStyle w:val="FootnoteSeparator"/>
      </w:pPr>
    </w:p>
  </w:footnote>
  <w:footnote w:type="continuationSeparator" w:id="0">
    <w:p w14:paraId="768DEF18" w14:textId="77777777" w:rsidR="00981DFA" w:rsidRDefault="00981DFA"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6867F" w14:textId="54C2A4E4" w:rsidR="007451B9" w:rsidRPr="00806503" w:rsidRDefault="004C4E33" w:rsidP="00057479">
    <w:pPr>
      <w:pStyle w:val="Classification"/>
    </w:pPr>
    <w:r w:rsidRPr="004C4E33">
      <w:t xml:space="preserve">Individual management response to the recommendations </w:t>
    </w:r>
    <w:r w:rsidR="007451B9">
      <w:rPr>
        <w:noProof/>
        <w:lang w:val="en-US" w:bidi="lo-LA"/>
      </w:rPr>
      <w:drawing>
        <wp:anchor distT="0" distB="0" distL="114300" distR="114300" simplePos="0" relativeHeight="251662336" behindDoc="1" locked="0" layoutInCell="1" allowOverlap="1" wp14:anchorId="44FDA7BE" wp14:editId="2089058F">
          <wp:simplePos x="0" y="0"/>
          <wp:positionH relativeFrom="page">
            <wp:posOffset>723569</wp:posOffset>
          </wp:positionH>
          <wp:positionV relativeFrom="page">
            <wp:posOffset>182880</wp:posOffset>
          </wp:positionV>
          <wp:extent cx="9191708" cy="883285"/>
          <wp:effectExtent l="0" t="0" r="9525" b="0"/>
          <wp:wrapNone/>
          <wp:docPr id="48" name="Picture 4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9200595" cy="88413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7D0E" w14:textId="77777777" w:rsidR="00C07853" w:rsidRDefault="00C07853" w:rsidP="003A5358">
    <w:pPr>
      <w:pStyle w:val="Header"/>
      <w:rPr>
        <w:noProof/>
        <w:lang w:val="en-US" w:bidi="lo-LA"/>
      </w:rPr>
    </w:pPr>
  </w:p>
  <w:p w14:paraId="405AEEAB" w14:textId="77777777" w:rsidR="007451B9" w:rsidRDefault="007451B9" w:rsidP="003A5358">
    <w:pPr>
      <w:pStyle w:val="Header"/>
    </w:pPr>
    <w:r>
      <w:rPr>
        <w:noProof/>
        <w:lang w:val="en-US" w:bidi="lo-LA"/>
      </w:rPr>
      <w:drawing>
        <wp:anchor distT="0" distB="0" distL="114300" distR="114300" simplePos="0" relativeHeight="251666432" behindDoc="1" locked="0" layoutInCell="1" allowOverlap="1" wp14:anchorId="57744D8F" wp14:editId="38218AA4">
          <wp:simplePos x="0" y="0"/>
          <wp:positionH relativeFrom="page">
            <wp:posOffset>182880</wp:posOffset>
          </wp:positionH>
          <wp:positionV relativeFrom="page">
            <wp:posOffset>182880</wp:posOffset>
          </wp:positionV>
          <wp:extent cx="10320655" cy="1971923"/>
          <wp:effectExtent l="0" t="0" r="4445" b="9525"/>
          <wp:wrapNone/>
          <wp:docPr id="50" name="Picture 5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10342828" cy="1976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E8E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16F49"/>
    <w:multiLevelType w:val="multilevel"/>
    <w:tmpl w:val="3BBAD900"/>
    <w:numStyleLink w:val="HeadingsList"/>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8"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9"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8A032C"/>
    <w:multiLevelType w:val="multilevel"/>
    <w:tmpl w:val="A596F316"/>
    <w:lvl w:ilvl="0">
      <w:start w:val="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1" w15:restartNumberingAfterBreak="0">
    <w:nsid w:val="27551520"/>
    <w:multiLevelType w:val="hybridMultilevel"/>
    <w:tmpl w:val="873A4248"/>
    <w:lvl w:ilvl="0" w:tplc="544C637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293B33"/>
    <w:multiLevelType w:val="multilevel"/>
    <w:tmpl w:val="D7928860"/>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4" w15:restartNumberingAfterBreak="0">
    <w:nsid w:val="2E4411E9"/>
    <w:multiLevelType w:val="hybridMultilevel"/>
    <w:tmpl w:val="454CFFDE"/>
    <w:lvl w:ilvl="0" w:tplc="10C6C948">
      <w:start w:val="1"/>
      <w:numFmt w:val="bullet"/>
      <w:lvlText w:val="›"/>
      <w:lvlJc w:val="left"/>
      <w:pPr>
        <w:ind w:left="644" w:hanging="360"/>
      </w:pPr>
      <w:rPr>
        <w:rFonts w:ascii="Times New Roman" w:hAnsi="Times New Roman" w:cs="Times New Roman" w:hint="default"/>
        <w:color w:val="auto"/>
        <w:position w:val="3"/>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5C714C"/>
    <w:multiLevelType w:val="multilevel"/>
    <w:tmpl w:val="C2A4A27A"/>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6" w15:restartNumberingAfterBreak="0">
    <w:nsid w:val="354554D2"/>
    <w:multiLevelType w:val="multilevel"/>
    <w:tmpl w:val="99329DE8"/>
    <w:lvl w:ilvl="0">
      <w:start w:val="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7" w15:restartNumberingAfterBreak="0">
    <w:nsid w:val="379A4F89"/>
    <w:multiLevelType w:val="multilevel"/>
    <w:tmpl w:val="F7343694"/>
    <w:lvl w:ilvl="0">
      <w:start w:val="7"/>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8" w15:restartNumberingAfterBreak="0">
    <w:nsid w:val="382D65A6"/>
    <w:multiLevelType w:val="hybridMultilevel"/>
    <w:tmpl w:val="1CCC2E9A"/>
    <w:lvl w:ilvl="0" w:tplc="4ED0F158">
      <w:start w:val="1"/>
      <w:numFmt w:val="decimal"/>
      <w:lvlText w:val="%1."/>
      <w:lvlJc w:val="left"/>
      <w:pPr>
        <w:tabs>
          <w:tab w:val="num" w:pos="284"/>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3D2E2A"/>
    <w:multiLevelType w:val="hybridMultilevel"/>
    <w:tmpl w:val="A3B28E8E"/>
    <w:lvl w:ilvl="0" w:tplc="A6905894">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9383E"/>
    <w:multiLevelType w:val="hybridMultilevel"/>
    <w:tmpl w:val="9C26C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55175E"/>
    <w:multiLevelType w:val="hybridMultilevel"/>
    <w:tmpl w:val="7C60D036"/>
    <w:lvl w:ilvl="0" w:tplc="67A0F962">
      <w:start w:val="1"/>
      <w:numFmt w:val="bullet"/>
      <w:lvlText w:val="›"/>
      <w:lvlJc w:val="left"/>
      <w:pPr>
        <w:ind w:left="360" w:hanging="360"/>
      </w:pPr>
      <w:rPr>
        <w:rFonts w:ascii="Times New Roman" w:hAnsi="Times New Roman" w:cs="Times New Roman" w:hint="default"/>
        <w:color w:val="495965" w:themeColor="text2"/>
        <w:position w:val="3"/>
        <w:sz w:val="20"/>
      </w:rPr>
    </w:lvl>
    <w:lvl w:ilvl="1" w:tplc="1A2699C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FE20D0"/>
    <w:multiLevelType w:val="multilevel"/>
    <w:tmpl w:val="045824A0"/>
    <w:lvl w:ilvl="0">
      <w:start w:val="2"/>
      <w:numFmt w:val="decimal"/>
      <w:lvlText w:val="%1"/>
      <w:lvlJc w:val="left"/>
      <w:pPr>
        <w:ind w:left="570" w:hanging="570"/>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F6927AC"/>
    <w:multiLevelType w:val="multilevel"/>
    <w:tmpl w:val="6E589274"/>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4" w15:restartNumberingAfterBreak="0">
    <w:nsid w:val="5034339B"/>
    <w:multiLevelType w:val="multilevel"/>
    <w:tmpl w:val="A1B2A38C"/>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5" w15:restartNumberingAfterBreak="0">
    <w:nsid w:val="50713C76"/>
    <w:multiLevelType w:val="multilevel"/>
    <w:tmpl w:val="3BBAD900"/>
    <w:numStyleLink w:val="HeadingsList"/>
  </w:abstractNum>
  <w:abstractNum w:abstractNumId="26" w15:restartNumberingAfterBreak="0">
    <w:nsid w:val="557778BA"/>
    <w:multiLevelType w:val="multilevel"/>
    <w:tmpl w:val="A858D2C8"/>
    <w:lvl w:ilvl="0">
      <w:start w:val="2"/>
      <w:numFmt w:val="decimal"/>
      <w:lvlText w:val="%1"/>
      <w:lvlJc w:val="left"/>
      <w:pPr>
        <w:ind w:left="465" w:hanging="465"/>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7C2646"/>
    <w:multiLevelType w:val="multilevel"/>
    <w:tmpl w:val="A1E68DEC"/>
    <w:lvl w:ilvl="0">
      <w:start w:val="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9"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D3C1EA7"/>
    <w:multiLevelType w:val="multilevel"/>
    <w:tmpl w:val="43428892"/>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5D56043A"/>
    <w:multiLevelType w:val="multilevel"/>
    <w:tmpl w:val="69AEB596"/>
    <w:numStyleLink w:val="BulletsList"/>
  </w:abstractNum>
  <w:abstractNum w:abstractNumId="32" w15:restartNumberingAfterBreak="0">
    <w:nsid w:val="5D652FC4"/>
    <w:multiLevelType w:val="multilevel"/>
    <w:tmpl w:val="3BBAD900"/>
    <w:numStyleLink w:val="HeadingsList"/>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75C7E"/>
    <w:multiLevelType w:val="hybridMultilevel"/>
    <w:tmpl w:val="161442FC"/>
    <w:lvl w:ilvl="0" w:tplc="B2F28E0E">
      <w:start w:val="6"/>
      <w:numFmt w:val="bullet"/>
      <w:lvlText w:val=""/>
      <w:lvlJc w:val="left"/>
      <w:pPr>
        <w:ind w:left="720" w:hanging="360"/>
      </w:pPr>
      <w:rPr>
        <w:rFonts w:ascii="Symbol" w:eastAsia="Times New Roman" w:hAnsi="Symbol" w:hint="default"/>
        <w:sz w:val="16"/>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8346301"/>
    <w:multiLevelType w:val="multilevel"/>
    <w:tmpl w:val="D6BEBBBE"/>
    <w:lvl w:ilvl="0">
      <w:start w:val="3"/>
      <w:numFmt w:val="decimal"/>
      <w:lvlText w:val="%1"/>
      <w:lvlJc w:val="left"/>
      <w:pPr>
        <w:ind w:left="555" w:hanging="55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C0E2ABC"/>
    <w:multiLevelType w:val="multilevel"/>
    <w:tmpl w:val="3BBAD900"/>
    <w:numStyleLink w:val="HeadingsList"/>
  </w:abstractNum>
  <w:abstractNum w:abstractNumId="38" w15:restartNumberingAfterBreak="0">
    <w:nsid w:val="70F1197E"/>
    <w:multiLevelType w:val="multilevel"/>
    <w:tmpl w:val="1E2CC840"/>
    <w:lvl w:ilvl="0">
      <w:start w:val="7"/>
      <w:numFmt w:val="decimal"/>
      <w:lvlText w:val="%1"/>
      <w:lvlJc w:val="left"/>
      <w:pPr>
        <w:ind w:left="615" w:hanging="615"/>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0" w15:restartNumberingAfterBreak="0">
    <w:nsid w:val="744A7AEF"/>
    <w:multiLevelType w:val="multilevel"/>
    <w:tmpl w:val="3BBAD900"/>
    <w:numStyleLink w:val="HeadingsList"/>
  </w:abstractNum>
  <w:abstractNum w:abstractNumId="41"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9935C87"/>
    <w:multiLevelType w:val="multilevel"/>
    <w:tmpl w:val="9550C8C0"/>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43" w15:restartNumberingAfterBreak="0">
    <w:nsid w:val="7F650A15"/>
    <w:multiLevelType w:val="multilevel"/>
    <w:tmpl w:val="F67CBCCE"/>
    <w:lvl w:ilvl="0">
      <w:start w:val="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num w:numId="1">
    <w:abstractNumId w:val="39"/>
  </w:num>
  <w:num w:numId="2">
    <w:abstractNumId w:val="2"/>
  </w:num>
  <w:num w:numId="3">
    <w:abstractNumId w:val="12"/>
  </w:num>
  <w:num w:numId="4">
    <w:abstractNumId w:val="27"/>
  </w:num>
  <w:num w:numId="5">
    <w:abstractNumId w:val="33"/>
  </w:num>
  <w:num w:numId="6">
    <w:abstractNumId w:val="2"/>
  </w:num>
  <w:num w:numId="7">
    <w:abstractNumId w:val="6"/>
  </w:num>
  <w:num w:numId="8">
    <w:abstractNumId w:val="4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25"/>
  </w:num>
  <w:num w:numId="37">
    <w:abstractNumId w:val="32"/>
  </w:num>
  <w:num w:numId="38">
    <w:abstractNumId w:val="5"/>
  </w:num>
  <w:num w:numId="39">
    <w:abstractNumId w:val="40"/>
  </w:num>
  <w:num w:numId="40">
    <w:abstractNumId w:val="3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0"/>
  </w:num>
  <w:num w:numId="47">
    <w:abstractNumId w:val="30"/>
  </w:num>
  <w:num w:numId="48">
    <w:abstractNumId w:val="20"/>
  </w:num>
  <w:num w:numId="49">
    <w:abstractNumId w:val="19"/>
  </w:num>
  <w:num w:numId="5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F6"/>
    <w:rsid w:val="00007993"/>
    <w:rsid w:val="00013F0E"/>
    <w:rsid w:val="0001666A"/>
    <w:rsid w:val="0001758F"/>
    <w:rsid w:val="0002080A"/>
    <w:rsid w:val="0002336C"/>
    <w:rsid w:val="00025D1E"/>
    <w:rsid w:val="00027287"/>
    <w:rsid w:val="0002782F"/>
    <w:rsid w:val="000356C3"/>
    <w:rsid w:val="00040A8B"/>
    <w:rsid w:val="00047307"/>
    <w:rsid w:val="000524C5"/>
    <w:rsid w:val="00054E4D"/>
    <w:rsid w:val="00057479"/>
    <w:rsid w:val="00060073"/>
    <w:rsid w:val="00061316"/>
    <w:rsid w:val="00064004"/>
    <w:rsid w:val="00067916"/>
    <w:rsid w:val="000972FD"/>
    <w:rsid w:val="000A7FA1"/>
    <w:rsid w:val="000B3155"/>
    <w:rsid w:val="000B321A"/>
    <w:rsid w:val="000B5035"/>
    <w:rsid w:val="000C3638"/>
    <w:rsid w:val="000D53CF"/>
    <w:rsid w:val="000E79F6"/>
    <w:rsid w:val="000F12F0"/>
    <w:rsid w:val="000F2A97"/>
    <w:rsid w:val="00101A68"/>
    <w:rsid w:val="00105094"/>
    <w:rsid w:val="001055F8"/>
    <w:rsid w:val="0011276D"/>
    <w:rsid w:val="001250CF"/>
    <w:rsid w:val="00125E4E"/>
    <w:rsid w:val="00134540"/>
    <w:rsid w:val="0013615E"/>
    <w:rsid w:val="00141E3E"/>
    <w:rsid w:val="00146016"/>
    <w:rsid w:val="0015356B"/>
    <w:rsid w:val="001541EA"/>
    <w:rsid w:val="00156A3D"/>
    <w:rsid w:val="00157C34"/>
    <w:rsid w:val="00157CF5"/>
    <w:rsid w:val="00176E78"/>
    <w:rsid w:val="00177828"/>
    <w:rsid w:val="00196DE3"/>
    <w:rsid w:val="001A6C54"/>
    <w:rsid w:val="001A79DE"/>
    <w:rsid w:val="001C013B"/>
    <w:rsid w:val="001C2CE5"/>
    <w:rsid w:val="001C5C4C"/>
    <w:rsid w:val="001C7935"/>
    <w:rsid w:val="001D36D7"/>
    <w:rsid w:val="001D4767"/>
    <w:rsid w:val="001D663E"/>
    <w:rsid w:val="001E0D37"/>
    <w:rsid w:val="001E1DC0"/>
    <w:rsid w:val="001E459E"/>
    <w:rsid w:val="00203BF7"/>
    <w:rsid w:val="0022167B"/>
    <w:rsid w:val="0022186C"/>
    <w:rsid w:val="00225123"/>
    <w:rsid w:val="0023481D"/>
    <w:rsid w:val="00234A59"/>
    <w:rsid w:val="00235580"/>
    <w:rsid w:val="00240892"/>
    <w:rsid w:val="0024653B"/>
    <w:rsid w:val="00253405"/>
    <w:rsid w:val="0025618C"/>
    <w:rsid w:val="002573DB"/>
    <w:rsid w:val="00260099"/>
    <w:rsid w:val="002607B0"/>
    <w:rsid w:val="00271503"/>
    <w:rsid w:val="002719F4"/>
    <w:rsid w:val="00272B56"/>
    <w:rsid w:val="00276B76"/>
    <w:rsid w:val="00283EFE"/>
    <w:rsid w:val="0028602A"/>
    <w:rsid w:val="00286EDD"/>
    <w:rsid w:val="002921CE"/>
    <w:rsid w:val="0029542A"/>
    <w:rsid w:val="002B1079"/>
    <w:rsid w:val="002B22C4"/>
    <w:rsid w:val="002C0C6F"/>
    <w:rsid w:val="002C1EB6"/>
    <w:rsid w:val="002D1D43"/>
    <w:rsid w:val="002D43C3"/>
    <w:rsid w:val="002D484F"/>
    <w:rsid w:val="002D5825"/>
    <w:rsid w:val="002D74D2"/>
    <w:rsid w:val="002F1BDC"/>
    <w:rsid w:val="002F322E"/>
    <w:rsid w:val="002F782D"/>
    <w:rsid w:val="003002C0"/>
    <w:rsid w:val="00301144"/>
    <w:rsid w:val="00302E4B"/>
    <w:rsid w:val="0031097F"/>
    <w:rsid w:val="0031432C"/>
    <w:rsid w:val="003148B7"/>
    <w:rsid w:val="003158C3"/>
    <w:rsid w:val="00317188"/>
    <w:rsid w:val="003274CD"/>
    <w:rsid w:val="00332FA2"/>
    <w:rsid w:val="00333501"/>
    <w:rsid w:val="00337B31"/>
    <w:rsid w:val="00337D35"/>
    <w:rsid w:val="00343E2A"/>
    <w:rsid w:val="003457C4"/>
    <w:rsid w:val="003508A8"/>
    <w:rsid w:val="0035119D"/>
    <w:rsid w:val="0035513B"/>
    <w:rsid w:val="00355610"/>
    <w:rsid w:val="003567C7"/>
    <w:rsid w:val="00363B3C"/>
    <w:rsid w:val="003653B1"/>
    <w:rsid w:val="00367536"/>
    <w:rsid w:val="00367856"/>
    <w:rsid w:val="00383B26"/>
    <w:rsid w:val="00392377"/>
    <w:rsid w:val="00392BFF"/>
    <w:rsid w:val="003A5358"/>
    <w:rsid w:val="003A5CD1"/>
    <w:rsid w:val="003B4F12"/>
    <w:rsid w:val="003B7805"/>
    <w:rsid w:val="003C1BF1"/>
    <w:rsid w:val="003D4F79"/>
    <w:rsid w:val="003D7D08"/>
    <w:rsid w:val="003D7F56"/>
    <w:rsid w:val="003E038E"/>
    <w:rsid w:val="003E0442"/>
    <w:rsid w:val="003E32FA"/>
    <w:rsid w:val="003F163B"/>
    <w:rsid w:val="003F2F48"/>
    <w:rsid w:val="003F3DE0"/>
    <w:rsid w:val="003F525E"/>
    <w:rsid w:val="004116A5"/>
    <w:rsid w:val="0041430C"/>
    <w:rsid w:val="004144E9"/>
    <w:rsid w:val="004203A3"/>
    <w:rsid w:val="0042098F"/>
    <w:rsid w:val="004215E7"/>
    <w:rsid w:val="004230ED"/>
    <w:rsid w:val="00423F31"/>
    <w:rsid w:val="004241F2"/>
    <w:rsid w:val="0042455D"/>
    <w:rsid w:val="00425CB9"/>
    <w:rsid w:val="00426C51"/>
    <w:rsid w:val="004270F9"/>
    <w:rsid w:val="00427B4D"/>
    <w:rsid w:val="00431899"/>
    <w:rsid w:val="00436291"/>
    <w:rsid w:val="00437A5A"/>
    <w:rsid w:val="00467695"/>
    <w:rsid w:val="0047483B"/>
    <w:rsid w:val="0047491E"/>
    <w:rsid w:val="004778BE"/>
    <w:rsid w:val="0048174A"/>
    <w:rsid w:val="00481CA0"/>
    <w:rsid w:val="00486804"/>
    <w:rsid w:val="00486BA0"/>
    <w:rsid w:val="00495F8E"/>
    <w:rsid w:val="004971E7"/>
    <w:rsid w:val="004A3947"/>
    <w:rsid w:val="004B3775"/>
    <w:rsid w:val="004C4E33"/>
    <w:rsid w:val="004D0AEE"/>
    <w:rsid w:val="004D336E"/>
    <w:rsid w:val="004D633C"/>
    <w:rsid w:val="004E058F"/>
    <w:rsid w:val="004E3B87"/>
    <w:rsid w:val="004E7E9F"/>
    <w:rsid w:val="004F2CEC"/>
    <w:rsid w:val="00501EA3"/>
    <w:rsid w:val="0050405D"/>
    <w:rsid w:val="00510921"/>
    <w:rsid w:val="00510AD3"/>
    <w:rsid w:val="00511289"/>
    <w:rsid w:val="00513348"/>
    <w:rsid w:val="00521B2A"/>
    <w:rsid w:val="00522D1E"/>
    <w:rsid w:val="00533B5D"/>
    <w:rsid w:val="00534683"/>
    <w:rsid w:val="00534BE6"/>
    <w:rsid w:val="00536F42"/>
    <w:rsid w:val="005468F0"/>
    <w:rsid w:val="00551B63"/>
    <w:rsid w:val="00552BFE"/>
    <w:rsid w:val="005536C4"/>
    <w:rsid w:val="0056172E"/>
    <w:rsid w:val="00562D3C"/>
    <w:rsid w:val="0057225D"/>
    <w:rsid w:val="00580BDB"/>
    <w:rsid w:val="0058458D"/>
    <w:rsid w:val="0058530D"/>
    <w:rsid w:val="00596DED"/>
    <w:rsid w:val="005A00CC"/>
    <w:rsid w:val="005A3526"/>
    <w:rsid w:val="005B583F"/>
    <w:rsid w:val="005C18AC"/>
    <w:rsid w:val="005C4B23"/>
    <w:rsid w:val="005C70FA"/>
    <w:rsid w:val="005D0254"/>
    <w:rsid w:val="005D0990"/>
    <w:rsid w:val="005D1E4D"/>
    <w:rsid w:val="005D6697"/>
    <w:rsid w:val="005E295B"/>
    <w:rsid w:val="005F0701"/>
    <w:rsid w:val="005F1D57"/>
    <w:rsid w:val="005F4DFC"/>
    <w:rsid w:val="00617926"/>
    <w:rsid w:val="006222A8"/>
    <w:rsid w:val="00623BA1"/>
    <w:rsid w:val="00625E56"/>
    <w:rsid w:val="00627558"/>
    <w:rsid w:val="006346BC"/>
    <w:rsid w:val="00654CC2"/>
    <w:rsid w:val="00655169"/>
    <w:rsid w:val="0065749D"/>
    <w:rsid w:val="00660AF5"/>
    <w:rsid w:val="00661748"/>
    <w:rsid w:val="00663BB9"/>
    <w:rsid w:val="0066652A"/>
    <w:rsid w:val="00681BEE"/>
    <w:rsid w:val="00682167"/>
    <w:rsid w:val="00686A88"/>
    <w:rsid w:val="00686E76"/>
    <w:rsid w:val="00687B3B"/>
    <w:rsid w:val="00690C19"/>
    <w:rsid w:val="006922D7"/>
    <w:rsid w:val="006955FB"/>
    <w:rsid w:val="006A5521"/>
    <w:rsid w:val="006B0E2A"/>
    <w:rsid w:val="006C3042"/>
    <w:rsid w:val="006C42AF"/>
    <w:rsid w:val="006C483E"/>
    <w:rsid w:val="006D3831"/>
    <w:rsid w:val="006E2A12"/>
    <w:rsid w:val="006E372B"/>
    <w:rsid w:val="006F0606"/>
    <w:rsid w:val="006F682D"/>
    <w:rsid w:val="00700B3A"/>
    <w:rsid w:val="00706FDE"/>
    <w:rsid w:val="007071DB"/>
    <w:rsid w:val="0071086E"/>
    <w:rsid w:val="00710AC4"/>
    <w:rsid w:val="00711D8E"/>
    <w:rsid w:val="00712672"/>
    <w:rsid w:val="007217E9"/>
    <w:rsid w:val="007217FC"/>
    <w:rsid w:val="00724F6D"/>
    <w:rsid w:val="00731163"/>
    <w:rsid w:val="00731A39"/>
    <w:rsid w:val="00732CA1"/>
    <w:rsid w:val="00734E3F"/>
    <w:rsid w:val="007356B9"/>
    <w:rsid w:val="00736985"/>
    <w:rsid w:val="007451B9"/>
    <w:rsid w:val="00745DF5"/>
    <w:rsid w:val="00750DBA"/>
    <w:rsid w:val="007538A5"/>
    <w:rsid w:val="00756044"/>
    <w:rsid w:val="0075794C"/>
    <w:rsid w:val="00761FBB"/>
    <w:rsid w:val="00774489"/>
    <w:rsid w:val="007806BC"/>
    <w:rsid w:val="00784ACE"/>
    <w:rsid w:val="00785854"/>
    <w:rsid w:val="007903D7"/>
    <w:rsid w:val="00794DDF"/>
    <w:rsid w:val="00794E78"/>
    <w:rsid w:val="0079738A"/>
    <w:rsid w:val="007A011C"/>
    <w:rsid w:val="007A34B5"/>
    <w:rsid w:val="007A7373"/>
    <w:rsid w:val="007B42BF"/>
    <w:rsid w:val="007B6200"/>
    <w:rsid w:val="007B634D"/>
    <w:rsid w:val="007C42D8"/>
    <w:rsid w:val="007D5DCF"/>
    <w:rsid w:val="007D60CC"/>
    <w:rsid w:val="007E2357"/>
    <w:rsid w:val="007E2535"/>
    <w:rsid w:val="007E3380"/>
    <w:rsid w:val="007E5D6D"/>
    <w:rsid w:val="007F3395"/>
    <w:rsid w:val="007F3779"/>
    <w:rsid w:val="00801B9F"/>
    <w:rsid w:val="00806503"/>
    <w:rsid w:val="00806757"/>
    <w:rsid w:val="00823FC8"/>
    <w:rsid w:val="0082741E"/>
    <w:rsid w:val="00834336"/>
    <w:rsid w:val="00840942"/>
    <w:rsid w:val="008419F8"/>
    <w:rsid w:val="00843370"/>
    <w:rsid w:val="00847ED3"/>
    <w:rsid w:val="0085011E"/>
    <w:rsid w:val="00875F79"/>
    <w:rsid w:val="008830D2"/>
    <w:rsid w:val="00890297"/>
    <w:rsid w:val="00892441"/>
    <w:rsid w:val="008A0512"/>
    <w:rsid w:val="008A217A"/>
    <w:rsid w:val="008A2D70"/>
    <w:rsid w:val="008B24F6"/>
    <w:rsid w:val="008B3A67"/>
    <w:rsid w:val="008C455D"/>
    <w:rsid w:val="008C5A0E"/>
    <w:rsid w:val="008E032F"/>
    <w:rsid w:val="008E526D"/>
    <w:rsid w:val="008F1AD1"/>
    <w:rsid w:val="008F4066"/>
    <w:rsid w:val="008F4A4D"/>
    <w:rsid w:val="008F516A"/>
    <w:rsid w:val="009057EA"/>
    <w:rsid w:val="00924EB1"/>
    <w:rsid w:val="00961895"/>
    <w:rsid w:val="00962E97"/>
    <w:rsid w:val="00971905"/>
    <w:rsid w:val="009767DC"/>
    <w:rsid w:val="00981DFA"/>
    <w:rsid w:val="00982A5F"/>
    <w:rsid w:val="009946C6"/>
    <w:rsid w:val="009A1EE6"/>
    <w:rsid w:val="009A4CDE"/>
    <w:rsid w:val="009A60A0"/>
    <w:rsid w:val="009B12CA"/>
    <w:rsid w:val="009B4D3B"/>
    <w:rsid w:val="009C0928"/>
    <w:rsid w:val="009C6BCD"/>
    <w:rsid w:val="009C6D70"/>
    <w:rsid w:val="009D3402"/>
    <w:rsid w:val="009D7407"/>
    <w:rsid w:val="009E0866"/>
    <w:rsid w:val="009E25BF"/>
    <w:rsid w:val="009F6423"/>
    <w:rsid w:val="00A02111"/>
    <w:rsid w:val="00A04166"/>
    <w:rsid w:val="00A06BE8"/>
    <w:rsid w:val="00A07BD8"/>
    <w:rsid w:val="00A13E4D"/>
    <w:rsid w:val="00A1561E"/>
    <w:rsid w:val="00A161CD"/>
    <w:rsid w:val="00A24100"/>
    <w:rsid w:val="00A2486C"/>
    <w:rsid w:val="00A24A62"/>
    <w:rsid w:val="00A3022D"/>
    <w:rsid w:val="00A3043C"/>
    <w:rsid w:val="00A31C9F"/>
    <w:rsid w:val="00A33827"/>
    <w:rsid w:val="00A33A72"/>
    <w:rsid w:val="00A3732B"/>
    <w:rsid w:val="00A376D2"/>
    <w:rsid w:val="00A40DF0"/>
    <w:rsid w:val="00A4144F"/>
    <w:rsid w:val="00A44AC6"/>
    <w:rsid w:val="00A51B45"/>
    <w:rsid w:val="00A5609A"/>
    <w:rsid w:val="00A61D28"/>
    <w:rsid w:val="00A6241D"/>
    <w:rsid w:val="00A62CC4"/>
    <w:rsid w:val="00A65F96"/>
    <w:rsid w:val="00A745FC"/>
    <w:rsid w:val="00A75A27"/>
    <w:rsid w:val="00A90510"/>
    <w:rsid w:val="00A940AA"/>
    <w:rsid w:val="00A9512C"/>
    <w:rsid w:val="00AB388E"/>
    <w:rsid w:val="00AC164A"/>
    <w:rsid w:val="00AC4620"/>
    <w:rsid w:val="00AC5C34"/>
    <w:rsid w:val="00AC5DC8"/>
    <w:rsid w:val="00AD17CF"/>
    <w:rsid w:val="00AE00B6"/>
    <w:rsid w:val="00AE3E05"/>
    <w:rsid w:val="00AF2050"/>
    <w:rsid w:val="00AF5A66"/>
    <w:rsid w:val="00AF6D5E"/>
    <w:rsid w:val="00B03CA8"/>
    <w:rsid w:val="00B13B4F"/>
    <w:rsid w:val="00B13C94"/>
    <w:rsid w:val="00B15FC6"/>
    <w:rsid w:val="00B34059"/>
    <w:rsid w:val="00B35911"/>
    <w:rsid w:val="00B4479D"/>
    <w:rsid w:val="00B50F8E"/>
    <w:rsid w:val="00B524B7"/>
    <w:rsid w:val="00B55E19"/>
    <w:rsid w:val="00B6075D"/>
    <w:rsid w:val="00B66BDC"/>
    <w:rsid w:val="00B6782A"/>
    <w:rsid w:val="00B71158"/>
    <w:rsid w:val="00B76749"/>
    <w:rsid w:val="00B76C71"/>
    <w:rsid w:val="00B851FD"/>
    <w:rsid w:val="00B92E1E"/>
    <w:rsid w:val="00BA31A7"/>
    <w:rsid w:val="00BA4B6D"/>
    <w:rsid w:val="00BA5D1A"/>
    <w:rsid w:val="00BB19CD"/>
    <w:rsid w:val="00BB26C5"/>
    <w:rsid w:val="00BB567A"/>
    <w:rsid w:val="00BC25E7"/>
    <w:rsid w:val="00BD0B99"/>
    <w:rsid w:val="00BE0891"/>
    <w:rsid w:val="00BE1FFF"/>
    <w:rsid w:val="00BF14D0"/>
    <w:rsid w:val="00BF27EF"/>
    <w:rsid w:val="00BF29D2"/>
    <w:rsid w:val="00BF3A17"/>
    <w:rsid w:val="00BF4DE6"/>
    <w:rsid w:val="00BF57D1"/>
    <w:rsid w:val="00C00C98"/>
    <w:rsid w:val="00C04CAA"/>
    <w:rsid w:val="00C0613F"/>
    <w:rsid w:val="00C07853"/>
    <w:rsid w:val="00C10415"/>
    <w:rsid w:val="00C16478"/>
    <w:rsid w:val="00C1683B"/>
    <w:rsid w:val="00C33A9C"/>
    <w:rsid w:val="00C3731C"/>
    <w:rsid w:val="00C40091"/>
    <w:rsid w:val="00C42CDE"/>
    <w:rsid w:val="00C63EE9"/>
    <w:rsid w:val="00C65C11"/>
    <w:rsid w:val="00C86007"/>
    <w:rsid w:val="00C87A44"/>
    <w:rsid w:val="00C96797"/>
    <w:rsid w:val="00CA37B1"/>
    <w:rsid w:val="00CA6EC9"/>
    <w:rsid w:val="00CB1959"/>
    <w:rsid w:val="00CC18E5"/>
    <w:rsid w:val="00CC431B"/>
    <w:rsid w:val="00CC531A"/>
    <w:rsid w:val="00CD2F34"/>
    <w:rsid w:val="00CD44DB"/>
    <w:rsid w:val="00CD60B1"/>
    <w:rsid w:val="00CE2F1B"/>
    <w:rsid w:val="00CE321B"/>
    <w:rsid w:val="00CF280B"/>
    <w:rsid w:val="00CF6683"/>
    <w:rsid w:val="00D018D0"/>
    <w:rsid w:val="00D018D7"/>
    <w:rsid w:val="00D0296C"/>
    <w:rsid w:val="00D042D3"/>
    <w:rsid w:val="00D07E78"/>
    <w:rsid w:val="00D12225"/>
    <w:rsid w:val="00D12D89"/>
    <w:rsid w:val="00D17E7D"/>
    <w:rsid w:val="00D203EB"/>
    <w:rsid w:val="00D2248F"/>
    <w:rsid w:val="00D22739"/>
    <w:rsid w:val="00D22A81"/>
    <w:rsid w:val="00D3238E"/>
    <w:rsid w:val="00D40C15"/>
    <w:rsid w:val="00D41E2A"/>
    <w:rsid w:val="00D44758"/>
    <w:rsid w:val="00D44F25"/>
    <w:rsid w:val="00D500E9"/>
    <w:rsid w:val="00D509F3"/>
    <w:rsid w:val="00D5556A"/>
    <w:rsid w:val="00D57616"/>
    <w:rsid w:val="00D61576"/>
    <w:rsid w:val="00D65170"/>
    <w:rsid w:val="00D81087"/>
    <w:rsid w:val="00D9353F"/>
    <w:rsid w:val="00DA024F"/>
    <w:rsid w:val="00DA5C3B"/>
    <w:rsid w:val="00DB0239"/>
    <w:rsid w:val="00DB6402"/>
    <w:rsid w:val="00DB792F"/>
    <w:rsid w:val="00DC5265"/>
    <w:rsid w:val="00DD420C"/>
    <w:rsid w:val="00DD44EA"/>
    <w:rsid w:val="00E03461"/>
    <w:rsid w:val="00E03E92"/>
    <w:rsid w:val="00E04AC1"/>
    <w:rsid w:val="00E10987"/>
    <w:rsid w:val="00E13FD9"/>
    <w:rsid w:val="00E1612F"/>
    <w:rsid w:val="00E16D17"/>
    <w:rsid w:val="00E26E94"/>
    <w:rsid w:val="00E3368B"/>
    <w:rsid w:val="00E357B7"/>
    <w:rsid w:val="00E36F24"/>
    <w:rsid w:val="00E377D5"/>
    <w:rsid w:val="00E37B70"/>
    <w:rsid w:val="00E41B0A"/>
    <w:rsid w:val="00E4629C"/>
    <w:rsid w:val="00E53800"/>
    <w:rsid w:val="00E55AF3"/>
    <w:rsid w:val="00E6019E"/>
    <w:rsid w:val="00E6081F"/>
    <w:rsid w:val="00E62377"/>
    <w:rsid w:val="00E62925"/>
    <w:rsid w:val="00E6753E"/>
    <w:rsid w:val="00E8026F"/>
    <w:rsid w:val="00E82491"/>
    <w:rsid w:val="00E82F47"/>
    <w:rsid w:val="00E839A4"/>
    <w:rsid w:val="00E86EFA"/>
    <w:rsid w:val="00E915DA"/>
    <w:rsid w:val="00E91D1D"/>
    <w:rsid w:val="00E928D7"/>
    <w:rsid w:val="00E9392A"/>
    <w:rsid w:val="00EA04B2"/>
    <w:rsid w:val="00EA0BCE"/>
    <w:rsid w:val="00EA20F3"/>
    <w:rsid w:val="00EA3CFE"/>
    <w:rsid w:val="00EA5EDD"/>
    <w:rsid w:val="00EA7640"/>
    <w:rsid w:val="00EB46D2"/>
    <w:rsid w:val="00EB6875"/>
    <w:rsid w:val="00EC075C"/>
    <w:rsid w:val="00ED25DA"/>
    <w:rsid w:val="00ED43D1"/>
    <w:rsid w:val="00ED5255"/>
    <w:rsid w:val="00ED75E2"/>
    <w:rsid w:val="00EE0D33"/>
    <w:rsid w:val="00EE2D82"/>
    <w:rsid w:val="00EE4EE1"/>
    <w:rsid w:val="00EF23EA"/>
    <w:rsid w:val="00EF4574"/>
    <w:rsid w:val="00EF75BF"/>
    <w:rsid w:val="00F001F8"/>
    <w:rsid w:val="00F14C4A"/>
    <w:rsid w:val="00F1611E"/>
    <w:rsid w:val="00F20E5E"/>
    <w:rsid w:val="00F2435D"/>
    <w:rsid w:val="00F2684E"/>
    <w:rsid w:val="00F30C60"/>
    <w:rsid w:val="00F45311"/>
    <w:rsid w:val="00F4791C"/>
    <w:rsid w:val="00F50744"/>
    <w:rsid w:val="00F5404C"/>
    <w:rsid w:val="00F57721"/>
    <w:rsid w:val="00F6098C"/>
    <w:rsid w:val="00F62971"/>
    <w:rsid w:val="00F63911"/>
    <w:rsid w:val="00F66D0E"/>
    <w:rsid w:val="00F729EF"/>
    <w:rsid w:val="00F77CAE"/>
    <w:rsid w:val="00F8555B"/>
    <w:rsid w:val="00F958AE"/>
    <w:rsid w:val="00F96BB9"/>
    <w:rsid w:val="00FA6261"/>
    <w:rsid w:val="00FB0F02"/>
    <w:rsid w:val="00FB7242"/>
    <w:rsid w:val="00FC1DEF"/>
    <w:rsid w:val="00FC750D"/>
    <w:rsid w:val="00FD1DF4"/>
    <w:rsid w:val="00FD22B7"/>
    <w:rsid w:val="00FD4C8E"/>
    <w:rsid w:val="00FE6D51"/>
    <w:rsid w:val="00FE7052"/>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07BD8"/>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34"/>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40"/>
      </w:numPr>
      <w:spacing w:after="60"/>
    </w:pPr>
    <w:rPr>
      <w:bCs/>
    </w:rPr>
  </w:style>
  <w:style w:type="paragraph" w:customStyle="1" w:styleId="Heading3Numbered">
    <w:name w:val="Heading 3 Numbered"/>
    <w:basedOn w:val="Heading3"/>
    <w:next w:val="Normal"/>
    <w:qFormat/>
    <w:rsid w:val="006D3831"/>
    <w:pPr>
      <w:numPr>
        <w:ilvl w:val="2"/>
        <w:numId w:val="40"/>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40"/>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CE5B1-65B2-45CA-84E2-5FE642BE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7803</Characters>
  <Application>Microsoft Office Word</Application>
  <DocSecurity>0</DocSecurity>
  <Lines>271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2022-01-25T04:14:00Z</dcterms:created>
  <dcterms:modified xsi:type="dcterms:W3CDTF">2022-01-25T04:14:00Z</dcterms:modified>
  <cp:category/>
  <cp:contentStatus/>
</cp:coreProperties>
</file>