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2B7C8" w14:textId="12532BE3" w:rsidR="004C4A3E" w:rsidRDefault="00CF71E9" w:rsidP="0042151E">
      <w:pPr>
        <w:pStyle w:val="Title"/>
        <w:ind w:right="-171"/>
      </w:pPr>
      <w:r w:rsidRPr="00CA6DB6">
        <w:t>Aid Program Performance Report 2012</w:t>
      </w:r>
      <w:r w:rsidRPr="00052BF3">
        <w:t>−</w:t>
      </w:r>
      <w:r w:rsidRPr="00CA6DB6">
        <w:t xml:space="preserve">13 </w:t>
      </w:r>
      <w:r w:rsidR="0027219D">
        <w:t xml:space="preserve">Lao People’s Democratic Republic </w:t>
      </w:r>
      <w:r w:rsidR="00BC6EEF">
        <w:tab/>
      </w:r>
    </w:p>
    <w:p w14:paraId="17715D9C" w14:textId="5DF9E5CB" w:rsidR="00180B19" w:rsidRPr="00083CB0" w:rsidRDefault="00180B19" w:rsidP="00083CB0">
      <w:pPr>
        <w:pStyle w:val="Heading1"/>
      </w:pPr>
      <w:r w:rsidRPr="00083CB0">
        <w:t xml:space="preserve">Key </w:t>
      </w:r>
      <w:r w:rsidR="001E2499" w:rsidRPr="00083CB0">
        <w:t>messages</w:t>
      </w:r>
    </w:p>
    <w:p w14:paraId="7320D700" w14:textId="47783A94" w:rsidR="00543D65" w:rsidRPr="00543D65" w:rsidRDefault="00B24D2C" w:rsidP="00083CB0">
      <w:pPr>
        <w:pStyle w:val="BodyText"/>
      </w:pPr>
      <w:r>
        <w:t>This</w:t>
      </w:r>
      <w:r w:rsidR="00B46BBE" w:rsidRPr="00966D95">
        <w:t xml:space="preserve"> report summarises the progress of Australia’s aid program to Laos in 2012</w:t>
      </w:r>
      <w:r w:rsidR="001E2499">
        <w:t>–</w:t>
      </w:r>
      <w:r w:rsidR="00B46BBE" w:rsidRPr="00966D95">
        <w:t>13, which is implemented in accordance with the Australia</w:t>
      </w:r>
      <w:r w:rsidR="001E2499">
        <w:t>–</w:t>
      </w:r>
      <w:r w:rsidR="00B46BBE" w:rsidRPr="00966D95">
        <w:t>Laos Development Cooperation Strategy 2009</w:t>
      </w:r>
      <w:r w:rsidR="001E2499">
        <w:t>–</w:t>
      </w:r>
      <w:r w:rsidR="00B46BBE" w:rsidRPr="00966D95">
        <w:t>2015</w:t>
      </w:r>
      <w:r w:rsidR="00B46BBE" w:rsidRPr="00543D65">
        <w:t>.</w:t>
      </w:r>
      <w:r w:rsidR="00B46BBE" w:rsidRPr="00C645CE">
        <w:rPr>
          <w:rStyle w:val="FootnoteReference"/>
          <w:sz w:val="20"/>
          <w:vertAlign w:val="superscript"/>
        </w:rPr>
        <w:footnoteReference w:id="1"/>
      </w:r>
      <w:r w:rsidR="00837413" w:rsidRPr="00D43B16">
        <w:rPr>
          <w:sz w:val="16"/>
          <w:szCs w:val="16"/>
          <w:vertAlign w:val="superscript"/>
        </w:rPr>
        <w:t xml:space="preserve"> </w:t>
      </w:r>
    </w:p>
    <w:p w14:paraId="4DE51715" w14:textId="362CE44E" w:rsidR="00543D65" w:rsidRPr="00B01B07" w:rsidRDefault="003077FF" w:rsidP="00083CB0">
      <w:pPr>
        <w:pStyle w:val="BodyText"/>
      </w:pPr>
      <w:r w:rsidRPr="00543D65">
        <w:t>Australia’s aid program to Laos is making positive improvements to the lives</w:t>
      </w:r>
      <w:r w:rsidR="00C92EF8" w:rsidRPr="00543D65">
        <w:t xml:space="preserve"> of poor and disadvantaged</w:t>
      </w:r>
      <w:r w:rsidRPr="00543D65">
        <w:t xml:space="preserve"> peopl</w:t>
      </w:r>
      <w:r w:rsidR="00543D65">
        <w:t>e.</w:t>
      </w:r>
      <w:r w:rsidR="000E302C">
        <w:t xml:space="preserve"> In education we assisted </w:t>
      </w:r>
      <w:r w:rsidR="00543D65">
        <w:t xml:space="preserve">more children </w:t>
      </w:r>
      <w:r w:rsidR="000E302C">
        <w:t>to gain</w:t>
      </w:r>
      <w:r w:rsidR="00543D65">
        <w:t xml:space="preserve"> access to a quality basic education, with school enrolments in our target districts improving from 88.4 per cent in 2010</w:t>
      </w:r>
      <w:r w:rsidR="001E2499">
        <w:t>–</w:t>
      </w:r>
      <w:r w:rsidR="00543D65">
        <w:t>11 to 94 pe</w:t>
      </w:r>
      <w:r w:rsidR="00A20C3F">
        <w:t>r cent in 2012</w:t>
      </w:r>
      <w:r w:rsidR="001E2499">
        <w:t>–</w:t>
      </w:r>
      <w:r w:rsidR="00A20C3F">
        <w:t xml:space="preserve">13. Australia’s </w:t>
      </w:r>
      <w:r w:rsidR="00543D65">
        <w:t>co-chairing of the</w:t>
      </w:r>
      <w:r w:rsidR="00A20C3F">
        <w:t xml:space="preserve"> Educa</w:t>
      </w:r>
      <w:r w:rsidR="00467151">
        <w:t>t</w:t>
      </w:r>
      <w:r w:rsidR="000E302C">
        <w:t>ion Sector Working Group helped</w:t>
      </w:r>
      <w:r w:rsidR="00A20C3F">
        <w:t xml:space="preserve"> to better align education investments with Lao Government </w:t>
      </w:r>
      <w:r w:rsidR="00A20C3F" w:rsidRPr="00B01B07">
        <w:t>development prio</w:t>
      </w:r>
      <w:r w:rsidR="000E302C" w:rsidRPr="00B01B07">
        <w:t>rities, assisting</w:t>
      </w:r>
      <w:r w:rsidR="00A20C3F" w:rsidRPr="00B01B07">
        <w:t xml:space="preserve"> to improve </w:t>
      </w:r>
      <w:proofErr w:type="gramStart"/>
      <w:r w:rsidR="000E302C" w:rsidRPr="00B01B07">
        <w:t>Laos</w:t>
      </w:r>
      <w:proofErr w:type="gramEnd"/>
      <w:r w:rsidR="000E302C" w:rsidRPr="00B01B07">
        <w:t xml:space="preserve"> </w:t>
      </w:r>
      <w:r w:rsidR="00A20C3F" w:rsidRPr="00B01B07">
        <w:t xml:space="preserve">performance against </w:t>
      </w:r>
      <w:r w:rsidR="001E2499">
        <w:t>the Millennium Development Goals</w:t>
      </w:r>
      <w:r w:rsidR="00A20C3F" w:rsidRPr="00B01B07">
        <w:t>.</w:t>
      </w:r>
      <w:r w:rsidR="008405D7" w:rsidRPr="00B01B07">
        <w:t xml:space="preserve"> </w:t>
      </w:r>
      <w:r w:rsidR="008405D7" w:rsidRPr="007A69EF">
        <w:t>Fifty p</w:t>
      </w:r>
      <w:r w:rsidR="001E2499">
        <w:t>e</w:t>
      </w:r>
      <w:r w:rsidR="008405D7" w:rsidRPr="007A69EF">
        <w:t>r</w:t>
      </w:r>
      <w:r w:rsidR="001E2499">
        <w:t xml:space="preserve"> </w:t>
      </w:r>
      <w:r w:rsidR="008405D7" w:rsidRPr="007A69EF">
        <w:t xml:space="preserve">cent of scholarships were awarded to women and two </w:t>
      </w:r>
      <w:r w:rsidR="00630E01" w:rsidRPr="007A69EF">
        <w:t xml:space="preserve">to </w:t>
      </w:r>
      <w:r w:rsidR="008405D7" w:rsidRPr="007A69EF">
        <w:t>people with disability.</w:t>
      </w:r>
    </w:p>
    <w:p w14:paraId="68B352AC" w14:textId="62CC846A" w:rsidR="00543D65" w:rsidRDefault="00491C78" w:rsidP="00083CB0">
      <w:pPr>
        <w:pStyle w:val="BodyText"/>
      </w:pPr>
      <w:r w:rsidRPr="00B01B07">
        <w:t xml:space="preserve">In the trade sector our sustained support </w:t>
      </w:r>
      <w:r w:rsidR="00A201FB" w:rsidRPr="007A69EF">
        <w:t>contributed</w:t>
      </w:r>
      <w:r w:rsidR="00A201FB" w:rsidRPr="00B01B07">
        <w:t xml:space="preserve"> </w:t>
      </w:r>
      <w:r w:rsidRPr="00B01B07">
        <w:t xml:space="preserve">to </w:t>
      </w:r>
      <w:proofErr w:type="gramStart"/>
      <w:r w:rsidRPr="00B01B07">
        <w:t>Laos</w:t>
      </w:r>
      <w:proofErr w:type="gramEnd"/>
      <w:r w:rsidRPr="00B01B07">
        <w:t xml:space="preserve"> membership accession to the World Trade </w:t>
      </w:r>
      <w:r w:rsidR="001E2499" w:rsidRPr="00B01B07">
        <w:t>Organi</w:t>
      </w:r>
      <w:r w:rsidR="001E2499">
        <w:t>z</w:t>
      </w:r>
      <w:r w:rsidR="001E2499" w:rsidRPr="00B01B07">
        <w:t xml:space="preserve">ation </w:t>
      </w:r>
      <w:r w:rsidR="00D61A5C" w:rsidRPr="007A69EF">
        <w:t>in February 2013</w:t>
      </w:r>
      <w:r w:rsidRPr="00B01B07">
        <w:t xml:space="preserve">. Efforts were also made </w:t>
      </w:r>
      <w:r w:rsidR="001E2499">
        <w:t>to</w:t>
      </w:r>
      <w:r w:rsidR="001E2499" w:rsidRPr="00B01B07">
        <w:t xml:space="preserve"> </w:t>
      </w:r>
      <w:r w:rsidR="00467151" w:rsidRPr="00B01B07">
        <w:t>increas</w:t>
      </w:r>
      <w:r w:rsidR="001E2499">
        <w:t>e</w:t>
      </w:r>
      <w:r w:rsidR="00467151" w:rsidRPr="00B01B07">
        <w:t xml:space="preserve"> the productivity </w:t>
      </w:r>
      <w:r w:rsidRPr="00B01B07">
        <w:t>of non-resource sectors with high social</w:t>
      </w:r>
      <w:r>
        <w:t xml:space="preserve"> and economic impact</w:t>
      </w:r>
      <w:r w:rsidR="00467151">
        <w:t xml:space="preserve"> with targeted training for </w:t>
      </w:r>
      <w:r w:rsidR="000E302C">
        <w:t xml:space="preserve">garment </w:t>
      </w:r>
      <w:r w:rsidR="00467151">
        <w:t>workers.</w:t>
      </w:r>
    </w:p>
    <w:p w14:paraId="42778CB7" w14:textId="32C1B1EC" w:rsidR="003A5069" w:rsidRPr="00491C78" w:rsidRDefault="00467151" w:rsidP="00083CB0">
      <w:pPr>
        <w:pStyle w:val="BodyText"/>
      </w:pPr>
      <w:r>
        <w:t>Through our investments in rural development</w:t>
      </w:r>
      <w:r w:rsidR="001E2499">
        <w:t>,</w:t>
      </w:r>
      <w:r>
        <w:t xml:space="preserve"> the lives and livelihoods of thousands of rural poor were improv</w:t>
      </w:r>
      <w:r w:rsidR="00092C81">
        <w:t>ed. Around 35</w:t>
      </w:r>
      <w:r w:rsidR="00F90F57">
        <w:t> </w:t>
      </w:r>
      <w:r w:rsidR="00092C81">
        <w:t>000 people gained</w:t>
      </w:r>
      <w:r>
        <w:t xml:space="preserve"> access to safe water and sanitation, 134</w:t>
      </w:r>
      <w:r w:rsidR="00F90F57">
        <w:t> </w:t>
      </w:r>
      <w:r>
        <w:t>000 to safe</w:t>
      </w:r>
      <w:r w:rsidR="001E2499">
        <w:t xml:space="preserve">, </w:t>
      </w:r>
      <w:r>
        <w:t>productive land</w:t>
      </w:r>
      <w:r w:rsidR="00092C81">
        <w:t xml:space="preserve"> </w:t>
      </w:r>
      <w:r w:rsidR="001E2499">
        <w:t xml:space="preserve">that had been cleared of unexploded ordnance, </w:t>
      </w:r>
      <w:r w:rsidR="00092C81">
        <w:t xml:space="preserve">and 8993 to electricity. </w:t>
      </w:r>
      <w:r w:rsidR="003A5069" w:rsidRPr="00491C78">
        <w:t xml:space="preserve">The preparation of the Australia Laos Rural Development Delivery Strategy </w:t>
      </w:r>
      <w:r w:rsidR="00092C81">
        <w:t>2012</w:t>
      </w:r>
      <w:r w:rsidR="001E2499">
        <w:t>–</w:t>
      </w:r>
      <w:r w:rsidR="00207715">
        <w:t>20</w:t>
      </w:r>
      <w:r w:rsidR="00092C81">
        <w:t xml:space="preserve">16 set an </w:t>
      </w:r>
      <w:r w:rsidR="00881433">
        <w:t xml:space="preserve">aid </w:t>
      </w:r>
      <w:r w:rsidR="00586840">
        <w:t>program</w:t>
      </w:r>
      <w:r w:rsidR="00881433">
        <w:t xml:space="preserve"> </w:t>
      </w:r>
      <w:r w:rsidR="00092C81">
        <w:t>benchmark and laid the foundation for significant future investment in rural development that will give rural communities access to roads, banks, safe productive land, and livelihood improvements through social transfers and micro-enterprise creation.</w:t>
      </w:r>
    </w:p>
    <w:p w14:paraId="5A432ADB" w14:textId="431397DE" w:rsidR="00180B19" w:rsidRPr="00180B19" w:rsidRDefault="00D43B16" w:rsidP="00083CB0">
      <w:pPr>
        <w:pStyle w:val="Heading1"/>
      </w:pPr>
      <w:r>
        <w:t>Context</w:t>
      </w:r>
    </w:p>
    <w:p w14:paraId="5DCFF44A" w14:textId="7B517A62" w:rsidR="00B0025A" w:rsidRPr="00966D95" w:rsidRDefault="00B46BBE" w:rsidP="00083CB0">
      <w:pPr>
        <w:pStyle w:val="BodyText"/>
      </w:pPr>
      <w:r w:rsidRPr="00966D95">
        <w:t xml:space="preserve">Laos’ strong economic performance </w:t>
      </w:r>
      <w:r w:rsidR="00B755CB" w:rsidRPr="00966D95">
        <w:t xml:space="preserve">continued throughout 2012 and 2013 with </w:t>
      </w:r>
      <w:r w:rsidR="005E2FBF">
        <w:t>gross domestic product (</w:t>
      </w:r>
      <w:r w:rsidR="001E2499">
        <w:t>GDP</w:t>
      </w:r>
      <w:r w:rsidR="005E2FBF">
        <w:t>)</w:t>
      </w:r>
      <w:r w:rsidR="001E2499">
        <w:t xml:space="preserve"> </w:t>
      </w:r>
      <w:r w:rsidR="00B755CB" w:rsidRPr="00966D95">
        <w:t>growth at around 8.2</w:t>
      </w:r>
      <w:r w:rsidR="005E7147" w:rsidRPr="00966D95">
        <w:t xml:space="preserve"> </w:t>
      </w:r>
      <w:r w:rsidR="00983017" w:rsidRPr="00966D95">
        <w:t>per cent</w:t>
      </w:r>
      <w:r w:rsidR="00726DE2" w:rsidRPr="00966D95">
        <w:t>, a slight increase from 8.0</w:t>
      </w:r>
      <w:r w:rsidR="005E7147" w:rsidRPr="00966D95">
        <w:t xml:space="preserve"> </w:t>
      </w:r>
      <w:r w:rsidR="00983017" w:rsidRPr="00966D95">
        <w:t>per cent</w:t>
      </w:r>
      <w:r w:rsidR="00726DE2" w:rsidRPr="00966D95">
        <w:t xml:space="preserve"> in 2011.</w:t>
      </w:r>
      <w:r w:rsidR="008B50FD" w:rsidRPr="00C645CE">
        <w:rPr>
          <w:rStyle w:val="FootnoteReference"/>
          <w:sz w:val="20"/>
          <w:szCs w:val="16"/>
          <w:vertAlign w:val="superscript"/>
        </w:rPr>
        <w:footnoteReference w:id="2"/>
      </w:r>
      <w:r w:rsidR="00B51DFB">
        <w:t xml:space="preserve"> </w:t>
      </w:r>
      <w:r w:rsidR="00726DE2" w:rsidRPr="00966D95">
        <w:t xml:space="preserve">This improvement in fiscal performance has been due to faster than expected revenue growth linked to grants received for the </w:t>
      </w:r>
      <w:r w:rsidR="005D05BC" w:rsidRPr="00966D95">
        <w:t>9</w:t>
      </w:r>
      <w:r w:rsidR="005D05BC" w:rsidRPr="00966D95">
        <w:rPr>
          <w:vertAlign w:val="superscript"/>
        </w:rPr>
        <w:t>th</w:t>
      </w:r>
      <w:r w:rsidR="005D05BC" w:rsidRPr="00966D95">
        <w:t xml:space="preserve"> Asia-Europe</w:t>
      </w:r>
      <w:r w:rsidR="00726DE2" w:rsidRPr="00966D95">
        <w:t xml:space="preserve"> Meeting</w:t>
      </w:r>
      <w:r w:rsidR="005D05BC" w:rsidRPr="00966D95">
        <w:t xml:space="preserve"> Summit</w:t>
      </w:r>
      <w:r w:rsidR="001E2499">
        <w:t>,</w:t>
      </w:r>
      <w:r w:rsidR="005D05BC" w:rsidRPr="00C645CE">
        <w:rPr>
          <w:rStyle w:val="FootnoteReference"/>
          <w:sz w:val="20"/>
          <w:szCs w:val="16"/>
          <w:vertAlign w:val="superscript"/>
        </w:rPr>
        <w:footnoteReference w:id="3"/>
      </w:r>
      <w:r w:rsidR="00726DE2" w:rsidRPr="00966D95">
        <w:t xml:space="preserve"> revenue from the </w:t>
      </w:r>
      <w:r w:rsidR="00B90EB9" w:rsidRPr="00966D95">
        <w:t>hydropower</w:t>
      </w:r>
      <w:r w:rsidR="008331BE">
        <w:t xml:space="preserve"> </w:t>
      </w:r>
      <w:r w:rsidR="00726DE2" w:rsidRPr="00966D95">
        <w:t>and mining sectors</w:t>
      </w:r>
      <w:r w:rsidR="001E2499">
        <w:t>,</w:t>
      </w:r>
      <w:r w:rsidR="00726DE2" w:rsidRPr="00966D95">
        <w:t xml:space="preserve"> and non-resource revenues such as turnover tax and income tax.</w:t>
      </w:r>
      <w:r w:rsidR="00B0025A" w:rsidRPr="00966D95">
        <w:t xml:space="preserve"> Revenues from foreign investment in mining and hydr</w:t>
      </w:r>
      <w:r w:rsidR="002E71F1" w:rsidRPr="00966D95">
        <w:t>opower projects alone accounted for 4.3</w:t>
      </w:r>
      <w:r w:rsidR="00B0025A" w:rsidRPr="00966D95">
        <w:t xml:space="preserve"> </w:t>
      </w:r>
      <w:r w:rsidR="00983017" w:rsidRPr="00966D95">
        <w:t>per cent</w:t>
      </w:r>
      <w:r w:rsidR="00B0025A" w:rsidRPr="00966D95">
        <w:t xml:space="preserve"> of GDP, an </w:t>
      </w:r>
      <w:r w:rsidR="002E71F1" w:rsidRPr="00966D95">
        <w:t xml:space="preserve">increase of </w:t>
      </w:r>
      <w:r w:rsidR="001E2499">
        <w:t>one</w:t>
      </w:r>
      <w:r w:rsidR="001E2499" w:rsidRPr="00966D95">
        <w:t xml:space="preserve"> </w:t>
      </w:r>
      <w:r w:rsidR="00983017" w:rsidRPr="00966D95">
        <w:t>per cent</w:t>
      </w:r>
      <w:r w:rsidR="002E71F1" w:rsidRPr="00966D95">
        <w:t xml:space="preserve"> from 2011.</w:t>
      </w:r>
    </w:p>
    <w:p w14:paraId="0DDBA7D5" w14:textId="1641EAC8" w:rsidR="008405D7" w:rsidRPr="00966D95" w:rsidRDefault="008405D7" w:rsidP="00083CB0">
      <w:pPr>
        <w:pStyle w:val="BodyText"/>
      </w:pPr>
      <w:r w:rsidRPr="007A69EF">
        <w:t>While a key driver of economic growth remains the resources sector, the non-resource sector is growing in importance. Non-resources share of real GDP growth was 71</w:t>
      </w:r>
      <w:r w:rsidR="008F3C89" w:rsidRPr="007A69EF">
        <w:t xml:space="preserve"> </w:t>
      </w:r>
      <w:r w:rsidR="00B1139F" w:rsidRPr="007A69EF">
        <w:t>per cent</w:t>
      </w:r>
      <w:r w:rsidRPr="007A69EF">
        <w:t xml:space="preserve"> in 2012, </w:t>
      </w:r>
      <w:r w:rsidRPr="007A69EF">
        <w:lastRenderedPageBreak/>
        <w:t>up from 55</w:t>
      </w:r>
      <w:r w:rsidR="008F3C89" w:rsidRPr="007A69EF">
        <w:t xml:space="preserve"> </w:t>
      </w:r>
      <w:r w:rsidR="00B1139F" w:rsidRPr="007A69EF">
        <w:t xml:space="preserve">per cent </w:t>
      </w:r>
      <w:r w:rsidRPr="007A69EF">
        <w:t>in 2011. There has been an increase in foreign direct investment’s share of GDP, from 14 per</w:t>
      </w:r>
      <w:r w:rsidR="005D2D67">
        <w:t xml:space="preserve"> </w:t>
      </w:r>
      <w:r w:rsidRPr="007A69EF">
        <w:t xml:space="preserve">cent in 2011 to 18 per cent in 2012. Non-resources share of total foreign direct investment has </w:t>
      </w:r>
      <w:proofErr w:type="gramStart"/>
      <w:r w:rsidRPr="007A69EF">
        <w:t>risen</w:t>
      </w:r>
      <w:proofErr w:type="gramEnd"/>
      <w:r w:rsidRPr="007A69EF">
        <w:t xml:space="preserve"> from 19 per cent in 2011 to 24 per cent in 2012.</w:t>
      </w:r>
    </w:p>
    <w:p w14:paraId="3EC24DE7" w14:textId="7FD0ED0C" w:rsidR="00726DE2" w:rsidRPr="00966D95" w:rsidRDefault="00726DE2" w:rsidP="00083CB0">
      <w:pPr>
        <w:pStyle w:val="BodyText"/>
      </w:pPr>
      <w:r w:rsidRPr="00966D95">
        <w:t>The fiscal deficit in 2012</w:t>
      </w:r>
      <w:r w:rsidR="001E2499">
        <w:t>–</w:t>
      </w:r>
      <w:r w:rsidRPr="00966D95">
        <w:t>13 widened with significant increases to public wages</w:t>
      </w:r>
      <w:r w:rsidR="005D05BC" w:rsidRPr="00966D95">
        <w:t xml:space="preserve">, however external debt distress was </w:t>
      </w:r>
      <w:r w:rsidRPr="00966D95">
        <w:t xml:space="preserve">reclassified </w:t>
      </w:r>
      <w:r w:rsidR="005D05BC" w:rsidRPr="00966D95">
        <w:t>from high to moderate due to an assessed improvement in fiscal policy performance.</w:t>
      </w:r>
      <w:r w:rsidR="00DE5F36" w:rsidRPr="00C645CE">
        <w:rPr>
          <w:rStyle w:val="FootnoteReference"/>
          <w:sz w:val="20"/>
          <w:szCs w:val="16"/>
          <w:vertAlign w:val="superscript"/>
        </w:rPr>
        <w:footnoteReference w:id="4"/>
      </w:r>
    </w:p>
    <w:p w14:paraId="3F33613F" w14:textId="7AB307C2" w:rsidR="00D37A03" w:rsidRDefault="00A201FB" w:rsidP="00083CB0">
      <w:pPr>
        <w:pStyle w:val="BodyText"/>
      </w:pPr>
      <w:r w:rsidRPr="00A27A18">
        <w:t>T</w:t>
      </w:r>
      <w:r w:rsidR="009028EC" w:rsidRPr="00A27A18">
        <w:t>he national poverty rate continues to decrease, with a 40 per cent drop over a 15-year period.</w:t>
      </w:r>
      <w:r w:rsidR="00D03614" w:rsidRPr="00C645CE">
        <w:rPr>
          <w:rStyle w:val="FootnoteReference"/>
          <w:sz w:val="20"/>
          <w:szCs w:val="16"/>
          <w:vertAlign w:val="superscript"/>
        </w:rPr>
        <w:footnoteReference w:id="5"/>
      </w:r>
      <w:r w:rsidR="00B51DFB">
        <w:rPr>
          <w:sz w:val="16"/>
          <w:szCs w:val="16"/>
        </w:rPr>
        <w:t xml:space="preserve"> </w:t>
      </w:r>
      <w:r w:rsidR="00D03614" w:rsidRPr="00A27A18">
        <w:t>Poverty is typically linked to geographic remoteness, ethnic status, and is more likely to be experienced by women and children</w:t>
      </w:r>
      <w:r w:rsidR="00D03614" w:rsidRPr="00B01B07">
        <w:t xml:space="preserve">. </w:t>
      </w:r>
      <w:r w:rsidR="00D37A03" w:rsidRPr="007A69EF">
        <w:t>The poverty rate in rural areas is 32</w:t>
      </w:r>
      <w:r w:rsidR="00A27A18" w:rsidRPr="007A69EF">
        <w:t xml:space="preserve"> </w:t>
      </w:r>
      <w:r w:rsidR="00D37A03" w:rsidRPr="007A69EF">
        <w:t>per cent, compared to 17 per cent in urban areas.</w:t>
      </w:r>
      <w:r w:rsidR="009D6D11" w:rsidRPr="00C645CE">
        <w:rPr>
          <w:rStyle w:val="FootnoteReference"/>
          <w:sz w:val="20"/>
          <w:vertAlign w:val="superscript"/>
        </w:rPr>
        <w:footnoteReference w:id="6"/>
      </w:r>
      <w:r w:rsidR="00D37A03" w:rsidRPr="007A69EF">
        <w:t xml:space="preserve"> Po</w:t>
      </w:r>
      <w:r w:rsidR="009D6D11" w:rsidRPr="007A69EF">
        <w:t>verty rates are lowest</w:t>
      </w:r>
      <w:r w:rsidR="001E2499">
        <w:t>,</w:t>
      </w:r>
      <w:r w:rsidR="009D6D11" w:rsidRPr="007A69EF">
        <w:t xml:space="preserve"> </w:t>
      </w:r>
      <w:r w:rsidR="001E2499" w:rsidRPr="007A69EF">
        <w:t>but still high</w:t>
      </w:r>
      <w:r w:rsidR="001E2499">
        <w:t>,</w:t>
      </w:r>
      <w:r w:rsidR="001E2499" w:rsidRPr="007A69EF">
        <w:t xml:space="preserve"> </w:t>
      </w:r>
      <w:r w:rsidR="009D6D11" w:rsidRPr="007A69EF">
        <w:t>among the</w:t>
      </w:r>
      <w:r w:rsidR="00900EA3" w:rsidRPr="007A69EF">
        <w:t xml:space="preserve"> Lao Tai</w:t>
      </w:r>
      <w:r w:rsidR="001E2499">
        <w:t>––</w:t>
      </w:r>
      <w:r w:rsidR="009D6D11" w:rsidRPr="007A69EF">
        <w:t>the largest</w:t>
      </w:r>
      <w:r w:rsidR="00900EA3" w:rsidRPr="007A69EF">
        <w:t xml:space="preserve"> ethnic group</w:t>
      </w:r>
      <w:r w:rsidR="001E2499">
        <w:t>––</w:t>
      </w:r>
      <w:r w:rsidR="009D6D11" w:rsidRPr="007A69EF">
        <w:t xml:space="preserve">at </w:t>
      </w:r>
      <w:r w:rsidR="00A27A18" w:rsidRPr="007A69EF">
        <w:t>22</w:t>
      </w:r>
      <w:r w:rsidR="009D6D11" w:rsidRPr="007A69EF">
        <w:t xml:space="preserve"> per cen</w:t>
      </w:r>
      <w:r w:rsidR="00A27A18" w:rsidRPr="007A69EF">
        <w:t>t, compared with 59 per</w:t>
      </w:r>
      <w:r w:rsidR="001E2499">
        <w:t xml:space="preserve"> </w:t>
      </w:r>
      <w:r w:rsidR="00A27A18" w:rsidRPr="007A69EF">
        <w:t xml:space="preserve">cent for </w:t>
      </w:r>
      <w:r w:rsidR="009D6D11" w:rsidRPr="007A69EF">
        <w:t>the three main non-Lao Tai groups.</w:t>
      </w:r>
      <w:r w:rsidR="009D6D11" w:rsidRPr="00C645CE">
        <w:rPr>
          <w:rStyle w:val="FootnoteReference"/>
          <w:sz w:val="20"/>
          <w:vertAlign w:val="superscript"/>
        </w:rPr>
        <w:footnoteReference w:id="7"/>
      </w:r>
    </w:p>
    <w:p w14:paraId="31268EEC" w14:textId="697B7C9E" w:rsidR="00FC5567" w:rsidRPr="00630E01" w:rsidRDefault="000D698A" w:rsidP="00083CB0">
      <w:pPr>
        <w:pStyle w:val="BodyText"/>
      </w:pPr>
      <w:r w:rsidRPr="009028EC">
        <w:t xml:space="preserve">Food insecurity remains a major problem with only </w:t>
      </w:r>
      <w:r w:rsidR="001E2499">
        <w:t>one</w:t>
      </w:r>
      <w:r w:rsidR="001E2499" w:rsidRPr="009028EC">
        <w:t xml:space="preserve"> </w:t>
      </w:r>
      <w:r w:rsidRPr="009028EC">
        <w:t xml:space="preserve">in </w:t>
      </w:r>
      <w:r w:rsidR="001E2499">
        <w:t>three</w:t>
      </w:r>
      <w:r w:rsidR="001E2499" w:rsidRPr="009028EC">
        <w:t xml:space="preserve"> </w:t>
      </w:r>
      <w:r w:rsidRPr="009028EC">
        <w:t xml:space="preserve">rural </w:t>
      </w:r>
      <w:r w:rsidR="008F3C89" w:rsidRPr="009028EC">
        <w:t>households</w:t>
      </w:r>
      <w:r w:rsidR="00B0025A" w:rsidRPr="009028EC">
        <w:t xml:space="preserve"> food secure, resulting i</w:t>
      </w:r>
      <w:r w:rsidRPr="009028EC">
        <w:t xml:space="preserve">n serious </w:t>
      </w:r>
      <w:r w:rsidR="00B0025A" w:rsidRPr="009028EC">
        <w:t xml:space="preserve">development </w:t>
      </w:r>
      <w:r w:rsidRPr="009028EC">
        <w:t>impacts, particularly on children. An estimated 27</w:t>
      </w:r>
      <w:r w:rsidR="008F3C89">
        <w:t xml:space="preserve"> </w:t>
      </w:r>
      <w:r w:rsidRPr="009028EC">
        <w:t>per</w:t>
      </w:r>
      <w:r w:rsidR="001E2499">
        <w:t xml:space="preserve"> </w:t>
      </w:r>
      <w:r w:rsidRPr="009028EC">
        <w:t xml:space="preserve">cent of children </w:t>
      </w:r>
      <w:proofErr w:type="gramStart"/>
      <w:r w:rsidRPr="009028EC">
        <w:t>under</w:t>
      </w:r>
      <w:proofErr w:type="gramEnd"/>
      <w:r w:rsidRPr="009028EC">
        <w:t xml:space="preserve"> five years of age in Laos are underweight,</w:t>
      </w:r>
      <w:r w:rsidRPr="00C645CE">
        <w:rPr>
          <w:rStyle w:val="FootnoteReference"/>
          <w:sz w:val="20"/>
          <w:szCs w:val="16"/>
          <w:vertAlign w:val="superscript"/>
        </w:rPr>
        <w:footnoteReference w:id="8"/>
      </w:r>
      <w:r w:rsidRPr="009028EC">
        <w:t xml:space="preserve"> while 44</w:t>
      </w:r>
      <w:r w:rsidR="008F3C89">
        <w:t xml:space="preserve"> </w:t>
      </w:r>
      <w:r w:rsidRPr="009028EC">
        <w:t>per</w:t>
      </w:r>
      <w:r w:rsidR="001E2499">
        <w:t xml:space="preserve"> </w:t>
      </w:r>
      <w:r w:rsidRPr="009028EC">
        <w:t>cent are stunted.</w:t>
      </w:r>
      <w:r w:rsidRPr="00C645CE">
        <w:rPr>
          <w:rStyle w:val="FootnoteReference"/>
          <w:sz w:val="20"/>
          <w:szCs w:val="16"/>
          <w:vertAlign w:val="superscript"/>
        </w:rPr>
        <w:footnoteReference w:id="9"/>
      </w:r>
    </w:p>
    <w:p w14:paraId="2F45AFD4" w14:textId="356C323F" w:rsidR="00A345C7" w:rsidRPr="00A345C7" w:rsidRDefault="00A345C7" w:rsidP="00083CB0">
      <w:pPr>
        <w:pStyle w:val="BodyText"/>
      </w:pPr>
      <w:r w:rsidRPr="00966D95">
        <w:t>The benefits of Laos’ econo</w:t>
      </w:r>
      <w:r>
        <w:t xml:space="preserve">mic prosperity are </w:t>
      </w:r>
      <w:r w:rsidRPr="00966D95">
        <w:t xml:space="preserve">not experienced equally by the population. Although Laos’ Human Development Index for 2012 remained steady from 2011 at 0.543, </w:t>
      </w:r>
      <w:r w:rsidR="001E2499">
        <w:t xml:space="preserve">which </w:t>
      </w:r>
      <w:r w:rsidRPr="00966D95">
        <w:t>represent</w:t>
      </w:r>
      <w:r w:rsidR="001E2499">
        <w:t xml:space="preserve">s </w:t>
      </w:r>
      <w:r w:rsidRPr="00966D95">
        <w:t xml:space="preserve">a ranking of 138 out of 186, when inequalities </w:t>
      </w:r>
      <w:r>
        <w:t xml:space="preserve">are factored </w:t>
      </w:r>
      <w:proofErr w:type="gramStart"/>
      <w:r w:rsidR="001E2499">
        <w:t>in</w:t>
      </w:r>
      <w:proofErr w:type="gramEnd"/>
      <w:r w:rsidR="001E2499">
        <w:t xml:space="preserve"> </w:t>
      </w:r>
      <w:r w:rsidRPr="00966D95">
        <w:t>associated with life expectancy, educat</w:t>
      </w:r>
      <w:r>
        <w:t>ion and income</w:t>
      </w:r>
      <w:r w:rsidR="001E2499">
        <w:t>,</w:t>
      </w:r>
      <w:r>
        <w:t xml:space="preserve"> </w:t>
      </w:r>
      <w:r w:rsidRPr="00966D95">
        <w:t>there was an overall reduction of 25</w:t>
      </w:r>
      <w:r w:rsidR="008F3C89">
        <w:t xml:space="preserve"> </w:t>
      </w:r>
      <w:r w:rsidRPr="00966D95">
        <w:t>per</w:t>
      </w:r>
      <w:r w:rsidR="008F3C89">
        <w:t xml:space="preserve"> </w:t>
      </w:r>
      <w:r w:rsidRPr="00966D95">
        <w:t>cent</w:t>
      </w:r>
      <w:r>
        <w:t xml:space="preserve"> in the </w:t>
      </w:r>
      <w:r w:rsidR="001E2499" w:rsidRPr="00966D95">
        <w:t xml:space="preserve">Human Development Index </w:t>
      </w:r>
      <w:r>
        <w:t>value</w:t>
      </w:r>
      <w:r w:rsidRPr="00966D95">
        <w:t>.</w:t>
      </w:r>
      <w:r w:rsidRPr="00FD581C">
        <w:rPr>
          <w:rStyle w:val="FootnoteReference"/>
          <w:szCs w:val="16"/>
        </w:rPr>
        <w:footnoteReference w:id="10"/>
      </w:r>
      <w:r w:rsidRPr="00FD581C">
        <w:rPr>
          <w:sz w:val="16"/>
          <w:szCs w:val="16"/>
        </w:rPr>
        <w:t xml:space="preserve"> </w:t>
      </w:r>
    </w:p>
    <w:p w14:paraId="1F77256B" w14:textId="17241592" w:rsidR="00142DC9" w:rsidRPr="00966D95" w:rsidRDefault="005C1A5A" w:rsidP="00083CB0">
      <w:pPr>
        <w:pStyle w:val="BodyText"/>
      </w:pPr>
      <w:r w:rsidRPr="00966D95">
        <w:t xml:space="preserve">Despite strong economic growth and the progress made towards achieving some </w:t>
      </w:r>
      <w:r w:rsidR="009C1C15" w:rsidRPr="00966D95">
        <w:t>Millennium Development Goals (</w:t>
      </w:r>
      <w:r w:rsidRPr="00966D95">
        <w:t>MDGs</w:t>
      </w:r>
      <w:r w:rsidR="009C1C15" w:rsidRPr="00966D95">
        <w:t>)</w:t>
      </w:r>
      <w:r w:rsidRPr="00966D95">
        <w:t xml:space="preserve">, particularly in </w:t>
      </w:r>
      <w:r w:rsidR="00ED0CF4" w:rsidRPr="00966D95">
        <w:t xml:space="preserve">reducing poverty, </w:t>
      </w:r>
      <w:r w:rsidR="005E7147" w:rsidRPr="00966D95">
        <w:t>increasing primary school enrolment</w:t>
      </w:r>
      <w:r w:rsidR="00ED0CF4" w:rsidRPr="00966D95">
        <w:t xml:space="preserve"> and reducing child mortality, L</w:t>
      </w:r>
      <w:r w:rsidR="004378FB" w:rsidRPr="00966D95">
        <w:t>aos will still struggle to meet</w:t>
      </w:r>
      <w:r w:rsidR="00ED0CF4" w:rsidRPr="00966D95">
        <w:t xml:space="preserve"> </w:t>
      </w:r>
      <w:r w:rsidR="004378FB" w:rsidRPr="00966D95">
        <w:t xml:space="preserve">the </w:t>
      </w:r>
      <w:r w:rsidR="00ED0CF4" w:rsidRPr="00966D95">
        <w:t>MDGs</w:t>
      </w:r>
      <w:r w:rsidR="00B24D2C">
        <w:t>.</w:t>
      </w:r>
      <w:r w:rsidR="005E7147" w:rsidRPr="00C645CE">
        <w:rPr>
          <w:rStyle w:val="FootnoteReference"/>
          <w:sz w:val="20"/>
          <w:szCs w:val="16"/>
          <w:vertAlign w:val="superscript"/>
        </w:rPr>
        <w:footnoteReference w:id="11"/>
      </w:r>
      <w:r w:rsidR="005806C6" w:rsidRPr="00966D95">
        <w:t xml:space="preserve"> MDG4</w:t>
      </w:r>
      <w:r w:rsidR="00392EBD">
        <w:t>,</w:t>
      </w:r>
      <w:r w:rsidR="00392EBD" w:rsidRPr="00966D95">
        <w:t xml:space="preserve"> </w:t>
      </w:r>
      <w:r w:rsidR="009C1C15" w:rsidRPr="00966D95">
        <w:t>to</w:t>
      </w:r>
      <w:r w:rsidR="005E7147" w:rsidRPr="00966D95">
        <w:t xml:space="preserve"> </w:t>
      </w:r>
      <w:r w:rsidR="00392EBD" w:rsidRPr="00966D95">
        <w:t>reduce child mortality</w:t>
      </w:r>
      <w:r w:rsidR="005E2FBF">
        <w:t>,</w:t>
      </w:r>
      <w:r w:rsidR="00392EBD" w:rsidRPr="00966D95">
        <w:t xml:space="preserve"> </w:t>
      </w:r>
      <w:r w:rsidR="009C1C15" w:rsidRPr="00966D95">
        <w:t xml:space="preserve">is the only </w:t>
      </w:r>
      <w:r w:rsidR="00392EBD">
        <w:t>goal</w:t>
      </w:r>
      <w:r w:rsidR="00392EBD" w:rsidRPr="00966D95">
        <w:t xml:space="preserve"> </w:t>
      </w:r>
      <w:r w:rsidR="009C1C15" w:rsidRPr="00966D95">
        <w:t>considered on track.</w:t>
      </w:r>
      <w:r w:rsidR="009C1C15" w:rsidRPr="00C645CE">
        <w:rPr>
          <w:rStyle w:val="FootnoteReference"/>
          <w:sz w:val="20"/>
          <w:szCs w:val="16"/>
          <w:vertAlign w:val="superscript"/>
        </w:rPr>
        <w:footnoteReference w:id="12"/>
      </w:r>
      <w:r w:rsidR="009C1C15" w:rsidRPr="00966D95">
        <w:t xml:space="preserve"> </w:t>
      </w:r>
      <w:r w:rsidR="00EE329E" w:rsidRPr="00966D95">
        <w:t>Progress against Laos’</w:t>
      </w:r>
      <w:r w:rsidR="00F46AE1" w:rsidRPr="00966D95">
        <w:t xml:space="preserve"> 7</w:t>
      </w:r>
      <w:r w:rsidR="00F46AE1" w:rsidRPr="00966D95">
        <w:rPr>
          <w:vertAlign w:val="superscript"/>
        </w:rPr>
        <w:t>th</w:t>
      </w:r>
      <w:r w:rsidR="00F46AE1" w:rsidRPr="00966D95">
        <w:t xml:space="preserve"> </w:t>
      </w:r>
      <w:r w:rsidR="00EE329E" w:rsidRPr="00966D95">
        <w:t xml:space="preserve">Five-Year </w:t>
      </w:r>
      <w:r w:rsidR="00F46AE1" w:rsidRPr="00966D95">
        <w:t xml:space="preserve">National Socio-Economic </w:t>
      </w:r>
      <w:r w:rsidR="00EE329E" w:rsidRPr="00966D95">
        <w:t xml:space="preserve">Development </w:t>
      </w:r>
      <w:r w:rsidR="00F46AE1" w:rsidRPr="00966D95">
        <w:t>Plan</w:t>
      </w:r>
      <w:r w:rsidR="00EE329E" w:rsidRPr="00966D95">
        <w:t xml:space="preserve"> 2011</w:t>
      </w:r>
      <w:r w:rsidR="00392EBD">
        <w:t>–</w:t>
      </w:r>
      <w:r w:rsidR="00EE329E" w:rsidRPr="00966D95">
        <w:t xml:space="preserve">2015 continued to be </w:t>
      </w:r>
      <w:r w:rsidR="00A345C7">
        <w:t>slow</w:t>
      </w:r>
      <w:r w:rsidR="00A345C7" w:rsidRPr="00B01B07">
        <w:t xml:space="preserve">. </w:t>
      </w:r>
      <w:r w:rsidR="008F3C89" w:rsidRPr="007A69EF">
        <w:t>While there are many facto</w:t>
      </w:r>
      <w:r w:rsidR="00F90F57">
        <w:t xml:space="preserve">rs that contribute to this, </w:t>
      </w:r>
      <w:proofErr w:type="gramStart"/>
      <w:r w:rsidR="00F90F57">
        <w:t xml:space="preserve">the </w:t>
      </w:r>
      <w:r w:rsidR="008F3C89" w:rsidRPr="007A69EF">
        <w:t>disconnect</w:t>
      </w:r>
      <w:proofErr w:type="gramEnd"/>
      <w:r w:rsidR="008F3C89" w:rsidRPr="007A69EF">
        <w:t xml:space="preserve"> in government between planning, budgeting and </w:t>
      </w:r>
      <w:r w:rsidR="00B01B07" w:rsidRPr="007A69EF">
        <w:t xml:space="preserve">executing </w:t>
      </w:r>
      <w:r w:rsidR="008F3C89" w:rsidRPr="007A69EF">
        <w:t>expenditure at all levels is a major factor.</w:t>
      </w:r>
      <w:r w:rsidR="008F3C89" w:rsidRPr="00B01B07">
        <w:t xml:space="preserve"> This has led to </w:t>
      </w:r>
      <w:r w:rsidR="00A345C7" w:rsidRPr="00B01B07">
        <w:t>inadequate government human and financial resources being allocated to basic services</w:t>
      </w:r>
      <w:r w:rsidR="00392EBD">
        <w:t>,</w:t>
      </w:r>
      <w:r w:rsidR="00392EBD" w:rsidRPr="00B01B07">
        <w:t xml:space="preserve"> </w:t>
      </w:r>
      <w:r w:rsidR="008F3C89" w:rsidRPr="00B01B07">
        <w:t xml:space="preserve">which </w:t>
      </w:r>
      <w:r w:rsidR="008F3C89" w:rsidRPr="00B01B07">
        <w:lastRenderedPageBreak/>
        <w:t xml:space="preserve">is </w:t>
      </w:r>
      <w:r w:rsidR="00A345C7" w:rsidRPr="007A69EF">
        <w:t xml:space="preserve">important </w:t>
      </w:r>
      <w:r w:rsidR="00B0025A" w:rsidRPr="007A69EF">
        <w:t>given that the achievement</w:t>
      </w:r>
      <w:r w:rsidR="00793E69" w:rsidRPr="007A69EF">
        <w:t xml:space="preserve"> of </w:t>
      </w:r>
      <w:r w:rsidR="00A345C7" w:rsidRPr="007A69EF">
        <w:t>this</w:t>
      </w:r>
      <w:r w:rsidR="00A345C7">
        <w:t xml:space="preserve"> plan is largely linked to meeting MDG targets and </w:t>
      </w:r>
      <w:r w:rsidR="00793E69" w:rsidRPr="00966D95">
        <w:t>graduating from Least Developed Country status by 2020.</w:t>
      </w:r>
    </w:p>
    <w:p w14:paraId="38E345B3" w14:textId="22D3F2C9" w:rsidR="00ED0CF4" w:rsidRDefault="00142DC9" w:rsidP="00083CB0">
      <w:pPr>
        <w:pStyle w:val="BodyText"/>
      </w:pPr>
      <w:r w:rsidRPr="00966D95">
        <w:t>A renewed push from the Lao Government in 2012 in decentralising human and budgetary resources to improve the delivery of social services at the sub-national level is a further attempt to meet the country’s development targets</w:t>
      </w:r>
      <w:r w:rsidRPr="00B01B07">
        <w:t>.</w:t>
      </w:r>
      <w:r w:rsidR="0071702B" w:rsidRPr="00B01B07">
        <w:t xml:space="preserve"> </w:t>
      </w:r>
      <w:r w:rsidR="001A3876" w:rsidRPr="007A69EF">
        <w:t xml:space="preserve">Little is known about the immediate </w:t>
      </w:r>
      <w:r w:rsidR="00B82C51" w:rsidRPr="007A69EF">
        <w:t>effects</w:t>
      </w:r>
      <w:r w:rsidR="0071702B" w:rsidRPr="007A69EF">
        <w:t xml:space="preserve"> </w:t>
      </w:r>
      <w:r w:rsidR="001A3876" w:rsidRPr="007A69EF">
        <w:t>of this policy</w:t>
      </w:r>
      <w:r w:rsidR="00215E3F" w:rsidRPr="007A69EF">
        <w:t xml:space="preserve"> currently under pilot</w:t>
      </w:r>
      <w:r w:rsidR="00B01B07">
        <w:t>. M</w:t>
      </w:r>
      <w:r w:rsidR="001A3876" w:rsidRPr="007A69EF">
        <w:t xml:space="preserve">ore is likely to be known </w:t>
      </w:r>
      <w:r w:rsidR="00B82C51" w:rsidRPr="007A69EF">
        <w:t xml:space="preserve">after the government concludes a </w:t>
      </w:r>
      <w:r w:rsidR="005E2FBF" w:rsidRPr="007A69EF">
        <w:t>mid</w:t>
      </w:r>
      <w:r w:rsidR="005E2FBF">
        <w:t>-</w:t>
      </w:r>
      <w:r w:rsidR="00B82C51" w:rsidRPr="007A69EF">
        <w:t xml:space="preserve">term review of </w:t>
      </w:r>
      <w:r w:rsidR="001A3876" w:rsidRPr="007A69EF">
        <w:t>decentra</w:t>
      </w:r>
      <w:r w:rsidR="002D2BF5" w:rsidRPr="007A69EF">
        <w:t xml:space="preserve">lisation pilot activities </w:t>
      </w:r>
      <w:r w:rsidR="001A3876" w:rsidRPr="007A69EF">
        <w:t xml:space="preserve">in </w:t>
      </w:r>
      <w:r w:rsidR="002D2BF5" w:rsidRPr="007A69EF">
        <w:t xml:space="preserve">October </w:t>
      </w:r>
      <w:r w:rsidR="001A3876" w:rsidRPr="007A69EF">
        <w:t>2013. The Lao Country Program will continue to track the policy’s implementation</w:t>
      </w:r>
      <w:r w:rsidR="00036322" w:rsidRPr="007A69EF">
        <w:t xml:space="preserve"> and its implications.</w:t>
      </w:r>
    </w:p>
    <w:p w14:paraId="01F5B6FA" w14:textId="42DE7301" w:rsidR="00B1139F" w:rsidRDefault="001A3876" w:rsidP="00083CB0">
      <w:pPr>
        <w:pStyle w:val="BodyText"/>
      </w:pPr>
      <w:r w:rsidRPr="007A69EF">
        <w:t xml:space="preserve">Linked to the push to decentralise is the continuation by the Lao Government of </w:t>
      </w:r>
      <w:r w:rsidR="00B1139F" w:rsidRPr="007A69EF">
        <w:t>village consolidation</w:t>
      </w:r>
      <w:r w:rsidR="00036322" w:rsidRPr="007A69EF">
        <w:t xml:space="preserve">. The aim of </w:t>
      </w:r>
      <w:r w:rsidR="00392EBD">
        <w:t>this</w:t>
      </w:r>
      <w:r w:rsidR="00036322" w:rsidRPr="007A69EF">
        <w:t xml:space="preserve"> is</w:t>
      </w:r>
      <w:r w:rsidR="00B1139F" w:rsidRPr="007A69EF">
        <w:t xml:space="preserve"> to make communities more centralised </w:t>
      </w:r>
      <w:r w:rsidR="00B82C51" w:rsidRPr="007A69EF">
        <w:t xml:space="preserve">for </w:t>
      </w:r>
      <w:r w:rsidR="00036322" w:rsidRPr="007A69EF">
        <w:t xml:space="preserve">ease of </w:t>
      </w:r>
      <w:r w:rsidR="00B1139F" w:rsidRPr="007A69EF">
        <w:t>service delivery</w:t>
      </w:r>
      <w:r w:rsidR="00392EBD">
        <w:t>,</w:t>
      </w:r>
      <w:r w:rsidR="00392EBD" w:rsidRPr="007A69EF">
        <w:t xml:space="preserve"> </w:t>
      </w:r>
      <w:r w:rsidR="00B82C51" w:rsidRPr="007A69EF">
        <w:t xml:space="preserve">to generate </w:t>
      </w:r>
      <w:r w:rsidR="00B1139F" w:rsidRPr="007A69EF">
        <w:t>livelihood</w:t>
      </w:r>
      <w:r w:rsidR="00036322" w:rsidRPr="007A69EF">
        <w:t>s</w:t>
      </w:r>
      <w:r w:rsidR="00B1139F" w:rsidRPr="007A69EF">
        <w:t xml:space="preserve"> </w:t>
      </w:r>
      <w:r w:rsidR="00B82C51" w:rsidRPr="007A69EF">
        <w:t xml:space="preserve">away </w:t>
      </w:r>
      <w:r w:rsidR="00B1139F" w:rsidRPr="007A69EF">
        <w:t xml:space="preserve">from slash and burn </w:t>
      </w:r>
      <w:r w:rsidR="00B82C51" w:rsidRPr="007A69EF">
        <w:t>agriculture</w:t>
      </w:r>
      <w:r w:rsidR="00B1139F" w:rsidRPr="007A69EF">
        <w:t xml:space="preserve"> and </w:t>
      </w:r>
      <w:r w:rsidR="00B82C51" w:rsidRPr="007A69EF">
        <w:t xml:space="preserve">to </w:t>
      </w:r>
      <w:r w:rsidR="00B1139F" w:rsidRPr="007A69EF">
        <w:t xml:space="preserve">better manage internal migration for upland communities. </w:t>
      </w:r>
      <w:r w:rsidR="00215E3F" w:rsidRPr="007A69EF">
        <w:t>However well</w:t>
      </w:r>
      <w:r w:rsidR="0061274A">
        <w:t xml:space="preserve"> </w:t>
      </w:r>
      <w:r w:rsidR="00215E3F" w:rsidRPr="007A69EF">
        <w:t>intentioned</w:t>
      </w:r>
      <w:r w:rsidR="00392EBD">
        <w:t>,</w:t>
      </w:r>
      <w:r w:rsidR="00215E3F" w:rsidRPr="007A69EF">
        <w:t xml:space="preserve"> we have observed instances that </w:t>
      </w:r>
      <w:r w:rsidR="00036322" w:rsidRPr="007A69EF">
        <w:t>show that t</w:t>
      </w:r>
      <w:r w:rsidR="00B1139F" w:rsidRPr="007A69EF">
        <w:t>his approach is contributing to poverty</w:t>
      </w:r>
      <w:r w:rsidR="00036322" w:rsidRPr="007A69EF">
        <w:t>,</w:t>
      </w:r>
      <w:r w:rsidR="00B1139F" w:rsidRPr="007A69EF">
        <w:t xml:space="preserve"> </w:t>
      </w:r>
      <w:r w:rsidR="00B82C51" w:rsidRPr="007A69EF">
        <w:t xml:space="preserve">at least in the short term, </w:t>
      </w:r>
      <w:r w:rsidR="00B1139F" w:rsidRPr="007A69EF">
        <w:t xml:space="preserve">as communities </w:t>
      </w:r>
      <w:r w:rsidR="00036322" w:rsidRPr="007A69EF">
        <w:t xml:space="preserve">that are physically moved may </w:t>
      </w:r>
      <w:r w:rsidR="00B1139F" w:rsidRPr="007A69EF">
        <w:t xml:space="preserve">have better access to social services </w:t>
      </w:r>
      <w:r w:rsidR="00895B58" w:rsidRPr="007A69EF">
        <w:t xml:space="preserve">in the medium term </w:t>
      </w:r>
      <w:r w:rsidR="00B1139F" w:rsidRPr="007A69EF">
        <w:t xml:space="preserve">but </w:t>
      </w:r>
      <w:r w:rsidR="00B01B07">
        <w:t xml:space="preserve">are at risk of </w:t>
      </w:r>
      <w:r w:rsidR="00036322" w:rsidRPr="007A69EF">
        <w:t>los</w:t>
      </w:r>
      <w:r w:rsidR="00B01B07">
        <w:t>ing</w:t>
      </w:r>
      <w:r w:rsidR="00036322" w:rsidRPr="007A69EF">
        <w:t xml:space="preserve"> their traditional land and livelihoods</w:t>
      </w:r>
      <w:r w:rsidR="00215E3F" w:rsidRPr="007A69EF">
        <w:t xml:space="preserve"> without adequate compensation or replacement livelihood options.</w:t>
      </w:r>
    </w:p>
    <w:p w14:paraId="4A794B38" w14:textId="3C769568" w:rsidR="00AF1549" w:rsidRPr="00966D95" w:rsidRDefault="0017125F" w:rsidP="00083CB0">
      <w:pPr>
        <w:pStyle w:val="BodyText"/>
      </w:pPr>
      <w:r w:rsidRPr="00966D95">
        <w:t>As Laos’ economic p</w:t>
      </w:r>
      <w:r w:rsidR="00241E9F">
        <w:t>osition in the region grows</w:t>
      </w:r>
      <w:r w:rsidR="00392EBD">
        <w:t>––</w:t>
      </w:r>
      <w:r w:rsidR="00241E9F">
        <w:t xml:space="preserve">and </w:t>
      </w:r>
      <w:r w:rsidRPr="00966D95">
        <w:t>the</w:t>
      </w:r>
      <w:r w:rsidR="00241E9F">
        <w:t xml:space="preserve"> country works to become part of</w:t>
      </w:r>
      <w:r w:rsidRPr="00966D95">
        <w:t xml:space="preserve"> an </w:t>
      </w:r>
      <w:r w:rsidR="005D2D67">
        <w:t>i</w:t>
      </w:r>
      <w:r w:rsidR="005D2D67" w:rsidRPr="00966D95">
        <w:t xml:space="preserve">ntegrated </w:t>
      </w:r>
      <w:r w:rsidR="005D2D67" w:rsidRPr="005D2D67">
        <w:t xml:space="preserve">Association of Southeast Asian Nations </w:t>
      </w:r>
      <w:r w:rsidR="005D2D67">
        <w:t>(</w:t>
      </w:r>
      <w:r w:rsidRPr="00966D95">
        <w:t>ASEAN</w:t>
      </w:r>
      <w:r w:rsidR="005D2D67">
        <w:t>)</w:t>
      </w:r>
      <w:r w:rsidRPr="00966D95">
        <w:t xml:space="preserve"> Economic Community by 2015</w:t>
      </w:r>
      <w:r w:rsidR="00392EBD">
        <w:t>––</w:t>
      </w:r>
      <w:r w:rsidR="00A7053B" w:rsidRPr="00966D95">
        <w:t>and to fully realise its vision of being the ‘battery of Asia’</w:t>
      </w:r>
      <w:r w:rsidR="00241E9F">
        <w:t>, its neighbours</w:t>
      </w:r>
      <w:r w:rsidRPr="00966D95">
        <w:t xml:space="preserve"> (such </w:t>
      </w:r>
      <w:r w:rsidR="00A7053B" w:rsidRPr="00966D95">
        <w:t>as</w:t>
      </w:r>
      <w:r w:rsidR="00B24D2C">
        <w:t xml:space="preserve"> China, Vietnam and </w:t>
      </w:r>
      <w:r w:rsidR="00B24D2C" w:rsidRPr="00334608">
        <w:t>Thailand)</w:t>
      </w:r>
      <w:r w:rsidR="00A7053B" w:rsidRPr="00334608">
        <w:t xml:space="preserve"> and </w:t>
      </w:r>
      <w:r w:rsidR="008331BE">
        <w:t xml:space="preserve">countries </w:t>
      </w:r>
      <w:r w:rsidRPr="00334608">
        <w:t>further</w:t>
      </w:r>
      <w:r w:rsidR="008331BE">
        <w:t xml:space="preserve"> afield </w:t>
      </w:r>
      <w:r w:rsidR="0061274A">
        <w:t>(</w:t>
      </w:r>
      <w:r w:rsidR="00A7053B" w:rsidRPr="00966D95">
        <w:t>such as Germany</w:t>
      </w:r>
      <w:r w:rsidR="0061274A">
        <w:t>)</w:t>
      </w:r>
      <w:r w:rsidR="00392EBD">
        <w:t>,</w:t>
      </w:r>
      <w:r w:rsidR="005605E6" w:rsidRPr="00C645CE">
        <w:rPr>
          <w:rStyle w:val="FootnoteReference"/>
          <w:sz w:val="20"/>
          <w:vertAlign w:val="superscript"/>
        </w:rPr>
        <w:footnoteReference w:id="13"/>
      </w:r>
      <w:r w:rsidRPr="00966D95">
        <w:t xml:space="preserve"> are looking for opportunities to further enhance their economic and d</w:t>
      </w:r>
      <w:r w:rsidR="00A7053B" w:rsidRPr="00966D95">
        <w:t>ev</w:t>
      </w:r>
      <w:r w:rsidR="00241E9F">
        <w:t>elopment co</w:t>
      </w:r>
      <w:r w:rsidR="00B24D2C">
        <w:t>operation.</w:t>
      </w:r>
      <w:r w:rsidR="00B51DFB">
        <w:t xml:space="preserve"> </w:t>
      </w:r>
      <w:r w:rsidR="00B24D2C" w:rsidRPr="00630E01">
        <w:t>Neighbouring</w:t>
      </w:r>
      <w:r w:rsidR="00B24D2C">
        <w:t xml:space="preserve"> </w:t>
      </w:r>
      <w:r w:rsidR="005E2FBF">
        <w:t xml:space="preserve">countries </w:t>
      </w:r>
      <w:r w:rsidR="005605E6">
        <w:t xml:space="preserve">(or </w:t>
      </w:r>
      <w:r w:rsidR="00392EBD">
        <w:t>non</w:t>
      </w:r>
      <w:r w:rsidR="005605E6">
        <w:t>-</w:t>
      </w:r>
      <w:r w:rsidR="005D2D67" w:rsidRPr="00966D95">
        <w:t xml:space="preserve">Organisation for Economic Cooperation and Development </w:t>
      </w:r>
      <w:r w:rsidR="005D2D67">
        <w:t xml:space="preserve">(OECD) </w:t>
      </w:r>
      <w:r w:rsidR="005605E6">
        <w:t>members)</w:t>
      </w:r>
      <w:r w:rsidR="00A7053B" w:rsidRPr="00966D95">
        <w:t xml:space="preserve"> continued to make significant industrial and res</w:t>
      </w:r>
      <w:r w:rsidR="000F5AE6">
        <w:t>ource-based investments in Laos</w:t>
      </w:r>
      <w:r w:rsidR="00A7053B" w:rsidRPr="00966D95">
        <w:t>, and in development cooperation activities,</w:t>
      </w:r>
      <w:r w:rsidR="000F5AE6" w:rsidRPr="00C645CE">
        <w:rPr>
          <w:rStyle w:val="FootnoteReference"/>
          <w:sz w:val="20"/>
          <w:vertAlign w:val="superscript"/>
        </w:rPr>
        <w:footnoteReference w:id="14"/>
      </w:r>
      <w:r w:rsidR="00A7053B" w:rsidRPr="00966D95">
        <w:t xml:space="preserve"> rivalling those made by Australia and other OECD Development Assistance Committee (D</w:t>
      </w:r>
      <w:r w:rsidR="00AF1549" w:rsidRPr="00966D95">
        <w:t>AC) countries. Little continues</w:t>
      </w:r>
      <w:r w:rsidR="00A7053B" w:rsidRPr="00966D95">
        <w:t xml:space="preserve"> to be </w:t>
      </w:r>
      <w:r w:rsidR="002C0571" w:rsidRPr="00966D95">
        <w:t>shared by the Lao</w:t>
      </w:r>
      <w:r w:rsidR="005605E6">
        <w:t xml:space="preserve"> Government or non-OECD members</w:t>
      </w:r>
      <w:r w:rsidR="00AF1549" w:rsidRPr="00966D95">
        <w:t xml:space="preserve"> about these investments.</w:t>
      </w:r>
      <w:r w:rsidR="00AF1549" w:rsidRPr="00C645CE">
        <w:rPr>
          <w:rStyle w:val="FootnoteReference"/>
          <w:sz w:val="20"/>
          <w:vertAlign w:val="superscript"/>
        </w:rPr>
        <w:footnoteReference w:id="15"/>
      </w:r>
      <w:r w:rsidR="00AF1549" w:rsidRPr="00966D95">
        <w:t xml:space="preserve"> </w:t>
      </w:r>
    </w:p>
    <w:p w14:paraId="2A47783E" w14:textId="56F58697" w:rsidR="0076151F" w:rsidRDefault="00162120" w:rsidP="00083CB0">
      <w:pPr>
        <w:pStyle w:val="BodyText"/>
      </w:pPr>
      <w:r w:rsidRPr="00966D95">
        <w:t xml:space="preserve">The key objectives of </w:t>
      </w:r>
      <w:r w:rsidR="004B257D" w:rsidRPr="00966D95">
        <w:t>Australia’s bilateral developme</w:t>
      </w:r>
      <w:r w:rsidR="0076151F" w:rsidRPr="00966D95">
        <w:t xml:space="preserve">nt cooperation program with Laos </w:t>
      </w:r>
      <w:r w:rsidR="00663A48">
        <w:t xml:space="preserve">remain relevant and are consistent with Laos’ national development priorities. </w:t>
      </w:r>
      <w:r w:rsidR="005234E9" w:rsidRPr="00663A48">
        <w:t xml:space="preserve">Priorities under </w:t>
      </w:r>
      <w:r w:rsidR="001E4ADE" w:rsidRPr="00663A48">
        <w:t>this</w:t>
      </w:r>
      <w:r w:rsidR="005234E9" w:rsidRPr="00663A48">
        <w:t xml:space="preserve"> strategy for education and rural development were re-assessed in 2012 and 2013, with the preparation of delivery strategies for both</w:t>
      </w:r>
      <w:r w:rsidR="00CC5FC2" w:rsidRPr="00663A48">
        <w:t xml:space="preserve"> sectors. The need to support education outcomes in basic education was re-confirmed by the education delivery strategy. For rural development, the delivery st</w:t>
      </w:r>
      <w:r w:rsidR="0061570A" w:rsidRPr="00663A48">
        <w:t xml:space="preserve">rategy identified a </w:t>
      </w:r>
      <w:r w:rsidR="00CC5FC2" w:rsidRPr="00663A48">
        <w:t xml:space="preserve">need for </w:t>
      </w:r>
      <w:r w:rsidR="001E4ADE" w:rsidRPr="00663A48">
        <w:t>Australia’s aid</w:t>
      </w:r>
      <w:r w:rsidR="0061570A" w:rsidRPr="00663A48">
        <w:t xml:space="preserve"> to be more focused on providing rural roads where th</w:t>
      </w:r>
      <w:r w:rsidR="0096325A" w:rsidRPr="00663A48">
        <w:t>ere is</w:t>
      </w:r>
      <w:r w:rsidR="005605E6">
        <w:t xml:space="preserve"> a deficit of funding</w:t>
      </w:r>
      <w:r w:rsidR="0061570A" w:rsidRPr="00663A48">
        <w:t>, rather than to the ele</w:t>
      </w:r>
      <w:r w:rsidR="005605E6">
        <w:t>ctricity sector where other funding</w:t>
      </w:r>
      <w:r w:rsidR="0061570A" w:rsidRPr="00663A48">
        <w:t xml:space="preserve"> resources are more readily available.</w:t>
      </w:r>
      <w:r w:rsidR="00400EE8" w:rsidRPr="00663A48">
        <w:t xml:space="preserve"> </w:t>
      </w:r>
      <w:r w:rsidR="004A7BF9" w:rsidRPr="00663A48">
        <w:t>The preparation process for the new development cooperation strategy for L</w:t>
      </w:r>
      <w:r w:rsidR="001E4ADE" w:rsidRPr="00663A48">
        <w:t>aos will commence in June 2013.</w:t>
      </w:r>
    </w:p>
    <w:p w14:paraId="12DCA54A" w14:textId="3128AE50" w:rsidR="002D1C46" w:rsidRPr="00966D95" w:rsidRDefault="009625B6" w:rsidP="00083CB0">
      <w:pPr>
        <w:pStyle w:val="BodyText"/>
      </w:pPr>
      <w:r w:rsidRPr="00B82C51">
        <w:t>There w</w:t>
      </w:r>
      <w:r w:rsidR="00B177B5" w:rsidRPr="00B82C51">
        <w:t xml:space="preserve">as an overall </w:t>
      </w:r>
      <w:r w:rsidR="00987674">
        <w:t>seven</w:t>
      </w:r>
      <w:r w:rsidR="00987674" w:rsidRPr="00B82C51">
        <w:t xml:space="preserve"> </w:t>
      </w:r>
      <w:r w:rsidR="00983017" w:rsidRPr="00B82C51">
        <w:t>per cent</w:t>
      </w:r>
      <w:r w:rsidR="00B177B5" w:rsidRPr="00B82C51">
        <w:t xml:space="preserve"> </w:t>
      </w:r>
      <w:r w:rsidR="007C111E" w:rsidRPr="00B82C51">
        <w:t xml:space="preserve">increase </w:t>
      </w:r>
      <w:r w:rsidR="00B177B5" w:rsidRPr="00B82C51">
        <w:t xml:space="preserve">in total </w:t>
      </w:r>
      <w:r w:rsidR="00987674">
        <w:t>official development assistance (ODA)</w:t>
      </w:r>
      <w:r w:rsidR="00987674" w:rsidRPr="00B82C51">
        <w:t xml:space="preserve"> </w:t>
      </w:r>
      <w:r w:rsidRPr="00B82C51">
        <w:t>to Laos between 2010 and 2011. Total estimated ODA</w:t>
      </w:r>
      <w:r w:rsidR="00B177B5" w:rsidRPr="00B82C51">
        <w:t xml:space="preserve"> </w:t>
      </w:r>
      <w:r w:rsidR="00215E3F">
        <w:t xml:space="preserve">increased </w:t>
      </w:r>
      <w:r w:rsidR="00B177B5" w:rsidRPr="00B82C51">
        <w:t xml:space="preserve">from </w:t>
      </w:r>
      <w:r w:rsidRPr="00B82C51">
        <w:t>US</w:t>
      </w:r>
      <w:r w:rsidR="00634124">
        <w:t>D</w:t>
      </w:r>
      <w:r w:rsidR="00B177B5" w:rsidRPr="00B82C51">
        <w:t>414</w:t>
      </w:r>
      <w:r w:rsidR="00987674">
        <w:t xml:space="preserve"> </w:t>
      </w:r>
      <w:r w:rsidR="00B177B5" w:rsidRPr="00B82C51">
        <w:t>million in 2010 to US</w:t>
      </w:r>
      <w:r w:rsidR="00987674">
        <w:t>D</w:t>
      </w:r>
      <w:r w:rsidR="007C111E" w:rsidRPr="00B82C51">
        <w:t>445</w:t>
      </w:r>
      <w:r w:rsidR="00987674">
        <w:t xml:space="preserve"> </w:t>
      </w:r>
      <w:r w:rsidR="00B177B5" w:rsidRPr="00B82C51">
        <w:t xml:space="preserve">million in 2011. </w:t>
      </w:r>
      <w:r w:rsidR="00682BAD" w:rsidRPr="00B82C51">
        <w:t xml:space="preserve">Australia is </w:t>
      </w:r>
      <w:r w:rsidR="00EE6687" w:rsidRPr="00B82C51">
        <w:t xml:space="preserve">the </w:t>
      </w:r>
      <w:r w:rsidR="00682BAD" w:rsidRPr="00B82C51">
        <w:t xml:space="preserve">largest </w:t>
      </w:r>
      <w:r w:rsidR="00EE6687" w:rsidRPr="00B82C51">
        <w:t xml:space="preserve">bilateral </w:t>
      </w:r>
      <w:r w:rsidR="00215E3F">
        <w:t xml:space="preserve">grant </w:t>
      </w:r>
      <w:r w:rsidR="00682BAD" w:rsidRPr="00B82C51">
        <w:t>donor to Laos, wi</w:t>
      </w:r>
      <w:r w:rsidR="00C818BA" w:rsidRPr="00B82C51">
        <w:t>th total ODA</w:t>
      </w:r>
      <w:r w:rsidR="00682BAD" w:rsidRPr="00B82C51">
        <w:t xml:space="preserve"> at </w:t>
      </w:r>
      <w:r w:rsidR="004A7BF9" w:rsidRPr="00B82C51">
        <w:t>$</w:t>
      </w:r>
      <w:r w:rsidR="0018661F" w:rsidRPr="00B82C51">
        <w:t>53.8</w:t>
      </w:r>
      <w:r w:rsidR="00987674">
        <w:t xml:space="preserve"> </w:t>
      </w:r>
      <w:r w:rsidR="00682BAD" w:rsidRPr="00B82C51">
        <w:t>million</w:t>
      </w:r>
      <w:r w:rsidR="00C818BA" w:rsidRPr="00B82C51">
        <w:t xml:space="preserve"> (around </w:t>
      </w:r>
      <w:r w:rsidR="004A7BF9" w:rsidRPr="00B82C51">
        <w:t>US</w:t>
      </w:r>
      <w:r w:rsidR="00987674">
        <w:t>D</w:t>
      </w:r>
      <w:r w:rsidR="004A7BF9" w:rsidRPr="00B82C51">
        <w:t>5</w:t>
      </w:r>
      <w:r w:rsidR="00B25B1A" w:rsidRPr="00B82C51">
        <w:t>4</w:t>
      </w:r>
      <w:r w:rsidR="00682BAD" w:rsidRPr="00B82C51">
        <w:t xml:space="preserve"> million</w:t>
      </w:r>
      <w:r w:rsidR="00B177B5" w:rsidRPr="00B82C51">
        <w:t>) in 2012–13</w:t>
      </w:r>
      <w:r w:rsidR="00FC2A6B" w:rsidRPr="00B82C51">
        <w:t xml:space="preserve">, </w:t>
      </w:r>
      <w:r w:rsidR="00987674">
        <w:t>or</w:t>
      </w:r>
      <w:r w:rsidR="00987674" w:rsidRPr="00B82C51">
        <w:t xml:space="preserve"> </w:t>
      </w:r>
      <w:r w:rsidR="005746D1" w:rsidRPr="00B82C51">
        <w:t>12</w:t>
      </w:r>
      <w:r w:rsidR="00B177B5" w:rsidRPr="00B82C51">
        <w:t xml:space="preserve"> </w:t>
      </w:r>
      <w:r w:rsidR="00983017" w:rsidRPr="00B82C51">
        <w:t>per cent</w:t>
      </w:r>
      <w:r w:rsidR="00FC2A6B" w:rsidRPr="00B82C51">
        <w:t xml:space="preserve"> of total ODA. </w:t>
      </w:r>
      <w:r w:rsidR="00682BAD" w:rsidRPr="00B82C51">
        <w:lastRenderedPageBreak/>
        <w:t xml:space="preserve">Japan </w:t>
      </w:r>
      <w:r w:rsidR="0004001B" w:rsidRPr="00B82C51">
        <w:t xml:space="preserve">is the </w:t>
      </w:r>
      <w:r w:rsidR="00B82C51" w:rsidRPr="00C52E7E">
        <w:t xml:space="preserve">second </w:t>
      </w:r>
      <w:r w:rsidR="00682BAD" w:rsidRPr="00B82C51">
        <w:t>largest ODA donor to Laos contribut</w:t>
      </w:r>
      <w:r w:rsidR="007044B2" w:rsidRPr="00B82C51">
        <w:t>ing an es</w:t>
      </w:r>
      <w:r w:rsidR="003529C4" w:rsidRPr="00B82C51">
        <w:t>timated US</w:t>
      </w:r>
      <w:r w:rsidR="00987674">
        <w:t>D</w:t>
      </w:r>
      <w:r w:rsidR="0004001B" w:rsidRPr="00B82C51">
        <w:t xml:space="preserve">52.1 </w:t>
      </w:r>
      <w:r w:rsidR="007044B2" w:rsidRPr="00B82C51">
        <w:t>million</w:t>
      </w:r>
      <w:r w:rsidR="003529C4" w:rsidRPr="00B82C51">
        <w:t xml:space="preserve"> in 2011</w:t>
      </w:r>
      <w:r w:rsidR="00682BAD" w:rsidRPr="00B82C51">
        <w:t>, while international financial institutions–</w:t>
      </w:r>
      <w:r w:rsidR="00987674">
        <w:t>–</w:t>
      </w:r>
      <w:r w:rsidR="00682BAD" w:rsidRPr="00B82C51">
        <w:t>the Asian Development Bank</w:t>
      </w:r>
      <w:r w:rsidR="003529C4" w:rsidRPr="00B82C51">
        <w:t xml:space="preserve"> and World Bank–</w:t>
      </w:r>
      <w:r w:rsidR="00987674">
        <w:t>–</w:t>
      </w:r>
      <w:r w:rsidR="003529C4" w:rsidRPr="00B82C51">
        <w:t>provided US</w:t>
      </w:r>
      <w:r w:rsidR="00987674">
        <w:t>D</w:t>
      </w:r>
      <w:r w:rsidR="0004001B" w:rsidRPr="00B82C51">
        <w:t xml:space="preserve">71.3 </w:t>
      </w:r>
      <w:r w:rsidR="00682BAD" w:rsidRPr="00B82C51">
        <w:t>m</w:t>
      </w:r>
      <w:r w:rsidR="00FC2A6B" w:rsidRPr="00B82C51">
        <w:t>illion and US</w:t>
      </w:r>
      <w:r w:rsidR="00987674">
        <w:t>D</w:t>
      </w:r>
      <w:r w:rsidR="00FC2A6B" w:rsidRPr="00B82C51">
        <w:t>4</w:t>
      </w:r>
      <w:r w:rsidR="0004001B" w:rsidRPr="00B82C51">
        <w:t>4.9</w:t>
      </w:r>
      <w:r w:rsidR="00FC2A6B" w:rsidRPr="00B82C51">
        <w:t xml:space="preserve"> million</w:t>
      </w:r>
      <w:r w:rsidR="003529C4" w:rsidRPr="00B82C51">
        <w:t xml:space="preserve"> respectively</w:t>
      </w:r>
      <w:r w:rsidR="00B82C51" w:rsidRPr="00C52E7E">
        <w:t>.</w:t>
      </w:r>
      <w:r w:rsidR="00B82C51" w:rsidRPr="00C645CE">
        <w:rPr>
          <w:rStyle w:val="FootnoteReference"/>
          <w:sz w:val="20"/>
          <w:vertAlign w:val="superscript"/>
        </w:rPr>
        <w:footnoteReference w:id="16"/>
      </w:r>
    </w:p>
    <w:p w14:paraId="49E0B492" w14:textId="77777777" w:rsidR="00180B19" w:rsidRPr="00180B19" w:rsidRDefault="00180B19" w:rsidP="00083CB0">
      <w:pPr>
        <w:pStyle w:val="Heading1"/>
      </w:pPr>
      <w:r w:rsidRPr="00180B19">
        <w:t>Expenditure</w:t>
      </w:r>
    </w:p>
    <w:p w14:paraId="4C7C12F7" w14:textId="7B69AB05" w:rsidR="00180B19" w:rsidRPr="00083CB0" w:rsidRDefault="00180B19" w:rsidP="00083CB0">
      <w:pPr>
        <w:pStyle w:val="BodyText"/>
      </w:pPr>
      <w:r w:rsidRPr="00083CB0">
        <w:t xml:space="preserve">Financial expenditure </w:t>
      </w:r>
      <w:r w:rsidR="005746D1" w:rsidRPr="00083CB0">
        <w:t xml:space="preserve">for the Laos </w:t>
      </w:r>
      <w:r w:rsidR="00634124" w:rsidRPr="00083CB0">
        <w:t xml:space="preserve">Country Program </w:t>
      </w:r>
      <w:r w:rsidR="005746D1" w:rsidRPr="00083CB0">
        <w:t>against development cooperation strategy objectives is reported in two periods: one for the six month</w:t>
      </w:r>
      <w:r w:rsidR="00987674" w:rsidRPr="00083CB0">
        <w:t>s</w:t>
      </w:r>
      <w:r w:rsidR="005746D1" w:rsidRPr="00083CB0">
        <w:t xml:space="preserve"> </w:t>
      </w:r>
      <w:r w:rsidR="00987674" w:rsidRPr="00083CB0">
        <w:t>from</w:t>
      </w:r>
      <w:r w:rsidR="005746D1" w:rsidRPr="00083CB0">
        <w:t xml:space="preserve"> January</w:t>
      </w:r>
      <w:r w:rsidRPr="00083CB0">
        <w:t xml:space="preserve"> </w:t>
      </w:r>
      <w:r w:rsidR="00987674" w:rsidRPr="00083CB0">
        <w:t xml:space="preserve">to </w:t>
      </w:r>
      <w:r w:rsidRPr="00083CB0">
        <w:t>June 2012</w:t>
      </w:r>
      <w:r w:rsidR="005746D1" w:rsidRPr="00083CB0">
        <w:t xml:space="preserve"> (</w:t>
      </w:r>
      <w:r w:rsidR="00634124" w:rsidRPr="00083CB0">
        <w:t>T</w:t>
      </w:r>
      <w:r w:rsidR="005746D1" w:rsidRPr="00083CB0">
        <w:t>able 1A)</w:t>
      </w:r>
      <w:r w:rsidR="00987674" w:rsidRPr="00083CB0">
        <w:t>,</w:t>
      </w:r>
      <w:r w:rsidR="005746D1" w:rsidRPr="00083CB0">
        <w:t xml:space="preserve"> and one for </w:t>
      </w:r>
      <w:r w:rsidR="00634124" w:rsidRPr="00083CB0">
        <w:t xml:space="preserve">the </w:t>
      </w:r>
      <w:r w:rsidR="005746D1" w:rsidRPr="00083CB0">
        <w:t xml:space="preserve">financial </w:t>
      </w:r>
      <w:r w:rsidR="00334608" w:rsidRPr="00083CB0">
        <w:t xml:space="preserve">year </w:t>
      </w:r>
      <w:r w:rsidR="005746D1" w:rsidRPr="00083CB0">
        <w:t>2012</w:t>
      </w:r>
      <w:r w:rsidR="00987674" w:rsidRPr="00083CB0">
        <w:t>–</w:t>
      </w:r>
      <w:r w:rsidR="005746D1" w:rsidRPr="00083CB0">
        <w:t>13 (</w:t>
      </w:r>
      <w:r w:rsidR="00634124" w:rsidRPr="00083CB0">
        <w:t>T</w:t>
      </w:r>
      <w:r w:rsidR="005746D1" w:rsidRPr="00083CB0">
        <w:t>able 1B)</w:t>
      </w:r>
      <w:r w:rsidR="00A03911" w:rsidRPr="00083CB0">
        <w:t>.</w:t>
      </w:r>
    </w:p>
    <w:p w14:paraId="773823EA" w14:textId="74D45664" w:rsidR="00BE65E4" w:rsidRPr="00083CB0" w:rsidRDefault="00BE65E4" w:rsidP="00083CB0">
      <w:pPr>
        <w:pStyle w:val="Caption"/>
      </w:pPr>
      <w:r w:rsidRPr="00083CB0">
        <w:t xml:space="preserve">Table </w:t>
      </w:r>
      <w:r w:rsidR="004778F1">
        <w:fldChar w:fldCharType="begin"/>
      </w:r>
      <w:r w:rsidR="004778F1">
        <w:instrText xml:space="preserve"> SEQ Table \* ARABIC </w:instrText>
      </w:r>
      <w:r w:rsidR="004778F1">
        <w:fldChar w:fldCharType="separate"/>
      </w:r>
      <w:r w:rsidR="004778F1">
        <w:rPr>
          <w:noProof/>
        </w:rPr>
        <w:t>1</w:t>
      </w:r>
      <w:r w:rsidR="004778F1">
        <w:rPr>
          <w:noProof/>
        </w:rPr>
        <w:fldChar w:fldCharType="end"/>
      </w:r>
      <w:r w:rsidRPr="00083CB0">
        <w:t>A</w:t>
      </w:r>
      <w:r w:rsidR="00987674" w:rsidRPr="00083CB0">
        <w:t>:</w:t>
      </w:r>
      <w:r w:rsidRPr="00083CB0">
        <w:t xml:space="preserve"> Expenditure 1 Jan</w:t>
      </w:r>
      <w:r w:rsidR="00987674" w:rsidRPr="00083CB0">
        <w:t xml:space="preserve">uary to </w:t>
      </w:r>
      <w:r w:rsidRPr="00083CB0">
        <w:t>30 Jun</w:t>
      </w:r>
      <w:r w:rsidR="00634124" w:rsidRPr="00083CB0">
        <w:t>e</w:t>
      </w:r>
      <w:r w:rsidRPr="00083CB0">
        <w:t xml:space="preserve"> </w:t>
      </w:r>
      <w:r w:rsidR="009A28D2" w:rsidRPr="00083CB0">
        <w:t>2012</w:t>
      </w:r>
    </w:p>
    <w:tbl>
      <w:tblPr>
        <w:tblStyle w:val="APPR"/>
        <w:tblW w:w="5000" w:type="pct"/>
        <w:tblLayout w:type="fixed"/>
        <w:tblLook w:val="0000" w:firstRow="0" w:lastRow="0" w:firstColumn="0" w:lastColumn="0" w:noHBand="0" w:noVBand="0"/>
      </w:tblPr>
      <w:tblGrid>
        <w:gridCol w:w="6131"/>
        <w:gridCol w:w="998"/>
        <w:gridCol w:w="1477"/>
      </w:tblGrid>
      <w:tr w:rsidR="00180B19" w:rsidRPr="00180B19" w14:paraId="5050ED8D" w14:textId="77777777" w:rsidTr="00083CB0">
        <w:trPr>
          <w:cantSplit/>
          <w:tblHeader w:val="0"/>
        </w:trPr>
        <w:tc>
          <w:tcPr>
            <w:tcW w:w="6048" w:type="dxa"/>
          </w:tcPr>
          <w:p w14:paraId="3FC6CDC1" w14:textId="77777777" w:rsidR="00180B19" w:rsidRPr="00083CB0" w:rsidRDefault="00180B19" w:rsidP="00083CB0">
            <w:pPr>
              <w:pStyle w:val="TableTextColumnHeading"/>
            </w:pPr>
            <w:r w:rsidRPr="00083CB0">
              <w:t>Objective</w:t>
            </w:r>
          </w:p>
        </w:tc>
        <w:tc>
          <w:tcPr>
            <w:tcW w:w="964" w:type="dxa"/>
          </w:tcPr>
          <w:p w14:paraId="48D047CB" w14:textId="11032315" w:rsidR="00180B19" w:rsidRPr="00083CB0" w:rsidRDefault="00180B19" w:rsidP="00083CB0">
            <w:pPr>
              <w:pStyle w:val="TableTextColumnHeading"/>
            </w:pPr>
            <w:r w:rsidRPr="00083CB0">
              <w:t>$ million</w:t>
            </w:r>
          </w:p>
        </w:tc>
        <w:tc>
          <w:tcPr>
            <w:tcW w:w="1426" w:type="dxa"/>
          </w:tcPr>
          <w:p w14:paraId="795F190D" w14:textId="77777777" w:rsidR="00180B19" w:rsidRPr="00083CB0" w:rsidRDefault="00180B19" w:rsidP="00083CB0">
            <w:pPr>
              <w:pStyle w:val="TableTextColumnHeading"/>
            </w:pPr>
            <w:r w:rsidRPr="00083CB0">
              <w:t>% of bilateral program</w:t>
            </w:r>
          </w:p>
        </w:tc>
      </w:tr>
      <w:tr w:rsidR="00AD3592" w:rsidRPr="00180B19" w14:paraId="5EF05080"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4BB60E5E" w14:textId="40658DB5" w:rsidR="00AD3592" w:rsidRPr="00083CB0" w:rsidRDefault="00AD3592" w:rsidP="00083CB0">
            <w:pPr>
              <w:pStyle w:val="TableTextEntries"/>
            </w:pPr>
            <w:r w:rsidRPr="00083CB0">
              <w:t xml:space="preserve">Objective 1: </w:t>
            </w:r>
            <w:r w:rsidR="00987674" w:rsidRPr="00083CB0">
              <w:t xml:space="preserve">Mitigation </w:t>
            </w:r>
            <w:r w:rsidRPr="00083CB0">
              <w:t>of key constraints to equitable access to a basic quality education in targeted poor geographic areas</w:t>
            </w:r>
          </w:p>
        </w:tc>
        <w:tc>
          <w:tcPr>
            <w:tcW w:w="964" w:type="dxa"/>
          </w:tcPr>
          <w:p w14:paraId="22520551" w14:textId="77777777" w:rsidR="00AD3592" w:rsidRPr="00083CB0" w:rsidRDefault="00F5645D" w:rsidP="00083CB0">
            <w:pPr>
              <w:pStyle w:val="TableTextEntries"/>
            </w:pPr>
            <w:r w:rsidRPr="00083CB0">
              <w:t>11.6</w:t>
            </w:r>
          </w:p>
        </w:tc>
        <w:tc>
          <w:tcPr>
            <w:tcW w:w="1426" w:type="dxa"/>
          </w:tcPr>
          <w:p w14:paraId="3FA2ADBF" w14:textId="77777777" w:rsidR="00AD3592" w:rsidRPr="00083CB0" w:rsidRDefault="00F5645D" w:rsidP="00083CB0">
            <w:pPr>
              <w:pStyle w:val="TableTextEntries"/>
            </w:pPr>
            <w:r w:rsidRPr="00083CB0">
              <w:t>37</w:t>
            </w:r>
          </w:p>
        </w:tc>
      </w:tr>
      <w:tr w:rsidR="00AD3592" w:rsidRPr="00180B19" w14:paraId="0F696C91" w14:textId="77777777" w:rsidTr="00083CB0">
        <w:trPr>
          <w:cantSplit/>
          <w:tblHeader w:val="0"/>
        </w:trPr>
        <w:tc>
          <w:tcPr>
            <w:tcW w:w="6048" w:type="dxa"/>
          </w:tcPr>
          <w:p w14:paraId="444D2FB7" w14:textId="12FA319F" w:rsidR="00AD3592" w:rsidRPr="00083CB0" w:rsidRDefault="00AD3592" w:rsidP="00083CB0">
            <w:pPr>
              <w:pStyle w:val="TableTextEntries"/>
            </w:pPr>
            <w:r w:rsidRPr="00083CB0">
              <w:t xml:space="preserve">Objective 2: </w:t>
            </w:r>
            <w:r w:rsidR="00987674" w:rsidRPr="00083CB0">
              <w:t xml:space="preserve">Better </w:t>
            </w:r>
            <w:r w:rsidR="00954054" w:rsidRPr="00083CB0">
              <w:t>management of Government of Laos and donor resources available to the education sector through the implementation of a jointly agreed 10-year education sector framework</w:t>
            </w:r>
          </w:p>
        </w:tc>
        <w:tc>
          <w:tcPr>
            <w:tcW w:w="964" w:type="dxa"/>
          </w:tcPr>
          <w:p w14:paraId="602C6AED" w14:textId="77777777" w:rsidR="00AD3592" w:rsidRPr="00083CB0" w:rsidRDefault="00F5645D" w:rsidP="00083CB0">
            <w:pPr>
              <w:pStyle w:val="TableTextEntries"/>
            </w:pPr>
            <w:r w:rsidRPr="00083CB0">
              <w:t>0.1</w:t>
            </w:r>
          </w:p>
        </w:tc>
        <w:tc>
          <w:tcPr>
            <w:tcW w:w="1426" w:type="dxa"/>
          </w:tcPr>
          <w:p w14:paraId="230EF212" w14:textId="77777777" w:rsidR="00AD3592" w:rsidRPr="00083CB0" w:rsidRDefault="00F5645D" w:rsidP="00083CB0">
            <w:pPr>
              <w:pStyle w:val="TableTextEntries"/>
            </w:pPr>
            <w:r w:rsidRPr="00083CB0">
              <w:t>1</w:t>
            </w:r>
          </w:p>
        </w:tc>
      </w:tr>
      <w:tr w:rsidR="00AD3592" w:rsidRPr="00180B19" w14:paraId="5460C58D"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5A76A9DA" w14:textId="11751DA4" w:rsidR="00AD3592" w:rsidRPr="00083CB0" w:rsidRDefault="00AD3592" w:rsidP="00083CB0">
            <w:pPr>
              <w:pStyle w:val="TableTextEntries"/>
            </w:pPr>
            <w:r w:rsidRPr="00083CB0">
              <w:t>Objective 3</w:t>
            </w:r>
            <w:r w:rsidR="00954054" w:rsidRPr="00083CB0">
              <w:t xml:space="preserve">: </w:t>
            </w:r>
            <w:r w:rsidR="00987674" w:rsidRPr="00083CB0">
              <w:t xml:space="preserve">Policy </w:t>
            </w:r>
            <w:r w:rsidR="00954054" w:rsidRPr="00083CB0">
              <w:t>and institutional impediments to trade and investment addressed in sectors that contribute to inclusive growth</w:t>
            </w:r>
          </w:p>
        </w:tc>
        <w:tc>
          <w:tcPr>
            <w:tcW w:w="964" w:type="dxa"/>
          </w:tcPr>
          <w:p w14:paraId="155EEC5C" w14:textId="77777777" w:rsidR="00AD3592" w:rsidRPr="00083CB0" w:rsidRDefault="00F5645D" w:rsidP="00083CB0">
            <w:pPr>
              <w:pStyle w:val="TableTextEntries"/>
            </w:pPr>
            <w:r w:rsidRPr="00083CB0">
              <w:t>1.7</w:t>
            </w:r>
          </w:p>
        </w:tc>
        <w:tc>
          <w:tcPr>
            <w:tcW w:w="1426" w:type="dxa"/>
          </w:tcPr>
          <w:p w14:paraId="759E48EE" w14:textId="77777777" w:rsidR="00AD3592" w:rsidRPr="00083CB0" w:rsidRDefault="00F5645D" w:rsidP="00083CB0">
            <w:pPr>
              <w:pStyle w:val="TableTextEntries"/>
            </w:pPr>
            <w:r w:rsidRPr="00083CB0">
              <w:t>5</w:t>
            </w:r>
          </w:p>
        </w:tc>
      </w:tr>
      <w:tr w:rsidR="00954054" w:rsidRPr="00180B19" w14:paraId="0A6F77EB" w14:textId="77777777" w:rsidTr="00083CB0">
        <w:trPr>
          <w:cantSplit/>
          <w:tblHeader w:val="0"/>
        </w:trPr>
        <w:tc>
          <w:tcPr>
            <w:tcW w:w="6048" w:type="dxa"/>
          </w:tcPr>
          <w:p w14:paraId="1F878C10" w14:textId="54FEE5EF" w:rsidR="00954054" w:rsidRPr="00083CB0" w:rsidRDefault="00954054" w:rsidP="00083CB0">
            <w:pPr>
              <w:pStyle w:val="TableTextEntries"/>
            </w:pPr>
            <w:r w:rsidRPr="00083CB0">
              <w:t xml:space="preserve">Objective 4: </w:t>
            </w:r>
            <w:r w:rsidR="00987674" w:rsidRPr="00083CB0">
              <w:t xml:space="preserve">Delivery </w:t>
            </w:r>
            <w:r w:rsidRPr="00083CB0">
              <w:t>and modelling of effective programs that result in equitable and sustainable improvements to livelihoods in targeted geographic areas</w:t>
            </w:r>
          </w:p>
        </w:tc>
        <w:tc>
          <w:tcPr>
            <w:tcW w:w="964" w:type="dxa"/>
          </w:tcPr>
          <w:p w14:paraId="2E15137C" w14:textId="77777777" w:rsidR="00954054" w:rsidRPr="00083CB0" w:rsidRDefault="00F5645D" w:rsidP="00083CB0">
            <w:pPr>
              <w:pStyle w:val="TableTextEntries"/>
            </w:pPr>
            <w:r w:rsidRPr="00083CB0">
              <w:t>2.2</w:t>
            </w:r>
          </w:p>
        </w:tc>
        <w:tc>
          <w:tcPr>
            <w:tcW w:w="1426" w:type="dxa"/>
          </w:tcPr>
          <w:p w14:paraId="7999556F" w14:textId="77777777" w:rsidR="00954054" w:rsidRPr="00083CB0" w:rsidRDefault="00F5645D" w:rsidP="00083CB0">
            <w:pPr>
              <w:pStyle w:val="TableTextEntries"/>
            </w:pPr>
            <w:r w:rsidRPr="00083CB0">
              <w:t>7</w:t>
            </w:r>
          </w:p>
        </w:tc>
      </w:tr>
      <w:tr w:rsidR="00954054" w:rsidRPr="00180B19" w14:paraId="5C4D5A75"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715817C2" w14:textId="1069790D" w:rsidR="00954054" w:rsidRPr="00083CB0" w:rsidRDefault="00954054" w:rsidP="00083CB0">
            <w:pPr>
              <w:pStyle w:val="TableTextEntries"/>
            </w:pPr>
            <w:r w:rsidRPr="00083CB0">
              <w:t xml:space="preserve">Objective 5: </w:t>
            </w:r>
            <w:r w:rsidR="00987674" w:rsidRPr="00083CB0">
              <w:t>I</w:t>
            </w:r>
            <w:r w:rsidRPr="00083CB0">
              <w:t>mproved prioritisation, deliver</w:t>
            </w:r>
            <w:r w:rsidR="007C457E">
              <w:t>y</w:t>
            </w:r>
            <w:r w:rsidRPr="00083CB0">
              <w:t xml:space="preserve"> efficiency and coordination of mine action resources</w:t>
            </w:r>
          </w:p>
        </w:tc>
        <w:tc>
          <w:tcPr>
            <w:tcW w:w="964" w:type="dxa"/>
          </w:tcPr>
          <w:p w14:paraId="5B945FD1" w14:textId="77777777" w:rsidR="00954054" w:rsidRPr="00083CB0" w:rsidRDefault="00F5645D" w:rsidP="00083CB0">
            <w:pPr>
              <w:pStyle w:val="TableTextEntries"/>
            </w:pPr>
            <w:r w:rsidRPr="00083CB0">
              <w:t>1.2</w:t>
            </w:r>
          </w:p>
        </w:tc>
        <w:tc>
          <w:tcPr>
            <w:tcW w:w="1426" w:type="dxa"/>
          </w:tcPr>
          <w:p w14:paraId="662CB5F5" w14:textId="77777777" w:rsidR="00954054" w:rsidRPr="00083CB0" w:rsidRDefault="00F5645D" w:rsidP="00083CB0">
            <w:pPr>
              <w:pStyle w:val="TableTextEntries"/>
            </w:pPr>
            <w:r w:rsidRPr="00083CB0">
              <w:t>4</w:t>
            </w:r>
          </w:p>
        </w:tc>
      </w:tr>
      <w:tr w:rsidR="00954054" w:rsidRPr="00180B19" w14:paraId="78A2C779" w14:textId="77777777" w:rsidTr="00083CB0">
        <w:trPr>
          <w:cantSplit/>
          <w:tblHeader w:val="0"/>
        </w:trPr>
        <w:tc>
          <w:tcPr>
            <w:tcW w:w="6048" w:type="dxa"/>
          </w:tcPr>
          <w:p w14:paraId="1E942E45" w14:textId="7A4305F0" w:rsidR="00954054" w:rsidRPr="00083CB0" w:rsidRDefault="00954054" w:rsidP="00083CB0">
            <w:pPr>
              <w:pStyle w:val="TableTextEntries"/>
            </w:pPr>
            <w:r w:rsidRPr="00083CB0">
              <w:t xml:space="preserve">Objective 6: </w:t>
            </w:r>
            <w:r w:rsidR="00987674" w:rsidRPr="00083CB0">
              <w:t>I</w:t>
            </w:r>
            <w:r w:rsidRPr="00083CB0">
              <w:t>mproved rural infrastructure, particularly roads and electrification</w:t>
            </w:r>
          </w:p>
        </w:tc>
        <w:tc>
          <w:tcPr>
            <w:tcW w:w="964" w:type="dxa"/>
          </w:tcPr>
          <w:p w14:paraId="35BFD8E5" w14:textId="77777777" w:rsidR="00954054" w:rsidRPr="00083CB0" w:rsidRDefault="00F5645D" w:rsidP="00083CB0">
            <w:pPr>
              <w:pStyle w:val="TableTextEntries"/>
            </w:pPr>
            <w:r w:rsidRPr="00083CB0">
              <w:t>5.0</w:t>
            </w:r>
          </w:p>
        </w:tc>
        <w:tc>
          <w:tcPr>
            <w:tcW w:w="1426" w:type="dxa"/>
          </w:tcPr>
          <w:p w14:paraId="1BF09C24" w14:textId="77777777" w:rsidR="00954054" w:rsidRPr="00083CB0" w:rsidRDefault="00F5645D" w:rsidP="00083CB0">
            <w:pPr>
              <w:pStyle w:val="TableTextEntries"/>
            </w:pPr>
            <w:r w:rsidRPr="00083CB0">
              <w:t>16</w:t>
            </w:r>
          </w:p>
        </w:tc>
      </w:tr>
      <w:tr w:rsidR="00954054" w:rsidRPr="00180B19" w14:paraId="33D321E9"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17CB6838" w14:textId="7847B714" w:rsidR="00954054" w:rsidRPr="00083CB0" w:rsidRDefault="00954054" w:rsidP="00083CB0">
            <w:pPr>
              <w:pStyle w:val="TableTextEntries"/>
            </w:pPr>
            <w:r w:rsidRPr="00083CB0">
              <w:t xml:space="preserve">Crosscutting </w:t>
            </w:r>
            <w:r w:rsidR="00987674" w:rsidRPr="00083CB0">
              <w:t>objectives</w:t>
            </w:r>
            <w:r w:rsidRPr="00083CB0">
              <w:t>: Scholarships &amp; human resource development</w:t>
            </w:r>
          </w:p>
        </w:tc>
        <w:tc>
          <w:tcPr>
            <w:tcW w:w="964" w:type="dxa"/>
          </w:tcPr>
          <w:p w14:paraId="7169D82D" w14:textId="77777777" w:rsidR="00954054" w:rsidRPr="00083CB0" w:rsidRDefault="00F5645D" w:rsidP="00083CB0">
            <w:pPr>
              <w:pStyle w:val="TableTextEntries"/>
            </w:pPr>
            <w:r w:rsidRPr="00083CB0">
              <w:t>4</w:t>
            </w:r>
          </w:p>
        </w:tc>
        <w:tc>
          <w:tcPr>
            <w:tcW w:w="1426" w:type="dxa"/>
          </w:tcPr>
          <w:p w14:paraId="04971A28" w14:textId="77777777" w:rsidR="00954054" w:rsidRPr="00083CB0" w:rsidRDefault="00F5645D" w:rsidP="00083CB0">
            <w:pPr>
              <w:pStyle w:val="TableTextEntries"/>
            </w:pPr>
            <w:r w:rsidRPr="00083CB0">
              <w:t>13</w:t>
            </w:r>
          </w:p>
        </w:tc>
      </w:tr>
    </w:tbl>
    <w:p w14:paraId="2D846E59" w14:textId="4C8A2532" w:rsidR="00D43B16" w:rsidRPr="00D43B16" w:rsidRDefault="00180B19" w:rsidP="003E5B0C">
      <w:pPr>
        <w:pStyle w:val="Note"/>
      </w:pPr>
      <w:r w:rsidRPr="00804801">
        <w:t xml:space="preserve">Source: </w:t>
      </w:r>
      <w:proofErr w:type="spellStart"/>
      <w:r w:rsidR="00074099" w:rsidRPr="00804801">
        <w:t>Aidworks</w:t>
      </w:r>
      <w:proofErr w:type="spellEnd"/>
    </w:p>
    <w:p w14:paraId="3FFBB782" w14:textId="3A352AB9" w:rsidR="00180B19" w:rsidRPr="00180B19" w:rsidRDefault="00180B19" w:rsidP="00083CB0">
      <w:pPr>
        <w:pStyle w:val="Caption"/>
      </w:pPr>
      <w:r w:rsidRPr="00180B19">
        <w:t>Table 1B</w:t>
      </w:r>
      <w:r w:rsidR="00987674">
        <w:t>:</w:t>
      </w:r>
      <w:r w:rsidRPr="00180B19">
        <w:t xml:space="preserve"> Estimated expenditure in 2012</w:t>
      </w:r>
      <w:r w:rsidR="00987674">
        <w:t>–</w:t>
      </w:r>
      <w:r w:rsidRPr="00180B19">
        <w:t>13</w:t>
      </w:r>
    </w:p>
    <w:tbl>
      <w:tblPr>
        <w:tblStyle w:val="APPR"/>
        <w:tblW w:w="5000" w:type="pct"/>
        <w:tblLayout w:type="fixed"/>
        <w:tblLook w:val="0000" w:firstRow="0" w:lastRow="0" w:firstColumn="0" w:lastColumn="0" w:noHBand="0" w:noVBand="0"/>
      </w:tblPr>
      <w:tblGrid>
        <w:gridCol w:w="6131"/>
        <w:gridCol w:w="998"/>
        <w:gridCol w:w="1477"/>
      </w:tblGrid>
      <w:tr w:rsidR="00100AA2" w:rsidRPr="00180B19" w14:paraId="1F78281E" w14:textId="77777777" w:rsidTr="00083CB0">
        <w:trPr>
          <w:cantSplit/>
          <w:tblHeader w:val="0"/>
        </w:trPr>
        <w:tc>
          <w:tcPr>
            <w:tcW w:w="6048" w:type="dxa"/>
          </w:tcPr>
          <w:p w14:paraId="36BBB9F6" w14:textId="77777777" w:rsidR="00100AA2" w:rsidRPr="00083CB0" w:rsidRDefault="00100AA2" w:rsidP="00083CB0">
            <w:pPr>
              <w:pStyle w:val="TableTextColumnHeading"/>
            </w:pPr>
            <w:r w:rsidRPr="00083CB0">
              <w:t>Objective</w:t>
            </w:r>
          </w:p>
        </w:tc>
        <w:tc>
          <w:tcPr>
            <w:tcW w:w="964" w:type="dxa"/>
          </w:tcPr>
          <w:p w14:paraId="5AD9F3FF" w14:textId="24B4C6A9" w:rsidR="00100AA2" w:rsidRPr="00083CB0" w:rsidRDefault="00100AA2" w:rsidP="00083CB0">
            <w:pPr>
              <w:pStyle w:val="TableTextColumnHeading"/>
            </w:pPr>
            <w:r w:rsidRPr="00083CB0">
              <w:t>$ million</w:t>
            </w:r>
          </w:p>
        </w:tc>
        <w:tc>
          <w:tcPr>
            <w:tcW w:w="1426" w:type="dxa"/>
          </w:tcPr>
          <w:p w14:paraId="76727179" w14:textId="77777777" w:rsidR="00100AA2" w:rsidRPr="00083CB0" w:rsidRDefault="00100AA2" w:rsidP="00083CB0">
            <w:pPr>
              <w:pStyle w:val="TableTextColumnHeading"/>
            </w:pPr>
            <w:r w:rsidRPr="00083CB0">
              <w:t>% of bilateral program</w:t>
            </w:r>
          </w:p>
        </w:tc>
      </w:tr>
      <w:tr w:rsidR="00954054" w:rsidRPr="00180B19" w14:paraId="124989B1"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5FA7D5CC" w14:textId="463617DD" w:rsidR="00954054" w:rsidRPr="00083CB0" w:rsidRDefault="00954054" w:rsidP="00083CB0">
            <w:pPr>
              <w:pStyle w:val="TableTextEntries"/>
            </w:pPr>
            <w:r w:rsidRPr="00083CB0">
              <w:t xml:space="preserve">Objective 1: </w:t>
            </w:r>
            <w:r w:rsidR="00987674" w:rsidRPr="00083CB0">
              <w:t xml:space="preserve">Mitigation </w:t>
            </w:r>
            <w:r w:rsidRPr="00083CB0">
              <w:t>of key constraints to equitable access to a basic quality education in targeted poor geographic areas</w:t>
            </w:r>
          </w:p>
        </w:tc>
        <w:tc>
          <w:tcPr>
            <w:tcW w:w="964" w:type="dxa"/>
          </w:tcPr>
          <w:p w14:paraId="44C1D737" w14:textId="77777777" w:rsidR="00954054" w:rsidRPr="00083CB0" w:rsidRDefault="00954054" w:rsidP="00083CB0">
            <w:pPr>
              <w:pStyle w:val="TableTextEntries"/>
            </w:pPr>
            <w:r w:rsidRPr="00083CB0">
              <w:t>7.8</w:t>
            </w:r>
          </w:p>
        </w:tc>
        <w:tc>
          <w:tcPr>
            <w:tcW w:w="1426" w:type="dxa"/>
          </w:tcPr>
          <w:p w14:paraId="5B6A263B" w14:textId="77777777" w:rsidR="00954054" w:rsidRPr="00083CB0" w:rsidRDefault="00954054" w:rsidP="00083CB0">
            <w:pPr>
              <w:pStyle w:val="TableTextEntries"/>
            </w:pPr>
            <w:r w:rsidRPr="00083CB0">
              <w:t>23</w:t>
            </w:r>
          </w:p>
        </w:tc>
      </w:tr>
      <w:tr w:rsidR="00954054" w:rsidRPr="00180B19" w14:paraId="559F5123" w14:textId="77777777" w:rsidTr="00083CB0">
        <w:trPr>
          <w:cantSplit/>
          <w:tblHeader w:val="0"/>
        </w:trPr>
        <w:tc>
          <w:tcPr>
            <w:tcW w:w="6048" w:type="dxa"/>
          </w:tcPr>
          <w:p w14:paraId="2A340020" w14:textId="243E444A" w:rsidR="00954054" w:rsidRPr="00083CB0" w:rsidRDefault="00954054" w:rsidP="00083CB0">
            <w:pPr>
              <w:pStyle w:val="TableTextEntries"/>
            </w:pPr>
            <w:r w:rsidRPr="00083CB0">
              <w:t xml:space="preserve">Objective 2: </w:t>
            </w:r>
            <w:r w:rsidR="00987674" w:rsidRPr="00083CB0">
              <w:t xml:space="preserve">Better </w:t>
            </w:r>
            <w:r w:rsidRPr="00083CB0">
              <w:t>management of Government of Laos and donor resources available to the education sector through the implementation of a jointly agreed 10-year education sector framework</w:t>
            </w:r>
          </w:p>
        </w:tc>
        <w:tc>
          <w:tcPr>
            <w:tcW w:w="964" w:type="dxa"/>
          </w:tcPr>
          <w:p w14:paraId="27F5A7A4" w14:textId="77777777" w:rsidR="00954054" w:rsidRPr="00083CB0" w:rsidRDefault="00954054" w:rsidP="00083CB0">
            <w:pPr>
              <w:pStyle w:val="TableTextEntries"/>
            </w:pPr>
            <w:r w:rsidRPr="00083CB0">
              <w:t>0.5</w:t>
            </w:r>
          </w:p>
        </w:tc>
        <w:tc>
          <w:tcPr>
            <w:tcW w:w="1426" w:type="dxa"/>
          </w:tcPr>
          <w:p w14:paraId="162CF428" w14:textId="77777777" w:rsidR="00954054" w:rsidRPr="00083CB0" w:rsidRDefault="00954054" w:rsidP="00083CB0">
            <w:pPr>
              <w:pStyle w:val="TableTextEntries"/>
            </w:pPr>
            <w:r w:rsidRPr="00083CB0">
              <w:t>1</w:t>
            </w:r>
          </w:p>
        </w:tc>
      </w:tr>
      <w:tr w:rsidR="00954054" w:rsidRPr="00180B19" w14:paraId="656DA558"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5BF884CE" w14:textId="288C8AA6" w:rsidR="00954054" w:rsidRPr="00083CB0" w:rsidRDefault="00954054" w:rsidP="00083CB0">
            <w:pPr>
              <w:pStyle w:val="TableTextEntries"/>
            </w:pPr>
            <w:r w:rsidRPr="00083CB0">
              <w:t xml:space="preserve">Objective 3: </w:t>
            </w:r>
            <w:r w:rsidR="00987674" w:rsidRPr="00083CB0">
              <w:t xml:space="preserve">Policy </w:t>
            </w:r>
            <w:r w:rsidRPr="00083CB0">
              <w:t>and institutional impediments to trade and investment addressed in sectors that contribute to inclusive growth</w:t>
            </w:r>
          </w:p>
        </w:tc>
        <w:tc>
          <w:tcPr>
            <w:tcW w:w="964" w:type="dxa"/>
          </w:tcPr>
          <w:p w14:paraId="680BAB8D" w14:textId="77777777" w:rsidR="00954054" w:rsidRPr="00083CB0" w:rsidRDefault="00954054" w:rsidP="00083CB0">
            <w:pPr>
              <w:pStyle w:val="TableTextEntries"/>
            </w:pPr>
            <w:r w:rsidRPr="00083CB0">
              <w:t>2.1</w:t>
            </w:r>
          </w:p>
        </w:tc>
        <w:tc>
          <w:tcPr>
            <w:tcW w:w="1426" w:type="dxa"/>
          </w:tcPr>
          <w:p w14:paraId="22C11C76" w14:textId="77777777" w:rsidR="00954054" w:rsidRPr="00083CB0" w:rsidRDefault="00954054" w:rsidP="00083CB0">
            <w:pPr>
              <w:pStyle w:val="TableTextEntries"/>
            </w:pPr>
            <w:r w:rsidRPr="00083CB0">
              <w:t>6</w:t>
            </w:r>
          </w:p>
        </w:tc>
      </w:tr>
      <w:tr w:rsidR="00954054" w:rsidRPr="00180B19" w14:paraId="2CED32D3" w14:textId="77777777" w:rsidTr="00083CB0">
        <w:trPr>
          <w:cantSplit/>
          <w:tblHeader w:val="0"/>
        </w:trPr>
        <w:tc>
          <w:tcPr>
            <w:tcW w:w="6048" w:type="dxa"/>
          </w:tcPr>
          <w:p w14:paraId="3A6D0FF0" w14:textId="32AFD314" w:rsidR="00954054" w:rsidRPr="00083CB0" w:rsidRDefault="00954054" w:rsidP="00083CB0">
            <w:pPr>
              <w:pStyle w:val="TableTextEntries"/>
            </w:pPr>
            <w:r w:rsidRPr="00083CB0">
              <w:t xml:space="preserve">Objective 4: </w:t>
            </w:r>
            <w:r w:rsidR="00987674" w:rsidRPr="00083CB0">
              <w:t xml:space="preserve">Delivery </w:t>
            </w:r>
            <w:r w:rsidRPr="00083CB0">
              <w:t>and modelling of effective programs that result in equitable and sustainable improvements to livelihoods in targeted geographic areas</w:t>
            </w:r>
          </w:p>
        </w:tc>
        <w:tc>
          <w:tcPr>
            <w:tcW w:w="964" w:type="dxa"/>
          </w:tcPr>
          <w:p w14:paraId="05094468" w14:textId="77777777" w:rsidR="00954054" w:rsidRPr="00083CB0" w:rsidRDefault="00954054" w:rsidP="00083CB0">
            <w:pPr>
              <w:pStyle w:val="TableTextEntries"/>
            </w:pPr>
            <w:r w:rsidRPr="00083CB0">
              <w:t>8.8</w:t>
            </w:r>
          </w:p>
        </w:tc>
        <w:tc>
          <w:tcPr>
            <w:tcW w:w="1426" w:type="dxa"/>
          </w:tcPr>
          <w:p w14:paraId="4F91F191" w14:textId="77777777" w:rsidR="00954054" w:rsidRPr="00083CB0" w:rsidRDefault="00954054" w:rsidP="00083CB0">
            <w:pPr>
              <w:pStyle w:val="TableTextEntries"/>
            </w:pPr>
            <w:r w:rsidRPr="00083CB0">
              <w:t>25</w:t>
            </w:r>
          </w:p>
        </w:tc>
      </w:tr>
      <w:tr w:rsidR="00954054" w:rsidRPr="00180B19" w14:paraId="040B1DB5"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22C398C1" w14:textId="3955A04B" w:rsidR="00954054" w:rsidRPr="00083CB0" w:rsidRDefault="00954054" w:rsidP="00083CB0">
            <w:pPr>
              <w:pStyle w:val="TableTextEntries"/>
            </w:pPr>
            <w:r w:rsidRPr="00083CB0">
              <w:t xml:space="preserve">Objective 5: </w:t>
            </w:r>
            <w:r w:rsidR="00987674" w:rsidRPr="00083CB0">
              <w:t xml:space="preserve">Improved </w:t>
            </w:r>
            <w:r w:rsidRPr="00083CB0">
              <w:t>prioritisation, deliver</w:t>
            </w:r>
            <w:r w:rsidR="007C457E">
              <w:t>y</w:t>
            </w:r>
            <w:r w:rsidRPr="00083CB0">
              <w:t xml:space="preserve"> efficiency and coordination of mine action resources</w:t>
            </w:r>
          </w:p>
        </w:tc>
        <w:tc>
          <w:tcPr>
            <w:tcW w:w="964" w:type="dxa"/>
          </w:tcPr>
          <w:p w14:paraId="44C7DE42" w14:textId="77777777" w:rsidR="00954054" w:rsidRPr="00083CB0" w:rsidRDefault="00954054" w:rsidP="00083CB0">
            <w:pPr>
              <w:pStyle w:val="TableTextEntries"/>
            </w:pPr>
            <w:r w:rsidRPr="00083CB0">
              <w:t>3.5</w:t>
            </w:r>
          </w:p>
        </w:tc>
        <w:tc>
          <w:tcPr>
            <w:tcW w:w="1426" w:type="dxa"/>
          </w:tcPr>
          <w:p w14:paraId="42A66204" w14:textId="77777777" w:rsidR="00954054" w:rsidRPr="00083CB0" w:rsidRDefault="00954054" w:rsidP="00083CB0">
            <w:pPr>
              <w:pStyle w:val="TableTextEntries"/>
            </w:pPr>
            <w:r w:rsidRPr="00083CB0">
              <w:t>10</w:t>
            </w:r>
          </w:p>
        </w:tc>
      </w:tr>
      <w:tr w:rsidR="00954054" w:rsidRPr="00180B19" w14:paraId="622B93BD" w14:textId="77777777" w:rsidTr="00083CB0">
        <w:trPr>
          <w:cantSplit/>
          <w:tblHeader w:val="0"/>
        </w:trPr>
        <w:tc>
          <w:tcPr>
            <w:tcW w:w="6048" w:type="dxa"/>
          </w:tcPr>
          <w:p w14:paraId="397F4B99" w14:textId="50C2AA27" w:rsidR="00954054" w:rsidRPr="00083CB0" w:rsidRDefault="00954054" w:rsidP="00083CB0">
            <w:pPr>
              <w:pStyle w:val="TableTextEntries"/>
            </w:pPr>
            <w:r w:rsidRPr="00083CB0">
              <w:t xml:space="preserve">Objective 6: </w:t>
            </w:r>
            <w:r w:rsidR="00987674" w:rsidRPr="00083CB0">
              <w:t xml:space="preserve">Improved </w:t>
            </w:r>
            <w:r w:rsidRPr="00083CB0">
              <w:t>rural infrastructure, particularly roads and electrification</w:t>
            </w:r>
          </w:p>
        </w:tc>
        <w:tc>
          <w:tcPr>
            <w:tcW w:w="964" w:type="dxa"/>
          </w:tcPr>
          <w:p w14:paraId="6383F1D0" w14:textId="77777777" w:rsidR="00954054" w:rsidRPr="00083CB0" w:rsidRDefault="00954054" w:rsidP="00083CB0">
            <w:pPr>
              <w:pStyle w:val="TableTextEntries"/>
            </w:pPr>
            <w:r w:rsidRPr="00083CB0">
              <w:t>5.1</w:t>
            </w:r>
          </w:p>
        </w:tc>
        <w:tc>
          <w:tcPr>
            <w:tcW w:w="1426" w:type="dxa"/>
          </w:tcPr>
          <w:p w14:paraId="57E0B278" w14:textId="77777777" w:rsidR="00954054" w:rsidRPr="00083CB0" w:rsidRDefault="00954054" w:rsidP="00083CB0">
            <w:pPr>
              <w:pStyle w:val="TableTextEntries"/>
            </w:pPr>
            <w:r w:rsidRPr="00083CB0">
              <w:t>15</w:t>
            </w:r>
          </w:p>
        </w:tc>
      </w:tr>
      <w:tr w:rsidR="00954054" w:rsidRPr="00180B19" w14:paraId="57C0FE51"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3CCF93F3" w14:textId="570687C9" w:rsidR="00954054" w:rsidRPr="00083CB0" w:rsidRDefault="00954054" w:rsidP="00083CB0">
            <w:pPr>
              <w:pStyle w:val="TableTextEntries"/>
            </w:pPr>
            <w:r w:rsidRPr="00083CB0">
              <w:t xml:space="preserve">Crosscutting </w:t>
            </w:r>
            <w:r w:rsidR="00987674" w:rsidRPr="00083CB0">
              <w:t>objectives</w:t>
            </w:r>
            <w:r w:rsidRPr="00083CB0">
              <w:t>: Scholarships &amp; human resource development</w:t>
            </w:r>
          </w:p>
        </w:tc>
        <w:tc>
          <w:tcPr>
            <w:tcW w:w="964" w:type="dxa"/>
          </w:tcPr>
          <w:p w14:paraId="026BA666" w14:textId="77777777" w:rsidR="00954054" w:rsidRPr="00083CB0" w:rsidRDefault="00954054" w:rsidP="00083CB0">
            <w:pPr>
              <w:pStyle w:val="TableTextEntries"/>
            </w:pPr>
            <w:r w:rsidRPr="00083CB0">
              <w:t>6.8</w:t>
            </w:r>
          </w:p>
        </w:tc>
        <w:tc>
          <w:tcPr>
            <w:tcW w:w="1426" w:type="dxa"/>
          </w:tcPr>
          <w:p w14:paraId="76DB57B7" w14:textId="77777777" w:rsidR="00954054" w:rsidRPr="00083CB0" w:rsidRDefault="00954054" w:rsidP="00083CB0">
            <w:pPr>
              <w:pStyle w:val="TableTextEntries"/>
            </w:pPr>
            <w:r w:rsidRPr="00083CB0">
              <w:t>20</w:t>
            </w:r>
          </w:p>
        </w:tc>
      </w:tr>
    </w:tbl>
    <w:p w14:paraId="21FC91BC" w14:textId="31FCB055" w:rsidR="002D67A7" w:rsidRDefault="00180B19" w:rsidP="006E4F41">
      <w:pPr>
        <w:pStyle w:val="Note"/>
      </w:pPr>
      <w:r w:rsidRPr="00D43B16">
        <w:t xml:space="preserve">Source: </w:t>
      </w:r>
      <w:proofErr w:type="spellStart"/>
      <w:r w:rsidR="00074099" w:rsidRPr="00D43B16">
        <w:t>Aidworks</w:t>
      </w:r>
      <w:proofErr w:type="spellEnd"/>
    </w:p>
    <w:p w14:paraId="460568F9" w14:textId="77777777" w:rsidR="006E4F41" w:rsidRPr="006E4F41" w:rsidRDefault="006E4F41" w:rsidP="006E4F41">
      <w:pPr>
        <w:pStyle w:val="BodyText"/>
      </w:pPr>
    </w:p>
    <w:p w14:paraId="74A456FE" w14:textId="77777777" w:rsidR="00180B19" w:rsidRPr="00180B19" w:rsidRDefault="00180B19" w:rsidP="00083CB0">
      <w:pPr>
        <w:pStyle w:val="Heading1"/>
      </w:pPr>
      <w:r w:rsidRPr="00180B19">
        <w:lastRenderedPageBreak/>
        <w:t>Progress towards objectives</w:t>
      </w:r>
    </w:p>
    <w:p w14:paraId="5FAA52E5" w14:textId="34262538" w:rsidR="00D97B29" w:rsidRPr="000E302C" w:rsidRDefault="00CC6403" w:rsidP="00083CB0">
      <w:pPr>
        <w:pStyle w:val="BodyText"/>
      </w:pPr>
      <w:r w:rsidRPr="00966D95">
        <w:t>Th</w:t>
      </w:r>
      <w:r w:rsidR="00334608">
        <w:t>e overall progress of the Laos Country P</w:t>
      </w:r>
      <w:r w:rsidRPr="00966D95">
        <w:t xml:space="preserve">rogram in achieving objectives is broadly positive. </w:t>
      </w:r>
      <w:r w:rsidR="005F34AB" w:rsidRPr="00966D95">
        <w:t xml:space="preserve">This progress is summarised in </w:t>
      </w:r>
      <w:r w:rsidR="00634124">
        <w:t>T</w:t>
      </w:r>
      <w:r w:rsidRPr="00F35D8E">
        <w:t>able 2</w:t>
      </w:r>
      <w:r w:rsidRPr="00966D95">
        <w:t xml:space="preserve"> below. </w:t>
      </w:r>
      <w:r w:rsidR="00987674">
        <w:t>A</w:t>
      </w:r>
      <w:r w:rsidR="00663A48">
        <w:t xml:space="preserve"> </w:t>
      </w:r>
      <w:r w:rsidR="00987674">
        <w:t>performance assessment framewor</w:t>
      </w:r>
      <w:r w:rsidR="00663A48">
        <w:t>k provides milestones against which performance is assessed each year.</w:t>
      </w:r>
      <w:r w:rsidR="00380864">
        <w:t xml:space="preserve"> The ratings presented in this section </w:t>
      </w:r>
      <w:r w:rsidR="002D2BF5">
        <w:t xml:space="preserve">reflect </w:t>
      </w:r>
      <w:r w:rsidR="00380864">
        <w:t>a combination of progress against milestones in 2012</w:t>
      </w:r>
      <w:r w:rsidR="00987674">
        <w:t>–</w:t>
      </w:r>
      <w:r w:rsidR="00380864">
        <w:t xml:space="preserve">13 and future challenges and issues that could hinder </w:t>
      </w:r>
      <w:r w:rsidR="00380864" w:rsidRPr="0060640E">
        <w:t>progress.</w:t>
      </w:r>
    </w:p>
    <w:p w14:paraId="243B0884" w14:textId="454620DF" w:rsidR="00BE65E4" w:rsidRDefault="00BE65E4" w:rsidP="00083CB0">
      <w:pPr>
        <w:pStyle w:val="Caption"/>
      </w:pPr>
      <w:r>
        <w:t xml:space="preserve">Table </w:t>
      </w:r>
      <w:r w:rsidR="004778F1">
        <w:fldChar w:fldCharType="begin"/>
      </w:r>
      <w:r w:rsidR="004778F1">
        <w:instrText xml:space="preserve"> SEQ Table \* ARABIC </w:instrText>
      </w:r>
      <w:r w:rsidR="004778F1">
        <w:fldChar w:fldCharType="separate"/>
      </w:r>
      <w:r w:rsidR="004778F1">
        <w:rPr>
          <w:noProof/>
        </w:rPr>
        <w:t>2</w:t>
      </w:r>
      <w:r w:rsidR="004778F1">
        <w:rPr>
          <w:noProof/>
        </w:rPr>
        <w:fldChar w:fldCharType="end"/>
      </w:r>
      <w:r w:rsidR="00987674">
        <w:rPr>
          <w:noProof/>
        </w:rPr>
        <w:t>:</w:t>
      </w:r>
      <w:r>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083CB0" w:rsidRPr="0019341B" w14:paraId="4F2EA116" w14:textId="77777777" w:rsidTr="00083CB0">
        <w:trPr>
          <w:cantSplit/>
          <w:tblHeader w:val="0"/>
        </w:trPr>
        <w:tc>
          <w:tcPr>
            <w:tcW w:w="6029" w:type="dxa"/>
          </w:tcPr>
          <w:p w14:paraId="07C263F5" w14:textId="77777777" w:rsidR="00083CB0" w:rsidRPr="00083CB0" w:rsidRDefault="00083CB0" w:rsidP="00083CB0">
            <w:pPr>
              <w:pStyle w:val="TableTextColumnHeading"/>
            </w:pPr>
            <w:r w:rsidRPr="00083CB0">
              <w:rPr>
                <w:noProof/>
                <w:lang w:eastAsia="en-AU"/>
              </w:rPr>
              <w:drawing>
                <wp:anchor distT="0" distB="0" distL="114300" distR="114300" simplePos="0" relativeHeight="251672576" behindDoc="0" locked="0" layoutInCell="1" allowOverlap="1" wp14:anchorId="28793611" wp14:editId="4D1BFE3F">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CB0">
              <w:t>Objective</w:t>
            </w:r>
          </w:p>
        </w:tc>
        <w:tc>
          <w:tcPr>
            <w:tcW w:w="972" w:type="dxa"/>
          </w:tcPr>
          <w:p w14:paraId="478163BA" w14:textId="366EA345" w:rsidR="00083CB0" w:rsidRPr="00083CB0" w:rsidRDefault="00083CB0" w:rsidP="00083CB0">
            <w:pPr>
              <w:pStyle w:val="TableTextColumnHeading"/>
            </w:pPr>
            <w:r w:rsidRPr="00083CB0">
              <w:t>Current rating</w:t>
            </w:r>
          </w:p>
        </w:tc>
        <w:tc>
          <w:tcPr>
            <w:tcW w:w="1021" w:type="dxa"/>
          </w:tcPr>
          <w:p w14:paraId="0D674E2C" w14:textId="4D7A644F" w:rsidR="00083CB0" w:rsidRPr="00083CB0" w:rsidRDefault="00083CB0" w:rsidP="00083CB0">
            <w:pPr>
              <w:pStyle w:val="TableTextColumnHeading"/>
            </w:pPr>
            <w:r w:rsidRPr="00083CB0">
              <w:t>Previous rating</w:t>
            </w:r>
          </w:p>
        </w:tc>
      </w:tr>
      <w:tr w:rsidR="00083CB0" w:rsidRPr="0019341B" w14:paraId="344EC8B7"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29" w:type="dxa"/>
          </w:tcPr>
          <w:p w14:paraId="4AE69E2F" w14:textId="77777777" w:rsidR="00083CB0" w:rsidRPr="0019341B" w:rsidRDefault="00083CB0" w:rsidP="00083CB0">
            <w:pPr>
              <w:pStyle w:val="TableHeading1"/>
              <w:rPr>
                <w:noProof/>
                <w:lang w:eastAsia="en-AU"/>
              </w:rPr>
            </w:pPr>
            <w:r w:rsidRPr="00FF5A58">
              <w:t>Education</w:t>
            </w:r>
          </w:p>
        </w:tc>
        <w:tc>
          <w:tcPr>
            <w:tcW w:w="972" w:type="dxa"/>
          </w:tcPr>
          <w:p w14:paraId="0C4F5F13" w14:textId="77777777" w:rsidR="00083CB0" w:rsidRDefault="00083CB0" w:rsidP="00E74C8F">
            <w:pPr>
              <w:pStyle w:val="TableTextColumnHeading"/>
            </w:pPr>
          </w:p>
        </w:tc>
        <w:tc>
          <w:tcPr>
            <w:tcW w:w="1021" w:type="dxa"/>
          </w:tcPr>
          <w:p w14:paraId="60F86530" w14:textId="77777777" w:rsidR="00083CB0" w:rsidRDefault="00083CB0" w:rsidP="00E74C8F">
            <w:pPr>
              <w:pStyle w:val="TableTextColumnHeading"/>
            </w:pPr>
          </w:p>
        </w:tc>
      </w:tr>
      <w:tr w:rsidR="00083CB0" w:rsidRPr="001F416C" w14:paraId="0E15C935" w14:textId="77777777" w:rsidTr="00083CB0">
        <w:trPr>
          <w:cantSplit/>
          <w:tblHeader w:val="0"/>
        </w:trPr>
        <w:tc>
          <w:tcPr>
            <w:tcW w:w="6029" w:type="dxa"/>
          </w:tcPr>
          <w:p w14:paraId="4D76EBFF" w14:textId="6B670729" w:rsidR="00083CB0" w:rsidRPr="001F416C" w:rsidRDefault="00083CB0" w:rsidP="00083CB0">
            <w:pPr>
              <w:pStyle w:val="TableHeading2"/>
            </w:pPr>
            <w:r w:rsidRPr="001F416C">
              <w:t xml:space="preserve">Development </w:t>
            </w:r>
            <w:r>
              <w:t>o</w:t>
            </w:r>
            <w:r w:rsidRPr="001F416C">
              <w:t>utcome: all boys and girls complete a full course of primary education</w:t>
            </w:r>
          </w:p>
        </w:tc>
        <w:tc>
          <w:tcPr>
            <w:tcW w:w="972" w:type="dxa"/>
            <w:shd w:val="clear" w:color="auto" w:fill="auto"/>
            <w:noWrap/>
          </w:tcPr>
          <w:p w14:paraId="66487578" w14:textId="77777777" w:rsidR="00083CB0" w:rsidRPr="001F416C" w:rsidRDefault="00083CB0" w:rsidP="00FF5A58">
            <w:pPr>
              <w:pStyle w:val="TableTextEntries"/>
              <w:rPr>
                <w:i/>
                <w:color w:val="FFFFFF" w:themeColor="background1"/>
              </w:rPr>
            </w:pPr>
            <w:r>
              <w:rPr>
                <w:i/>
                <w:color w:val="FFFFFF" w:themeColor="background1"/>
              </w:rPr>
              <w:t>Amber</w:t>
            </w:r>
          </w:p>
        </w:tc>
        <w:tc>
          <w:tcPr>
            <w:tcW w:w="1021" w:type="dxa"/>
            <w:shd w:val="clear" w:color="auto" w:fill="auto"/>
            <w:noWrap/>
          </w:tcPr>
          <w:p w14:paraId="23083CEB" w14:textId="77777777" w:rsidR="00083CB0" w:rsidRPr="001F416C" w:rsidRDefault="00083CB0" w:rsidP="00FF5A58">
            <w:pPr>
              <w:pStyle w:val="TableTextEntries"/>
              <w:rPr>
                <w:i/>
                <w:color w:val="FFFFFF" w:themeColor="background1"/>
              </w:rPr>
            </w:pPr>
          </w:p>
        </w:tc>
      </w:tr>
      <w:tr w:rsidR="00083CB0" w:rsidRPr="009D53C4" w14:paraId="60A673C2"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29" w:type="dxa"/>
          </w:tcPr>
          <w:p w14:paraId="74D4B4D1" w14:textId="6A8A8F47" w:rsidR="00083CB0" w:rsidRPr="00083CB0" w:rsidRDefault="00083CB0" w:rsidP="00083CB0">
            <w:pPr>
              <w:pStyle w:val="TableTextEntries"/>
            </w:pPr>
            <w:r w:rsidRPr="00083CB0">
              <w:t>Objective 1: Mitigation of key constraints to equitable access to a basic quality education in targeted poor geographic areas</w:t>
            </w:r>
          </w:p>
        </w:tc>
        <w:tc>
          <w:tcPr>
            <w:tcW w:w="972" w:type="dxa"/>
            <w:shd w:val="clear" w:color="auto" w:fill="F79646" w:themeFill="accent6"/>
            <w:noWrap/>
          </w:tcPr>
          <w:p w14:paraId="1F29A978" w14:textId="77777777" w:rsidR="00083CB0" w:rsidRPr="00083CB0" w:rsidRDefault="00083CB0" w:rsidP="00083CB0">
            <w:pPr>
              <w:pStyle w:val="TableTextEntries"/>
            </w:pPr>
            <w:r w:rsidRPr="00083CB0">
              <w:t>Amber</w:t>
            </w:r>
          </w:p>
        </w:tc>
        <w:tc>
          <w:tcPr>
            <w:tcW w:w="1021" w:type="dxa"/>
            <w:shd w:val="clear" w:color="auto" w:fill="F79646" w:themeFill="accent6"/>
            <w:noWrap/>
          </w:tcPr>
          <w:p w14:paraId="5433C201" w14:textId="77777777" w:rsidR="00083CB0" w:rsidRPr="00083CB0" w:rsidRDefault="00083CB0" w:rsidP="00083CB0">
            <w:pPr>
              <w:pStyle w:val="TableTextEntries"/>
            </w:pPr>
            <w:r w:rsidRPr="00083CB0">
              <w:t>Amber</w:t>
            </w:r>
          </w:p>
        </w:tc>
      </w:tr>
      <w:tr w:rsidR="00083CB0" w:rsidRPr="009D53C4" w14:paraId="787D3714" w14:textId="77777777" w:rsidTr="00083CB0">
        <w:trPr>
          <w:cantSplit/>
          <w:tblHeader w:val="0"/>
        </w:trPr>
        <w:tc>
          <w:tcPr>
            <w:tcW w:w="6029" w:type="dxa"/>
          </w:tcPr>
          <w:p w14:paraId="6CB3B9AF" w14:textId="60A77979" w:rsidR="00083CB0" w:rsidRPr="00083CB0" w:rsidRDefault="00083CB0" w:rsidP="00083CB0">
            <w:pPr>
              <w:pStyle w:val="TableTextEntries"/>
            </w:pPr>
            <w:r w:rsidRPr="00083CB0">
              <w:t>Objective 2: Better management of Government of Laos and donor resources available to the education sector through the implementation of a jointly agreed 10-year education sector framework</w:t>
            </w:r>
          </w:p>
        </w:tc>
        <w:tc>
          <w:tcPr>
            <w:tcW w:w="972" w:type="dxa"/>
            <w:shd w:val="clear" w:color="auto" w:fill="92D050"/>
            <w:noWrap/>
          </w:tcPr>
          <w:p w14:paraId="45E7511B" w14:textId="77777777" w:rsidR="00083CB0" w:rsidRPr="00083CB0" w:rsidRDefault="00083CB0" w:rsidP="00083CB0">
            <w:pPr>
              <w:pStyle w:val="TableTextEntries"/>
            </w:pPr>
            <w:r w:rsidRPr="00083CB0">
              <w:t>Green</w:t>
            </w:r>
          </w:p>
        </w:tc>
        <w:tc>
          <w:tcPr>
            <w:tcW w:w="1021" w:type="dxa"/>
            <w:shd w:val="clear" w:color="auto" w:fill="92D050"/>
            <w:noWrap/>
          </w:tcPr>
          <w:p w14:paraId="09E3854B" w14:textId="77777777" w:rsidR="00083CB0" w:rsidRPr="00083CB0" w:rsidRDefault="00083CB0" w:rsidP="00083CB0">
            <w:pPr>
              <w:pStyle w:val="TableTextEntries"/>
            </w:pPr>
            <w:r w:rsidRPr="00083CB0">
              <w:t>Green</w:t>
            </w:r>
          </w:p>
        </w:tc>
      </w:tr>
      <w:tr w:rsidR="00083CB0" w:rsidRPr="009D53C4" w14:paraId="4FE0F673"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29" w:type="dxa"/>
          </w:tcPr>
          <w:p w14:paraId="76B6FA3D" w14:textId="77777777" w:rsidR="00083CB0" w:rsidRDefault="00083CB0" w:rsidP="00443639">
            <w:pPr>
              <w:pStyle w:val="TableTextEntries"/>
            </w:pPr>
            <w:r w:rsidRPr="0019341B">
              <w:rPr>
                <w:b/>
              </w:rPr>
              <w:t>Trade and investment</w:t>
            </w:r>
            <w:r>
              <w:rPr>
                <w:b/>
              </w:rPr>
              <w:t xml:space="preserve">: </w:t>
            </w:r>
          </w:p>
        </w:tc>
        <w:tc>
          <w:tcPr>
            <w:tcW w:w="972" w:type="dxa"/>
            <w:shd w:val="clear" w:color="auto" w:fill="auto"/>
            <w:noWrap/>
          </w:tcPr>
          <w:p w14:paraId="64AAFFA7" w14:textId="77777777" w:rsidR="00083CB0" w:rsidRPr="00443639" w:rsidRDefault="00083CB0" w:rsidP="00443639">
            <w:pPr>
              <w:pStyle w:val="TableTextEntries"/>
              <w:jc w:val="center"/>
              <w:rPr>
                <w:color w:val="FFFFFF" w:themeColor="background1"/>
              </w:rPr>
            </w:pPr>
          </w:p>
        </w:tc>
        <w:tc>
          <w:tcPr>
            <w:tcW w:w="1021" w:type="dxa"/>
            <w:shd w:val="clear" w:color="auto" w:fill="auto"/>
            <w:noWrap/>
          </w:tcPr>
          <w:p w14:paraId="2273CF35" w14:textId="77777777" w:rsidR="00083CB0" w:rsidRPr="00443639" w:rsidRDefault="00083CB0" w:rsidP="00443639">
            <w:pPr>
              <w:pStyle w:val="TableTextEntries"/>
              <w:jc w:val="center"/>
              <w:rPr>
                <w:color w:val="FFFFFF" w:themeColor="background1"/>
              </w:rPr>
            </w:pPr>
          </w:p>
        </w:tc>
      </w:tr>
      <w:tr w:rsidR="00083CB0" w:rsidRPr="009D53C4" w14:paraId="7ED228C3" w14:textId="77777777" w:rsidTr="00083CB0">
        <w:trPr>
          <w:cantSplit/>
          <w:tblHeader w:val="0"/>
        </w:trPr>
        <w:tc>
          <w:tcPr>
            <w:tcW w:w="6029" w:type="dxa"/>
          </w:tcPr>
          <w:p w14:paraId="045B7D96" w14:textId="77777777" w:rsidR="00083CB0" w:rsidRPr="001F416C" w:rsidRDefault="00083CB0" w:rsidP="00083CB0">
            <w:pPr>
              <w:pStyle w:val="TableHeading2"/>
              <w:rPr>
                <w:b w:val="0"/>
              </w:rPr>
            </w:pPr>
            <w:r w:rsidRPr="001F416C">
              <w:t>Development outcome: increased trade and investment in sectors which support poverty reduction</w:t>
            </w:r>
          </w:p>
        </w:tc>
        <w:tc>
          <w:tcPr>
            <w:tcW w:w="972" w:type="dxa"/>
            <w:shd w:val="clear" w:color="auto" w:fill="auto"/>
            <w:noWrap/>
          </w:tcPr>
          <w:p w14:paraId="44ED94DF" w14:textId="77777777" w:rsidR="00083CB0" w:rsidRPr="00443639" w:rsidRDefault="00083CB0" w:rsidP="00443639">
            <w:pPr>
              <w:pStyle w:val="TableTextEntries"/>
              <w:jc w:val="center"/>
              <w:rPr>
                <w:color w:val="FFFFFF" w:themeColor="background1"/>
              </w:rPr>
            </w:pPr>
          </w:p>
        </w:tc>
        <w:tc>
          <w:tcPr>
            <w:tcW w:w="1021" w:type="dxa"/>
            <w:shd w:val="clear" w:color="auto" w:fill="auto"/>
            <w:noWrap/>
          </w:tcPr>
          <w:p w14:paraId="482998A7" w14:textId="77777777" w:rsidR="00083CB0" w:rsidRPr="00443639" w:rsidRDefault="00083CB0" w:rsidP="00443639">
            <w:pPr>
              <w:pStyle w:val="TableTextEntries"/>
              <w:jc w:val="center"/>
              <w:rPr>
                <w:color w:val="FFFFFF" w:themeColor="background1"/>
              </w:rPr>
            </w:pPr>
          </w:p>
        </w:tc>
      </w:tr>
      <w:tr w:rsidR="00083CB0" w:rsidRPr="009D53C4" w14:paraId="1C332442"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29" w:type="dxa"/>
          </w:tcPr>
          <w:p w14:paraId="5F72C8D5" w14:textId="13EBF944" w:rsidR="00083CB0" w:rsidRPr="00083CB0" w:rsidRDefault="00083CB0" w:rsidP="00083CB0">
            <w:pPr>
              <w:pStyle w:val="TableTextEntries"/>
            </w:pPr>
            <w:r w:rsidRPr="00083CB0">
              <w:t>Objective 3: Policy and institutional impediments to trade and investment addressed in sectors that contribute to inclusive growth</w:t>
            </w:r>
          </w:p>
        </w:tc>
        <w:tc>
          <w:tcPr>
            <w:tcW w:w="972" w:type="dxa"/>
            <w:shd w:val="clear" w:color="auto" w:fill="92D050"/>
            <w:noWrap/>
          </w:tcPr>
          <w:p w14:paraId="518F874B" w14:textId="77777777" w:rsidR="00083CB0" w:rsidRPr="00083CB0" w:rsidRDefault="00083CB0" w:rsidP="00083CB0">
            <w:pPr>
              <w:pStyle w:val="TableTextEntries"/>
            </w:pPr>
            <w:r w:rsidRPr="00083CB0">
              <w:t>Green</w:t>
            </w:r>
          </w:p>
        </w:tc>
        <w:tc>
          <w:tcPr>
            <w:tcW w:w="1021" w:type="dxa"/>
            <w:shd w:val="clear" w:color="auto" w:fill="92D050"/>
            <w:noWrap/>
          </w:tcPr>
          <w:p w14:paraId="3F9397CB" w14:textId="77777777" w:rsidR="00083CB0" w:rsidRPr="00083CB0" w:rsidRDefault="00083CB0" w:rsidP="00083CB0">
            <w:pPr>
              <w:pStyle w:val="TableTextEntries"/>
            </w:pPr>
            <w:r w:rsidRPr="00083CB0">
              <w:t>Green</w:t>
            </w:r>
          </w:p>
        </w:tc>
      </w:tr>
      <w:tr w:rsidR="00083CB0" w:rsidRPr="0019341B" w14:paraId="59DF689D" w14:textId="77777777" w:rsidTr="00083CB0">
        <w:trPr>
          <w:gridAfter w:val="1"/>
          <w:wAfter w:w="1021" w:type="dxa"/>
          <w:cantSplit/>
          <w:tblHeader w:val="0"/>
        </w:trPr>
        <w:tc>
          <w:tcPr>
            <w:tcW w:w="6029" w:type="dxa"/>
          </w:tcPr>
          <w:p w14:paraId="11A89D93" w14:textId="77777777" w:rsidR="00083CB0" w:rsidRPr="0019341B" w:rsidRDefault="00083CB0" w:rsidP="00083CB0">
            <w:pPr>
              <w:pStyle w:val="TableHeading1"/>
            </w:pPr>
            <w:r w:rsidRPr="0019341B">
              <w:t>Rural development</w:t>
            </w:r>
          </w:p>
        </w:tc>
        <w:tc>
          <w:tcPr>
            <w:tcW w:w="972" w:type="dxa"/>
          </w:tcPr>
          <w:p w14:paraId="126C254B" w14:textId="77777777" w:rsidR="00083CB0" w:rsidRPr="0019341B" w:rsidRDefault="00083CB0" w:rsidP="001F416C">
            <w:pPr>
              <w:pStyle w:val="TableTextEntries"/>
              <w:rPr>
                <w:b/>
              </w:rPr>
            </w:pPr>
          </w:p>
        </w:tc>
      </w:tr>
      <w:tr w:rsidR="00083CB0" w:rsidRPr="009D53C4" w14:paraId="066B54AC"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29" w:type="dxa"/>
          </w:tcPr>
          <w:p w14:paraId="6ABD3BFB" w14:textId="77777777" w:rsidR="00083CB0" w:rsidRPr="001F416C" w:rsidRDefault="00083CB0" w:rsidP="00083CB0">
            <w:pPr>
              <w:pStyle w:val="TableHeading2"/>
            </w:pPr>
            <w:r w:rsidRPr="001F416C">
              <w:t>Development outcome: less than quarter of the population living below the poverty line</w:t>
            </w:r>
          </w:p>
        </w:tc>
        <w:tc>
          <w:tcPr>
            <w:tcW w:w="972" w:type="dxa"/>
            <w:shd w:val="clear" w:color="auto" w:fill="auto"/>
            <w:noWrap/>
          </w:tcPr>
          <w:p w14:paraId="78B2EA11" w14:textId="77777777" w:rsidR="00083CB0" w:rsidRPr="00443639" w:rsidRDefault="00083CB0" w:rsidP="00443639">
            <w:pPr>
              <w:pStyle w:val="TableTextEntries"/>
              <w:jc w:val="center"/>
              <w:rPr>
                <w:color w:val="FFFFFF" w:themeColor="background1"/>
              </w:rPr>
            </w:pPr>
          </w:p>
        </w:tc>
        <w:tc>
          <w:tcPr>
            <w:tcW w:w="1021" w:type="dxa"/>
            <w:shd w:val="clear" w:color="auto" w:fill="auto"/>
            <w:noWrap/>
          </w:tcPr>
          <w:p w14:paraId="2D71EBAF" w14:textId="77777777" w:rsidR="00083CB0" w:rsidRPr="00351D7A" w:rsidRDefault="00083CB0" w:rsidP="00443639">
            <w:pPr>
              <w:pStyle w:val="TableTextEntries"/>
              <w:jc w:val="center"/>
            </w:pPr>
          </w:p>
        </w:tc>
      </w:tr>
      <w:tr w:rsidR="00083CB0" w:rsidRPr="009D53C4" w14:paraId="11333D91" w14:textId="77777777" w:rsidTr="00083CB0">
        <w:trPr>
          <w:cantSplit/>
          <w:tblHeader w:val="0"/>
        </w:trPr>
        <w:tc>
          <w:tcPr>
            <w:tcW w:w="6029" w:type="dxa"/>
          </w:tcPr>
          <w:p w14:paraId="5E9C0886" w14:textId="5EC6652A" w:rsidR="00083CB0" w:rsidRPr="00083CB0" w:rsidRDefault="00083CB0" w:rsidP="00083CB0">
            <w:pPr>
              <w:pStyle w:val="TableTextEntries"/>
            </w:pPr>
            <w:r w:rsidRPr="00083CB0">
              <w:t>Objective 4: Delivery and modelling of effective programs that result in equitable and sustainable improvements to livelihoods in targeted geographic areas</w:t>
            </w:r>
          </w:p>
        </w:tc>
        <w:tc>
          <w:tcPr>
            <w:tcW w:w="972" w:type="dxa"/>
            <w:shd w:val="clear" w:color="auto" w:fill="92D050"/>
            <w:noWrap/>
          </w:tcPr>
          <w:p w14:paraId="22FFE5CE" w14:textId="77777777" w:rsidR="00083CB0" w:rsidRPr="00083CB0" w:rsidRDefault="00083CB0" w:rsidP="00083CB0">
            <w:pPr>
              <w:pStyle w:val="TableTextEntries"/>
            </w:pPr>
            <w:r w:rsidRPr="00083CB0">
              <w:t>Green</w:t>
            </w:r>
          </w:p>
        </w:tc>
        <w:tc>
          <w:tcPr>
            <w:tcW w:w="1021" w:type="dxa"/>
            <w:shd w:val="clear" w:color="auto" w:fill="92D050"/>
            <w:noWrap/>
          </w:tcPr>
          <w:p w14:paraId="386B8DFF" w14:textId="77777777" w:rsidR="00083CB0" w:rsidRPr="00083CB0" w:rsidRDefault="00083CB0" w:rsidP="00083CB0">
            <w:pPr>
              <w:pStyle w:val="TableTextEntries"/>
            </w:pPr>
            <w:r w:rsidRPr="00083CB0">
              <w:t>Green</w:t>
            </w:r>
          </w:p>
        </w:tc>
      </w:tr>
      <w:tr w:rsidR="00083CB0" w:rsidRPr="009D53C4" w14:paraId="43C1D8C2" w14:textId="77777777" w:rsidTr="00083CB0">
        <w:trPr>
          <w:cnfStyle w:val="000000010000" w:firstRow="0" w:lastRow="0" w:firstColumn="0" w:lastColumn="0" w:oddVBand="0" w:evenVBand="0" w:oddHBand="0" w:evenHBand="1" w:firstRowFirstColumn="0" w:firstRowLastColumn="0" w:lastRowFirstColumn="0" w:lastRowLastColumn="0"/>
          <w:cantSplit/>
          <w:tblHeader w:val="0"/>
        </w:trPr>
        <w:tc>
          <w:tcPr>
            <w:tcW w:w="6029" w:type="dxa"/>
          </w:tcPr>
          <w:p w14:paraId="75CD938D" w14:textId="24F33C68" w:rsidR="00083CB0" w:rsidRPr="00083CB0" w:rsidRDefault="00083CB0" w:rsidP="00083CB0">
            <w:pPr>
              <w:pStyle w:val="TableTextEntries"/>
            </w:pPr>
            <w:r w:rsidRPr="00083CB0">
              <w:t>Objective 5: Improved prioritisation, deliver</w:t>
            </w:r>
            <w:r w:rsidR="007C457E">
              <w:t>y</w:t>
            </w:r>
            <w:r w:rsidRPr="00083CB0">
              <w:t xml:space="preserve"> efficiency and coordination of mine action resources</w:t>
            </w:r>
          </w:p>
        </w:tc>
        <w:tc>
          <w:tcPr>
            <w:tcW w:w="972" w:type="dxa"/>
            <w:shd w:val="clear" w:color="auto" w:fill="92D050"/>
            <w:noWrap/>
          </w:tcPr>
          <w:p w14:paraId="6AA28B0C" w14:textId="77777777" w:rsidR="00083CB0" w:rsidRPr="00083CB0" w:rsidRDefault="00083CB0" w:rsidP="00083CB0">
            <w:pPr>
              <w:pStyle w:val="TableTextEntries"/>
            </w:pPr>
            <w:r w:rsidRPr="00083CB0">
              <w:t>Green</w:t>
            </w:r>
          </w:p>
        </w:tc>
        <w:tc>
          <w:tcPr>
            <w:tcW w:w="1021" w:type="dxa"/>
            <w:shd w:val="clear" w:color="auto" w:fill="92D050"/>
            <w:noWrap/>
          </w:tcPr>
          <w:p w14:paraId="0C235D60" w14:textId="77777777" w:rsidR="00083CB0" w:rsidRPr="00083CB0" w:rsidRDefault="00083CB0" w:rsidP="00083CB0">
            <w:pPr>
              <w:pStyle w:val="TableTextEntries"/>
            </w:pPr>
            <w:r w:rsidRPr="00083CB0">
              <w:t>Green</w:t>
            </w:r>
          </w:p>
        </w:tc>
      </w:tr>
      <w:tr w:rsidR="00083CB0" w:rsidRPr="009D53C4" w14:paraId="2C293D73" w14:textId="77777777" w:rsidTr="00083CB0">
        <w:trPr>
          <w:cantSplit/>
          <w:tblHeader w:val="0"/>
        </w:trPr>
        <w:tc>
          <w:tcPr>
            <w:tcW w:w="6029" w:type="dxa"/>
          </w:tcPr>
          <w:p w14:paraId="7EA55CBF" w14:textId="0ABBB680" w:rsidR="00083CB0" w:rsidRPr="00083CB0" w:rsidRDefault="00083CB0" w:rsidP="00083CB0">
            <w:pPr>
              <w:pStyle w:val="TableTextEntries"/>
            </w:pPr>
            <w:r w:rsidRPr="00083CB0">
              <w:t>Objective 6: Improved rural infrastructure, particularly roads and electrification</w:t>
            </w:r>
          </w:p>
        </w:tc>
        <w:tc>
          <w:tcPr>
            <w:tcW w:w="972" w:type="dxa"/>
            <w:shd w:val="clear" w:color="auto" w:fill="F79646" w:themeFill="accent6"/>
            <w:noWrap/>
          </w:tcPr>
          <w:p w14:paraId="28E3F629" w14:textId="77777777" w:rsidR="00083CB0" w:rsidRPr="00083CB0" w:rsidRDefault="00083CB0" w:rsidP="00083CB0">
            <w:pPr>
              <w:pStyle w:val="TableTextEntries"/>
            </w:pPr>
            <w:r w:rsidRPr="00083CB0">
              <w:t>Amber</w:t>
            </w:r>
          </w:p>
        </w:tc>
        <w:tc>
          <w:tcPr>
            <w:tcW w:w="1021" w:type="dxa"/>
            <w:shd w:val="clear" w:color="auto" w:fill="F79646" w:themeFill="accent6"/>
            <w:noWrap/>
          </w:tcPr>
          <w:p w14:paraId="3371B493" w14:textId="77777777" w:rsidR="00083CB0" w:rsidRPr="00083CB0" w:rsidRDefault="00083CB0" w:rsidP="00083CB0">
            <w:pPr>
              <w:pStyle w:val="TableTextEntries"/>
            </w:pPr>
            <w:r w:rsidRPr="00083CB0">
              <w:t>Amber</w:t>
            </w:r>
          </w:p>
        </w:tc>
      </w:tr>
    </w:tbl>
    <w:p w14:paraId="45273AA5" w14:textId="77777777" w:rsidR="00180B19" w:rsidRPr="00180B19" w:rsidRDefault="00180B19" w:rsidP="003E5B0C">
      <w:pPr>
        <w:pStyle w:val="Note"/>
      </w:pPr>
      <w:r w:rsidRPr="00180B19">
        <w:t xml:space="preserve">Note: </w:t>
      </w:r>
    </w:p>
    <w:p w14:paraId="0D01ABEE" w14:textId="77777777" w:rsidR="00180B19" w:rsidRPr="00180B19" w:rsidRDefault="00180B19" w:rsidP="003E5B0C">
      <w:pPr>
        <w:pStyle w:val="Note"/>
      </w:pPr>
      <w:r w:rsidRPr="000E11DC">
        <w:rPr>
          <w:color w:val="92D050"/>
        </w:rPr>
        <w:sym w:font="Webdings" w:char="F067"/>
      </w:r>
      <w:r w:rsidRPr="00180B19">
        <w:t> </w:t>
      </w:r>
      <w:r w:rsidRPr="00180B19">
        <w:t xml:space="preserve"> </w:t>
      </w:r>
      <w:proofErr w:type="gramStart"/>
      <w:r w:rsidR="00443639">
        <w:t>Green.</w:t>
      </w:r>
      <w:proofErr w:type="gramEnd"/>
      <w:r w:rsidR="00443639">
        <w:t xml:space="preserve"> </w:t>
      </w:r>
      <w:r w:rsidRPr="00180B19">
        <w:t>Progress is as expected for this point in time and it is likely that the objective will be achieved. Standard program management practices are sufficient.</w:t>
      </w:r>
    </w:p>
    <w:p w14:paraId="142D70BA" w14:textId="77777777" w:rsidR="00180B19" w:rsidRPr="00180B19" w:rsidRDefault="00180B19" w:rsidP="003E5B0C">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2E4A49F1" w14:textId="77777777" w:rsidR="00180B19" w:rsidRPr="00180B19" w:rsidRDefault="00180B19" w:rsidP="003E5B0C">
      <w:pPr>
        <w:pStyle w:val="Note"/>
      </w:pPr>
      <w:r w:rsidRPr="004C4A3E">
        <w:rPr>
          <w:color w:val="FF0000"/>
        </w:rPr>
        <w:sym w:font="Webdings" w:char="F067"/>
      </w:r>
      <w:r w:rsidRPr="00180B19">
        <w:t> </w:t>
      </w:r>
      <w:r w:rsidRPr="00180B19">
        <w:t xml:space="preserve"> </w:t>
      </w:r>
      <w:proofErr w:type="gramStart"/>
      <w:r w:rsidR="00443639">
        <w:t>Red.</w:t>
      </w:r>
      <w:proofErr w:type="gramEnd"/>
      <w:r w:rsidR="00443639">
        <w:t xml:space="preserve"> </w:t>
      </w:r>
      <w:r w:rsidRPr="00180B19">
        <w:t xml:space="preserve">Progress is significantly less than expected for this point in time and the objective is not likely to be met given available resources and priorities. Recasting the objective may be required. </w:t>
      </w:r>
    </w:p>
    <w:p w14:paraId="73036921" w14:textId="77777777" w:rsidR="005F34AB" w:rsidRPr="00083CB0" w:rsidRDefault="005F34AB" w:rsidP="00083CB0">
      <w:pPr>
        <w:pStyle w:val="Heading2"/>
      </w:pPr>
      <w:r w:rsidRPr="00083CB0">
        <w:t>Education</w:t>
      </w:r>
    </w:p>
    <w:p w14:paraId="64E51B3C" w14:textId="67C1F6CE" w:rsidR="002D3AE0" w:rsidRPr="00083CB0" w:rsidRDefault="00B03FDB" w:rsidP="00083CB0">
      <w:pPr>
        <w:pStyle w:val="BodyText"/>
      </w:pPr>
      <w:r w:rsidRPr="00083CB0">
        <w:t>Laos is unlikely to meet MDG2 (universal basic education</w:t>
      </w:r>
      <w:r w:rsidR="00651282" w:rsidRPr="00083CB0">
        <w:t>)</w:t>
      </w:r>
      <w:r w:rsidRPr="00083CB0">
        <w:t xml:space="preserve"> or MDG3 (gender equality in education</w:t>
      </w:r>
      <w:r w:rsidR="00A259F3" w:rsidRPr="00083CB0">
        <w:t>)</w:t>
      </w:r>
      <w:r w:rsidRPr="00083CB0">
        <w:t xml:space="preserve">. </w:t>
      </w:r>
      <w:r w:rsidR="00634124" w:rsidRPr="00083CB0">
        <w:t xml:space="preserve">It </w:t>
      </w:r>
      <w:r w:rsidR="002D3AE0" w:rsidRPr="00083CB0">
        <w:t>is on track</w:t>
      </w:r>
      <w:r w:rsidRPr="00083CB0">
        <w:t xml:space="preserve"> ho</w:t>
      </w:r>
      <w:r w:rsidR="002D3AE0" w:rsidRPr="00083CB0">
        <w:t xml:space="preserve">wever, to </w:t>
      </w:r>
      <w:r w:rsidR="00A259F3" w:rsidRPr="00083CB0">
        <w:t>meet one of the t</w:t>
      </w:r>
      <w:r w:rsidRPr="00083CB0">
        <w:t xml:space="preserve">argets under MDG2 on universal net enrolment of all boys and girls in primary education by 2015. The </w:t>
      </w:r>
      <w:r w:rsidR="00651282" w:rsidRPr="00083CB0">
        <w:t xml:space="preserve">net enrolment rate </w:t>
      </w:r>
      <w:r w:rsidR="00A259F3" w:rsidRPr="00083CB0">
        <w:t>increased to 96.8</w:t>
      </w:r>
      <w:r w:rsidR="002A68B5" w:rsidRPr="00083CB0">
        <w:t xml:space="preserve"> </w:t>
      </w:r>
      <w:r w:rsidR="00A259F3" w:rsidRPr="00083CB0">
        <w:t>per</w:t>
      </w:r>
      <w:r w:rsidR="002A68B5" w:rsidRPr="00083CB0">
        <w:t xml:space="preserve"> </w:t>
      </w:r>
      <w:r w:rsidR="00A259F3" w:rsidRPr="00083CB0">
        <w:t>cent in 2012</w:t>
      </w:r>
      <w:r w:rsidR="00651282" w:rsidRPr="00083CB0">
        <w:t>–</w:t>
      </w:r>
      <w:r w:rsidR="00A259F3" w:rsidRPr="00083CB0">
        <w:t xml:space="preserve">13, </w:t>
      </w:r>
      <w:r w:rsidR="00951CF3" w:rsidRPr="00083CB0">
        <w:t>up from 94</w:t>
      </w:r>
      <w:r w:rsidR="002A68B5" w:rsidRPr="00083CB0">
        <w:t xml:space="preserve"> </w:t>
      </w:r>
      <w:r w:rsidR="00951CF3" w:rsidRPr="00083CB0">
        <w:t>per</w:t>
      </w:r>
      <w:r w:rsidR="002A68B5" w:rsidRPr="00083CB0">
        <w:t xml:space="preserve"> </w:t>
      </w:r>
      <w:r w:rsidR="00951CF3" w:rsidRPr="00083CB0">
        <w:t>cent in 2010</w:t>
      </w:r>
      <w:r w:rsidR="00651282" w:rsidRPr="00083CB0">
        <w:t>–</w:t>
      </w:r>
      <w:r w:rsidR="00951CF3" w:rsidRPr="00083CB0">
        <w:t>11.</w:t>
      </w:r>
    </w:p>
    <w:p w14:paraId="4452BD90" w14:textId="17008997" w:rsidR="00ED73D7" w:rsidRPr="00083CB0" w:rsidRDefault="00A259F3" w:rsidP="00083CB0">
      <w:pPr>
        <w:pStyle w:val="BodyText"/>
      </w:pPr>
      <w:r w:rsidRPr="00083CB0">
        <w:t xml:space="preserve">High </w:t>
      </w:r>
      <w:r w:rsidR="006E5837" w:rsidRPr="00083CB0">
        <w:t xml:space="preserve">student </w:t>
      </w:r>
      <w:r w:rsidRPr="00083CB0">
        <w:t xml:space="preserve">dropout rates in </w:t>
      </w:r>
      <w:r w:rsidR="00651282" w:rsidRPr="00083CB0">
        <w:t xml:space="preserve">grade </w:t>
      </w:r>
      <w:r w:rsidRPr="00083CB0">
        <w:t xml:space="preserve">1 and low </w:t>
      </w:r>
      <w:r w:rsidR="006E5837" w:rsidRPr="00083CB0">
        <w:t xml:space="preserve">student </w:t>
      </w:r>
      <w:r w:rsidRPr="00083CB0">
        <w:t xml:space="preserve">retention rates to </w:t>
      </w:r>
      <w:r w:rsidR="00651282" w:rsidRPr="00083CB0">
        <w:t xml:space="preserve">grade </w:t>
      </w:r>
      <w:r w:rsidRPr="00083CB0">
        <w:t xml:space="preserve">5 are seriously </w:t>
      </w:r>
      <w:r w:rsidR="002D3AE0" w:rsidRPr="00083CB0">
        <w:t>undermining gains made on enrolments</w:t>
      </w:r>
      <w:r w:rsidR="00443ECF" w:rsidRPr="00083CB0">
        <w:t>. There was only slight improvement in retention rates in 2012</w:t>
      </w:r>
      <w:r w:rsidR="00651282" w:rsidRPr="00083CB0">
        <w:t>–</w:t>
      </w:r>
      <w:r w:rsidR="00443ECF" w:rsidRPr="00083CB0">
        <w:t xml:space="preserve">13, which increased </w:t>
      </w:r>
      <w:r w:rsidR="00E1120C" w:rsidRPr="00083CB0">
        <w:t xml:space="preserve">to </w:t>
      </w:r>
      <w:r w:rsidR="00443ECF" w:rsidRPr="00083CB0">
        <w:t>71</w:t>
      </w:r>
      <w:r w:rsidR="00543D65" w:rsidRPr="00083CB0">
        <w:t xml:space="preserve"> </w:t>
      </w:r>
      <w:r w:rsidR="00443ECF" w:rsidRPr="00083CB0">
        <w:t>per</w:t>
      </w:r>
      <w:r w:rsidR="00543D65" w:rsidRPr="00083CB0">
        <w:t xml:space="preserve"> </w:t>
      </w:r>
      <w:r w:rsidR="00443ECF" w:rsidRPr="00083CB0">
        <w:t>cent</w:t>
      </w:r>
      <w:r w:rsidR="00E1120C" w:rsidRPr="00083CB0">
        <w:t xml:space="preserve">, representing a </w:t>
      </w:r>
      <w:r w:rsidR="00651282" w:rsidRPr="00083CB0">
        <w:t xml:space="preserve">three </w:t>
      </w:r>
      <w:r w:rsidR="00E1120C" w:rsidRPr="00083CB0">
        <w:t>per</w:t>
      </w:r>
      <w:r w:rsidR="00543D65" w:rsidRPr="00083CB0">
        <w:t xml:space="preserve"> </w:t>
      </w:r>
      <w:r w:rsidR="00E1120C" w:rsidRPr="00083CB0">
        <w:t>cent rise from 2010</w:t>
      </w:r>
      <w:r w:rsidR="00651282" w:rsidRPr="00083CB0">
        <w:t>–</w:t>
      </w:r>
      <w:r w:rsidR="00E1120C" w:rsidRPr="00083CB0">
        <w:t>11</w:t>
      </w:r>
      <w:r w:rsidR="00443ECF" w:rsidRPr="00083CB0">
        <w:t>.</w:t>
      </w:r>
      <w:r w:rsidR="00966D95" w:rsidRPr="00083CB0">
        <w:t xml:space="preserve"> </w:t>
      </w:r>
      <w:r w:rsidR="00E1120C" w:rsidRPr="00083CB0">
        <w:lastRenderedPageBreak/>
        <w:t>G</w:t>
      </w:r>
      <w:r w:rsidR="00ED73D7" w:rsidRPr="00083CB0">
        <w:t xml:space="preserve">ender parity is on track at primary school </w:t>
      </w:r>
      <w:r w:rsidR="005975E1" w:rsidRPr="00083CB0">
        <w:t xml:space="preserve">level with a gender parity ratio of </w:t>
      </w:r>
      <w:r w:rsidR="001F4C5B" w:rsidRPr="00083CB0">
        <w:t>0.9</w:t>
      </w:r>
      <w:r w:rsidR="00EE46F2" w:rsidRPr="00083CB0">
        <w:t>5</w:t>
      </w:r>
      <w:r w:rsidR="001F4C5B" w:rsidRPr="00C645CE">
        <w:rPr>
          <w:rStyle w:val="FootnoteReference"/>
          <w:position w:val="0"/>
          <w:sz w:val="20"/>
          <w:szCs w:val="24"/>
          <w:vertAlign w:val="superscript"/>
        </w:rPr>
        <w:footnoteReference w:id="17"/>
      </w:r>
      <w:r w:rsidR="001F4C5B" w:rsidRPr="00083CB0">
        <w:t xml:space="preserve"> for 2012</w:t>
      </w:r>
      <w:r w:rsidR="00651282" w:rsidRPr="00083CB0">
        <w:t>–</w:t>
      </w:r>
      <w:r w:rsidR="001F4C5B" w:rsidRPr="00083CB0">
        <w:t>13, a 0.</w:t>
      </w:r>
      <w:r w:rsidR="00EE46F2" w:rsidRPr="00083CB0">
        <w:t>04</w:t>
      </w:r>
      <w:r w:rsidR="001F4C5B" w:rsidRPr="00083CB0">
        <w:t xml:space="preserve"> increase from 2010</w:t>
      </w:r>
      <w:r w:rsidR="00651282" w:rsidRPr="00083CB0">
        <w:t>–</w:t>
      </w:r>
      <w:r w:rsidR="001F4C5B" w:rsidRPr="00083CB0">
        <w:t>11.</w:t>
      </w:r>
    </w:p>
    <w:p w14:paraId="353F2550" w14:textId="43A59E06" w:rsidR="00D85392" w:rsidRPr="00083CB0" w:rsidRDefault="00651282" w:rsidP="00083CB0">
      <w:pPr>
        <w:pStyle w:val="BodyText"/>
      </w:pPr>
      <w:r w:rsidRPr="00083CB0">
        <w:t>During the reporting period,</w:t>
      </w:r>
      <w:r w:rsidR="002A68B5" w:rsidRPr="00083CB0">
        <w:t xml:space="preserve"> </w:t>
      </w:r>
      <w:r w:rsidR="006D7B85" w:rsidRPr="00083CB0">
        <w:t>the 18</w:t>
      </w:r>
      <w:r w:rsidR="009E3243" w:rsidRPr="00083CB0">
        <w:t xml:space="preserve"> </w:t>
      </w:r>
      <w:r w:rsidR="00983017" w:rsidRPr="00083CB0">
        <w:t>per cent</w:t>
      </w:r>
      <w:r w:rsidR="006D7B85" w:rsidRPr="00083CB0">
        <w:t xml:space="preserve"> target for budget allocation stipulated in the </w:t>
      </w:r>
      <w:r w:rsidR="00951CF3" w:rsidRPr="00083CB0">
        <w:t xml:space="preserve">Lao Government’s </w:t>
      </w:r>
      <w:r w:rsidR="00CC70F8" w:rsidRPr="00083CB0">
        <w:t>Education Law (2007)</w:t>
      </w:r>
      <w:r w:rsidRPr="00083CB0">
        <w:t xml:space="preserve"> was achieved</w:t>
      </w:r>
      <w:r w:rsidR="00CC70F8" w:rsidRPr="00083CB0">
        <w:t xml:space="preserve">. </w:t>
      </w:r>
      <w:r w:rsidR="006D7B85" w:rsidRPr="00083CB0">
        <w:t>This represents a large and rapid increase in the budget share to education, which was at 11.4</w:t>
      </w:r>
      <w:r w:rsidR="00951CF3" w:rsidRPr="00083CB0">
        <w:t xml:space="preserve"> </w:t>
      </w:r>
      <w:r w:rsidR="00983017" w:rsidRPr="00083CB0">
        <w:t>per cent</w:t>
      </w:r>
      <w:r w:rsidR="00966D95" w:rsidRPr="00083CB0">
        <w:t xml:space="preserve"> in 2011</w:t>
      </w:r>
      <w:r w:rsidRPr="00083CB0">
        <w:t>–</w:t>
      </w:r>
      <w:r w:rsidR="00966D95" w:rsidRPr="00083CB0">
        <w:t>12.</w:t>
      </w:r>
      <w:r w:rsidR="002A68B5" w:rsidRPr="00083CB0">
        <w:t xml:space="preserve"> </w:t>
      </w:r>
      <w:r w:rsidR="00CC70F8" w:rsidRPr="00083CB0">
        <w:t xml:space="preserve">The rise </w:t>
      </w:r>
      <w:r w:rsidR="006D7B85" w:rsidRPr="00083CB0">
        <w:t>is due to the introduction in 2012 of salary increases for teachers and a school administration block grants scheme to primary schools.</w:t>
      </w:r>
      <w:r w:rsidR="006D7B85" w:rsidRPr="00C645CE">
        <w:rPr>
          <w:rStyle w:val="FootnoteReference"/>
          <w:position w:val="0"/>
          <w:sz w:val="20"/>
          <w:szCs w:val="24"/>
          <w:vertAlign w:val="superscript"/>
        </w:rPr>
        <w:footnoteReference w:id="18"/>
      </w:r>
      <w:r w:rsidR="00B51DFB" w:rsidRPr="00083CB0">
        <w:t xml:space="preserve"> </w:t>
      </w:r>
      <w:r w:rsidR="009C02EA" w:rsidRPr="00083CB0">
        <w:t>This</w:t>
      </w:r>
      <w:r w:rsidR="00D85392" w:rsidRPr="00083CB0">
        <w:t xml:space="preserve"> </w:t>
      </w:r>
      <w:r w:rsidR="009C02EA" w:rsidRPr="00083CB0">
        <w:t xml:space="preserve">budget </w:t>
      </w:r>
      <w:r w:rsidR="00D85392" w:rsidRPr="00083CB0">
        <w:t>in</w:t>
      </w:r>
      <w:r w:rsidR="009C02EA" w:rsidRPr="00083CB0">
        <w:t xml:space="preserve">crease </w:t>
      </w:r>
      <w:r w:rsidR="00D85392" w:rsidRPr="00083CB0">
        <w:t xml:space="preserve">has been at the expense of the </w:t>
      </w:r>
      <w:r w:rsidR="009C02EA" w:rsidRPr="00083CB0">
        <w:t>non-wage recurrent budget, representing</w:t>
      </w:r>
      <w:r w:rsidR="00D85392" w:rsidRPr="00083CB0">
        <w:t xml:space="preserve"> a risk to investments </w:t>
      </w:r>
      <w:r w:rsidR="00D6556C" w:rsidRPr="00083CB0">
        <w:t>from development partners not being sustained</w:t>
      </w:r>
      <w:r w:rsidR="009C02EA" w:rsidRPr="00083CB0">
        <w:t>, and therefore MDG targets not being met</w:t>
      </w:r>
      <w:r w:rsidR="00D85392" w:rsidRPr="00083CB0">
        <w:t>.</w:t>
      </w:r>
      <w:r w:rsidR="002D2BF5" w:rsidRPr="00083CB0">
        <w:t xml:space="preserve"> </w:t>
      </w:r>
      <w:r w:rsidR="002A68B5" w:rsidRPr="00083CB0">
        <w:t xml:space="preserve">A </w:t>
      </w:r>
      <w:r w:rsidR="00CC70F8" w:rsidRPr="00083CB0">
        <w:t>lack of transparency and accountability in the national budget process</w:t>
      </w:r>
      <w:r w:rsidRPr="00083CB0">
        <w:t xml:space="preserve"> </w:t>
      </w:r>
      <w:r w:rsidR="002A68B5" w:rsidRPr="00083CB0">
        <w:t>however,</w:t>
      </w:r>
      <w:r w:rsidR="00CC70F8" w:rsidRPr="00083CB0">
        <w:t xml:space="preserve"> makes confirming actual budget expenditure for ed</w:t>
      </w:r>
      <w:r w:rsidR="002A68B5" w:rsidRPr="00083CB0">
        <w:t xml:space="preserve">ucation </w:t>
      </w:r>
      <w:r w:rsidR="00CC70F8" w:rsidRPr="00083CB0">
        <w:t>difficult to obtain.</w:t>
      </w:r>
      <w:r w:rsidR="002D2BF5" w:rsidRPr="00083CB0">
        <w:t xml:space="preserve"> </w:t>
      </w:r>
      <w:r w:rsidR="00D80676" w:rsidRPr="00083CB0">
        <w:t xml:space="preserve">More positively, the increase in teacher salaries does represent an </w:t>
      </w:r>
      <w:r w:rsidR="002D2BF5" w:rsidRPr="00083CB0">
        <w:t>opportunity for re-shaping the quality of teaching in Laos</w:t>
      </w:r>
      <w:r w:rsidR="00D80676" w:rsidRPr="00083CB0">
        <w:t xml:space="preserve">, reflected by the </w:t>
      </w:r>
      <w:r w:rsidR="009B2CB6" w:rsidRPr="00083CB0">
        <w:t>Lao G</w:t>
      </w:r>
      <w:r w:rsidR="00D80676" w:rsidRPr="00083CB0">
        <w:t>overnment’s willingness to invest in the resource.</w:t>
      </w:r>
    </w:p>
    <w:p w14:paraId="52874C65" w14:textId="43AC12D6" w:rsidR="00E97126" w:rsidRDefault="00860A81" w:rsidP="00083CB0">
      <w:pPr>
        <w:pStyle w:val="BodyText"/>
      </w:pPr>
      <w:r w:rsidRPr="00083CB0">
        <w:t>The provision (or not) of education services, can be an incentive used by the Lao Government to encourage t</w:t>
      </w:r>
      <w:r w:rsidR="00C27931" w:rsidRPr="00083CB0">
        <w:t>he movement of villages. Australia</w:t>
      </w:r>
      <w:r w:rsidRPr="00083CB0">
        <w:t xml:space="preserve"> will continue to monitor and analyse issues relating to re-settlement </w:t>
      </w:r>
      <w:r w:rsidR="007476A2" w:rsidRPr="00083CB0">
        <w:t>across the education portfolio.</w:t>
      </w:r>
    </w:p>
    <w:p w14:paraId="47160716" w14:textId="71F8CF78" w:rsidR="00083CB0" w:rsidRDefault="003E5B0C" w:rsidP="003E5B0C">
      <w:pPr>
        <w:pStyle w:val="Heading3"/>
      </w:pPr>
      <w:r w:rsidRPr="00083CB0">
        <w:rPr>
          <w:rFonts w:eastAsia="Calibri"/>
        </w:rPr>
        <w:t>Objective 1: Mitigation of key constraints to equitable access to a basic quality education in targeted poor geographic areas</w:t>
      </w:r>
    </w:p>
    <w:tbl>
      <w:tblPr>
        <w:tblStyle w:val="APPR"/>
        <w:tblW w:w="5000" w:type="pct"/>
        <w:tblLook w:val="01E0" w:firstRow="1" w:lastRow="1" w:firstColumn="1" w:lastColumn="1" w:noHBand="0" w:noVBand="0"/>
      </w:tblPr>
      <w:tblGrid>
        <w:gridCol w:w="6894"/>
        <w:gridCol w:w="1712"/>
      </w:tblGrid>
      <w:tr w:rsidR="00083CB0" w:rsidRPr="00745FE3" w14:paraId="25F77A25" w14:textId="77777777" w:rsidTr="00083CB0">
        <w:trPr>
          <w:cnfStyle w:val="100000000000" w:firstRow="1" w:lastRow="0" w:firstColumn="0" w:lastColumn="0" w:oddVBand="0" w:evenVBand="0" w:oddHBand="0" w:evenHBand="0" w:firstRowFirstColumn="0" w:firstRowLastColumn="0" w:lastRowFirstColumn="0" w:lastRowLastColumn="0"/>
        </w:trPr>
        <w:tc>
          <w:tcPr>
            <w:tcW w:w="3981" w:type="pct"/>
          </w:tcPr>
          <w:p w14:paraId="31F8325B" w14:textId="77777777" w:rsidR="00083CB0" w:rsidRPr="00BF2045" w:rsidRDefault="00083CB0" w:rsidP="00083CB0">
            <w:pPr>
              <w:pStyle w:val="TableTextColumnHeading"/>
              <w:rPr>
                <w:rFonts w:eastAsia="Calibri"/>
                <w:b/>
              </w:rPr>
            </w:pPr>
            <w:r w:rsidRPr="00BF2045">
              <w:rPr>
                <w:rFonts w:eastAsia="Calibri"/>
                <w:b/>
              </w:rPr>
              <w:t>Objective</w:t>
            </w:r>
          </w:p>
        </w:tc>
        <w:tc>
          <w:tcPr>
            <w:tcW w:w="970" w:type="pct"/>
          </w:tcPr>
          <w:p w14:paraId="19B092AB" w14:textId="77777777" w:rsidR="00083CB0" w:rsidRPr="00BF2045" w:rsidRDefault="00083CB0" w:rsidP="00083CB0">
            <w:pPr>
              <w:pStyle w:val="TableTextColumnHeading"/>
              <w:rPr>
                <w:rFonts w:eastAsia="Calibri"/>
                <w:b/>
              </w:rPr>
            </w:pPr>
            <w:r w:rsidRPr="00BF2045">
              <w:rPr>
                <w:rFonts w:eastAsia="Calibri"/>
                <w:b/>
              </w:rPr>
              <w:t xml:space="preserve">Current rating </w:t>
            </w:r>
          </w:p>
        </w:tc>
      </w:tr>
      <w:tr w:rsidR="00083CB0" w:rsidRPr="00745FE3" w14:paraId="0ECFF4D9" w14:textId="77777777" w:rsidTr="00083CB0">
        <w:trPr>
          <w:cnfStyle w:val="100000000000" w:firstRow="1" w:lastRow="0" w:firstColumn="0" w:lastColumn="0" w:oddVBand="0" w:evenVBand="0" w:oddHBand="0" w:evenHBand="0" w:firstRowFirstColumn="0" w:firstRowLastColumn="0" w:lastRowFirstColumn="0" w:lastRowLastColumn="0"/>
        </w:trPr>
        <w:tc>
          <w:tcPr>
            <w:tcW w:w="3981" w:type="pct"/>
          </w:tcPr>
          <w:p w14:paraId="2215B6FC" w14:textId="1F530D93" w:rsidR="00083CB0" w:rsidRPr="00BF2045" w:rsidRDefault="00083CB0" w:rsidP="00083CB0">
            <w:pPr>
              <w:pStyle w:val="TableTextEntries"/>
              <w:rPr>
                <w:rFonts w:eastAsia="Calibri"/>
                <w:b w:val="0"/>
              </w:rPr>
            </w:pPr>
            <w:r w:rsidRPr="00083CB0">
              <w:rPr>
                <w:rFonts w:eastAsia="Calibri"/>
                <w:b w:val="0"/>
              </w:rPr>
              <w:t>Objective 1: Mitigation of key constraints to equitable access to a basic quality education in targeted poor geographic areas</w:t>
            </w:r>
          </w:p>
        </w:tc>
        <w:tc>
          <w:tcPr>
            <w:tcW w:w="970" w:type="pct"/>
            <w:shd w:val="clear" w:color="auto" w:fill="F79646" w:themeFill="accent6"/>
          </w:tcPr>
          <w:p w14:paraId="36199759" w14:textId="3EA5BD54" w:rsidR="00083CB0" w:rsidRPr="00BF2045" w:rsidRDefault="00083CB0" w:rsidP="00083CB0">
            <w:pPr>
              <w:pStyle w:val="TableTextEntries"/>
              <w:rPr>
                <w:rFonts w:eastAsia="Calibri"/>
                <w:b w:val="0"/>
              </w:rPr>
            </w:pPr>
            <w:r>
              <w:rPr>
                <w:rFonts w:eastAsia="Calibri"/>
                <w:b w:val="0"/>
              </w:rPr>
              <w:t>amber</w:t>
            </w:r>
          </w:p>
        </w:tc>
      </w:tr>
    </w:tbl>
    <w:p w14:paraId="53B5C4D7" w14:textId="77777777" w:rsidR="001A2426" w:rsidRDefault="001A2426" w:rsidP="00083CB0">
      <w:pPr>
        <w:pStyle w:val="BodyText"/>
        <w:rPr>
          <w:i/>
        </w:rPr>
      </w:pPr>
    </w:p>
    <w:p w14:paraId="0045E748" w14:textId="4E8864AE" w:rsidR="00424357" w:rsidRDefault="00424357" w:rsidP="00083CB0">
      <w:pPr>
        <w:pStyle w:val="BodyText"/>
      </w:pPr>
      <w:r>
        <w:t>All three milestones under th</w:t>
      </w:r>
      <w:r w:rsidR="005975E1">
        <w:t>is objective were partially met</w:t>
      </w:r>
      <w:r w:rsidR="008F6B73" w:rsidRPr="0013397F">
        <w:t>.</w:t>
      </w:r>
      <w:r w:rsidR="007B0C81">
        <w:t xml:space="preserve"> </w:t>
      </w:r>
      <w:r w:rsidR="008A204B">
        <w:t xml:space="preserve">Progress against milestones under this strategy objective </w:t>
      </w:r>
      <w:r w:rsidR="00D80676">
        <w:t xml:space="preserve">was </w:t>
      </w:r>
      <w:r w:rsidR="008A204B">
        <w:t xml:space="preserve">mixed. </w:t>
      </w:r>
      <w:r w:rsidR="00D80676">
        <w:t xml:space="preserve">As this objective is mainly linked to progress of the Education for All: </w:t>
      </w:r>
      <w:r w:rsidR="008A204B">
        <w:t xml:space="preserve">Fast Track </w:t>
      </w:r>
      <w:proofErr w:type="gramStart"/>
      <w:r w:rsidR="008A204B">
        <w:t>Initiative</w:t>
      </w:r>
      <w:r w:rsidR="00651282">
        <w:t>,</w:t>
      </w:r>
      <w:proofErr w:type="gramEnd"/>
      <w:r w:rsidR="008A204B">
        <w:t xml:space="preserve"> </w:t>
      </w:r>
      <w:r w:rsidR="00D80676">
        <w:t xml:space="preserve">and the </w:t>
      </w:r>
      <w:r w:rsidR="008A204B">
        <w:t xml:space="preserve">implementation </w:t>
      </w:r>
      <w:r w:rsidR="00D80676">
        <w:t xml:space="preserve">of this ambitious program is </w:t>
      </w:r>
      <w:r w:rsidR="008A204B">
        <w:t>behind schedule</w:t>
      </w:r>
      <w:r w:rsidR="00D80676">
        <w:t>, progress against this objective has been rated amber</w:t>
      </w:r>
      <w:r w:rsidR="00BF1A60">
        <w:t xml:space="preserve"> </w:t>
      </w:r>
      <w:r w:rsidR="00BF1A60" w:rsidRPr="00057A42">
        <w:t>(</w:t>
      </w:r>
      <w:r w:rsidR="00651282">
        <w:t>see</w:t>
      </w:r>
      <w:r w:rsidR="00651282" w:rsidRPr="0013397F">
        <w:t xml:space="preserve"> </w:t>
      </w:r>
      <w:r w:rsidR="0078569D">
        <w:t>Annex D</w:t>
      </w:r>
      <w:r w:rsidR="00BF1A60" w:rsidRPr="0013397F">
        <w:t xml:space="preserve"> for more details)</w:t>
      </w:r>
      <w:r w:rsidR="008A204B">
        <w:t>.</w:t>
      </w:r>
    </w:p>
    <w:p w14:paraId="14C66D6F" w14:textId="2547BA9C" w:rsidR="009A3661" w:rsidRDefault="0093496D" w:rsidP="00083CB0">
      <w:pPr>
        <w:pStyle w:val="BodyText"/>
      </w:pPr>
      <w:r>
        <w:t xml:space="preserve">Overall, </w:t>
      </w:r>
      <w:r w:rsidR="006B3FAA">
        <w:t>progress</w:t>
      </w:r>
      <w:r w:rsidR="00966D95">
        <w:t xml:space="preserve"> </w:t>
      </w:r>
      <w:r>
        <w:t xml:space="preserve">is steady </w:t>
      </w:r>
      <w:r w:rsidR="00966D95">
        <w:t xml:space="preserve">towards </w:t>
      </w:r>
      <w:r>
        <w:t>achieving</w:t>
      </w:r>
      <w:r w:rsidR="009A3661">
        <w:t xml:space="preserve"> this objective. This</w:t>
      </w:r>
      <w:r>
        <w:t xml:space="preserve"> is largely linked </w:t>
      </w:r>
      <w:r w:rsidR="009A3661">
        <w:t>to the success of the</w:t>
      </w:r>
      <w:r w:rsidR="00D80676">
        <w:t xml:space="preserve"> </w:t>
      </w:r>
      <w:r w:rsidR="00651282">
        <w:t>Education for All</w:t>
      </w:r>
      <w:r w:rsidR="00414B30">
        <w:t xml:space="preserve"> </w:t>
      </w:r>
      <w:proofErr w:type="gramStart"/>
      <w:r>
        <w:t>p</w:t>
      </w:r>
      <w:r w:rsidR="006B3FAA">
        <w:t>rogram</w:t>
      </w:r>
      <w:proofErr w:type="gramEnd"/>
      <w:r w:rsidR="009A3661">
        <w:t xml:space="preserve"> getting more children enrolled in school</w:t>
      </w:r>
      <w:r w:rsidR="009A70B2">
        <w:t>.</w:t>
      </w:r>
      <w:r w:rsidR="00B51DFB">
        <w:t xml:space="preserve"> </w:t>
      </w:r>
      <w:r w:rsidR="009A3661">
        <w:t>Enrolment rates in target districts have significantly improved, from 88.4 per cent (86.4 per cent for girls) in 2010</w:t>
      </w:r>
      <w:r w:rsidR="00651282">
        <w:t>–</w:t>
      </w:r>
      <w:r w:rsidR="009A3661">
        <w:t>11 to 94 per cent (92.6 per cent for girls) in 2012</w:t>
      </w:r>
      <w:r w:rsidR="00651282">
        <w:t>–</w:t>
      </w:r>
      <w:r w:rsidR="009A3661">
        <w:t>13.</w:t>
      </w:r>
      <w:r w:rsidR="00B51DFB">
        <w:t xml:space="preserve"> </w:t>
      </w:r>
      <w:r w:rsidR="009A3661">
        <w:t xml:space="preserve">There are, however, signs that these children are not staying in school, indicating a need to further improve education quality. A </w:t>
      </w:r>
      <w:r w:rsidR="00910D8C">
        <w:t>mid-</w:t>
      </w:r>
      <w:r w:rsidR="00651282">
        <w:t xml:space="preserve">term review </w:t>
      </w:r>
      <w:r w:rsidR="009A3661">
        <w:t>undertaken in September 2012 highlighted that the fast track nature of the program, with pressure to achieve ambitious targets over an unrealistic timeframe, had detracted from the quality of some of the program outputs.</w:t>
      </w:r>
    </w:p>
    <w:p w14:paraId="1B60EF3F" w14:textId="4BD38459" w:rsidR="00F006EA" w:rsidRDefault="006B3FAA" w:rsidP="00083CB0">
      <w:pPr>
        <w:pStyle w:val="BodyText"/>
      </w:pPr>
      <w:r>
        <w:t>The objective rating remained the same in 2012</w:t>
      </w:r>
      <w:r w:rsidR="00651282">
        <w:t>–</w:t>
      </w:r>
      <w:r>
        <w:t>13 due to the need for</w:t>
      </w:r>
      <w:r w:rsidR="0093496D">
        <w:t xml:space="preserve"> a one year extens</w:t>
      </w:r>
      <w:r>
        <w:t>ion of the pr</w:t>
      </w:r>
      <w:r w:rsidR="00966D95">
        <w:t>ogram</w:t>
      </w:r>
      <w:r w:rsidR="00424357">
        <w:t xml:space="preserve"> to ensure completion of</w:t>
      </w:r>
      <w:r>
        <w:t xml:space="preserve"> activities</w:t>
      </w:r>
      <w:r w:rsidR="00966D95">
        <w:t xml:space="preserve">. </w:t>
      </w:r>
      <w:r w:rsidR="00F006EA">
        <w:t xml:space="preserve">The Lao Government’s lack of capacity to disburse funding quickly and </w:t>
      </w:r>
      <w:r w:rsidR="001429D7">
        <w:t>effectively reported in 2011, w</w:t>
      </w:r>
      <w:r w:rsidR="006E5837">
        <w:t>as</w:t>
      </w:r>
      <w:r w:rsidR="001429D7">
        <w:t xml:space="preserve"> largely</w:t>
      </w:r>
      <w:r w:rsidR="00F006EA">
        <w:t xml:space="preserve"> addressed in 2012</w:t>
      </w:r>
      <w:r w:rsidR="00651282">
        <w:t>–</w:t>
      </w:r>
      <w:r w:rsidR="00F006EA">
        <w:t xml:space="preserve">13, resulting </w:t>
      </w:r>
      <w:r w:rsidR="00F006EA" w:rsidRPr="001429D7">
        <w:t>in 65 per cent of Aus</w:t>
      </w:r>
      <w:r w:rsidR="00160FAE">
        <w:t>tralian aid</w:t>
      </w:r>
      <w:r w:rsidR="00F006EA" w:rsidRPr="001429D7">
        <w:t xml:space="preserve"> funds </w:t>
      </w:r>
      <w:r w:rsidR="001429D7" w:rsidRPr="001429D7">
        <w:t xml:space="preserve">being </w:t>
      </w:r>
      <w:r w:rsidR="00F006EA" w:rsidRPr="001429D7">
        <w:t>disbursed</w:t>
      </w:r>
      <w:r w:rsidR="002374E1">
        <w:t xml:space="preserve"> within 18 months.</w:t>
      </w:r>
      <w:r w:rsidR="002462EC" w:rsidRPr="00C645CE">
        <w:rPr>
          <w:rStyle w:val="FootnoteReference"/>
          <w:sz w:val="20"/>
          <w:vertAlign w:val="superscript"/>
        </w:rPr>
        <w:footnoteReference w:id="19"/>
      </w:r>
      <w:r w:rsidR="001429D7" w:rsidRPr="001429D7">
        <w:t xml:space="preserve"> A</w:t>
      </w:r>
      <w:r w:rsidR="00F006EA" w:rsidRPr="001429D7">
        <w:t>dditional technical su</w:t>
      </w:r>
      <w:r w:rsidR="001429D7" w:rsidRPr="001429D7">
        <w:t>pport provided to address this issue</w:t>
      </w:r>
      <w:r w:rsidR="001429D7">
        <w:t xml:space="preserve"> has </w:t>
      </w:r>
      <w:r w:rsidR="00F006EA" w:rsidRPr="001429D7">
        <w:t>led to improvements in fin</w:t>
      </w:r>
      <w:r w:rsidR="001429D7">
        <w:t xml:space="preserve">ancial </w:t>
      </w:r>
      <w:r w:rsidR="001429D7">
        <w:lastRenderedPageBreak/>
        <w:t>management</w:t>
      </w:r>
      <w:r w:rsidR="00F006EA" w:rsidRPr="001429D7">
        <w:t>, although delays in financial reporting and acquittals at sub</w:t>
      </w:r>
      <w:r w:rsidR="007C457E">
        <w:t>-</w:t>
      </w:r>
      <w:r w:rsidR="00F006EA" w:rsidRPr="001429D7">
        <w:t>national l</w:t>
      </w:r>
      <w:r w:rsidR="001429D7">
        <w:t>evels persist</w:t>
      </w:r>
      <w:r w:rsidR="00F006EA" w:rsidRPr="001429D7">
        <w:t>.</w:t>
      </w:r>
    </w:p>
    <w:p w14:paraId="70C708BE" w14:textId="310C1E98" w:rsidR="009A70B2" w:rsidRDefault="009A3661" w:rsidP="001A2426">
      <w:pPr>
        <w:pStyle w:val="BodyText"/>
      </w:pPr>
      <w:r>
        <w:t>T</w:t>
      </w:r>
      <w:r w:rsidR="0059180B">
        <w:t>he program continued to deliver targeted support to improve education quality</w:t>
      </w:r>
      <w:r w:rsidR="00651282">
        <w:t>. I</w:t>
      </w:r>
      <w:r w:rsidR="0059180B">
        <w:t>n 2012</w:t>
      </w:r>
      <w:r w:rsidR="00651282">
        <w:t>–</w:t>
      </w:r>
      <w:r w:rsidR="0059180B">
        <w:t>13, 1064 school officials</w:t>
      </w:r>
      <w:r w:rsidR="00D5237F">
        <w:t xml:space="preserve"> (including school principals),</w:t>
      </w:r>
      <w:r w:rsidR="00CD4C23">
        <w:t xml:space="preserve"> </w:t>
      </w:r>
      <w:r w:rsidR="0059180B">
        <w:t xml:space="preserve">3873 teachers and 960 </w:t>
      </w:r>
      <w:r w:rsidR="00651282">
        <w:t xml:space="preserve">village education development committees (encompassing </w:t>
      </w:r>
      <w:r w:rsidR="0059180B">
        <w:t xml:space="preserve">6720 committee members of </w:t>
      </w:r>
      <w:proofErr w:type="gramStart"/>
      <w:r w:rsidR="0059180B">
        <w:t>which</w:t>
      </w:r>
      <w:proofErr w:type="gramEnd"/>
      <w:r w:rsidR="0059180B">
        <w:t xml:space="preserve"> 1271</w:t>
      </w:r>
      <w:r w:rsidR="00CD4C23">
        <w:t xml:space="preserve"> are </w:t>
      </w:r>
      <w:r w:rsidR="00651282">
        <w:t xml:space="preserve">women) </w:t>
      </w:r>
      <w:r w:rsidR="00CD4C23">
        <w:t>receiv</w:t>
      </w:r>
      <w:r w:rsidR="00651282">
        <w:t xml:space="preserve">ed </w:t>
      </w:r>
      <w:r w:rsidR="0059180B">
        <w:t>training to improve the quality of teaching and school management.</w:t>
      </w:r>
      <w:r w:rsidR="002462EC" w:rsidRPr="00C645CE">
        <w:rPr>
          <w:rStyle w:val="FootnoteReference"/>
          <w:sz w:val="20"/>
          <w:vertAlign w:val="superscript"/>
        </w:rPr>
        <w:footnoteReference w:id="20"/>
      </w:r>
      <w:r w:rsidR="002462EC">
        <w:t xml:space="preserve"> </w:t>
      </w:r>
      <w:r>
        <w:t>The training was modified to include reference to new National Education Quality Standards, with plans to distribute training materials on the new standards to all school officials who received the initial training prior to adoption of the new standards.</w:t>
      </w:r>
      <w:r w:rsidR="00B51DFB">
        <w:t xml:space="preserve"> </w:t>
      </w:r>
      <w:r>
        <w:t xml:space="preserve">The </w:t>
      </w:r>
      <w:r w:rsidR="00B25589">
        <w:t xml:space="preserve">mid-term review </w:t>
      </w:r>
      <w:r>
        <w:t>cautioned against the risk that these one-off training</w:t>
      </w:r>
      <w:r w:rsidR="00651282">
        <w:t xml:space="preserve"> sessions</w:t>
      </w:r>
      <w:r>
        <w:t xml:space="preserve"> will not lead to effective change at the school level without appropriate follow-up support and pedagogical advice.</w:t>
      </w:r>
      <w:r w:rsidR="00B51DFB">
        <w:t xml:space="preserve"> </w:t>
      </w:r>
      <w:r>
        <w:t xml:space="preserve">Consequently additional training to 200 </w:t>
      </w:r>
      <w:r w:rsidR="00651282">
        <w:t xml:space="preserve">pedagogical </w:t>
      </w:r>
      <w:r w:rsidR="00FC39B1">
        <w:t>adviser</w:t>
      </w:r>
      <w:r w:rsidR="00651282">
        <w:t>s</w:t>
      </w:r>
      <w:r>
        <w:t>, whose job it is to professionally develop teachers across the 56 target districts, is planned to take place in June 2013.</w:t>
      </w:r>
      <w:r w:rsidR="00B51DFB">
        <w:t xml:space="preserve"> </w:t>
      </w:r>
      <w:r w:rsidR="004D31D3">
        <w:t xml:space="preserve">This follow-up training will provide </w:t>
      </w:r>
      <w:r w:rsidR="00FC39B1">
        <w:t>adviser</w:t>
      </w:r>
      <w:r w:rsidR="004D31D3">
        <w:t xml:space="preserve">s with additional skills to help support teachers </w:t>
      </w:r>
      <w:r w:rsidR="00651282">
        <w:t xml:space="preserve">to </w:t>
      </w:r>
      <w:r w:rsidR="004D31D3">
        <w:t xml:space="preserve">apply </w:t>
      </w:r>
      <w:r w:rsidR="00B25589">
        <w:t xml:space="preserve">their </w:t>
      </w:r>
      <w:r w:rsidR="004D31D3">
        <w:t>new skills in the classroom</w:t>
      </w:r>
      <w:r w:rsidR="007C457E">
        <w:t>.</w:t>
      </w:r>
    </w:p>
    <w:p w14:paraId="1EA75E75" w14:textId="5E5EA8F8" w:rsidR="00DB346A" w:rsidRDefault="004F17E9" w:rsidP="001A2426">
      <w:pPr>
        <w:pStyle w:val="BodyText"/>
      </w:pPr>
      <w:r>
        <w:t>Work on</w:t>
      </w:r>
      <w:r w:rsidR="006E5837">
        <w:t xml:space="preserve"> non-formal education approaches</w:t>
      </w:r>
      <w:r>
        <w:t xml:space="preserve"> progressed, albeit slowly. This work</w:t>
      </w:r>
      <w:r w:rsidR="00DB346A">
        <w:t xml:space="preserve">, encompassing two non-formal </w:t>
      </w:r>
      <w:r>
        <w:t>education approaches</w:t>
      </w:r>
      <w:r w:rsidR="00651282">
        <w:t>––</w:t>
      </w:r>
      <w:r w:rsidR="00B25589">
        <w:t xml:space="preserve">mobile teachers to achieve </w:t>
      </w:r>
      <w:r w:rsidR="00DB346A">
        <w:t xml:space="preserve">primary </w:t>
      </w:r>
      <w:r w:rsidR="006E5837">
        <w:t xml:space="preserve">education </w:t>
      </w:r>
      <w:r w:rsidR="00DB346A">
        <w:t>equivalency</w:t>
      </w:r>
      <w:r w:rsidR="00B25589">
        <w:t xml:space="preserve"> in villages without a school,</w:t>
      </w:r>
      <w:r w:rsidR="00DB346A">
        <w:t xml:space="preserve"> and </w:t>
      </w:r>
      <w:r w:rsidR="00B25589">
        <w:t>community-based construction initiatives</w:t>
      </w:r>
      <w:r w:rsidR="00651282">
        <w:t>––</w:t>
      </w:r>
      <w:r w:rsidR="00C4717F">
        <w:t>aims to ensure children in the most vulnerable and hardest to reach communities have access to education and are ready to learn when they enter Grade 1.</w:t>
      </w:r>
      <w:r w:rsidR="00B51DFB">
        <w:t xml:space="preserve"> </w:t>
      </w:r>
      <w:r w:rsidR="003C272E">
        <w:t>The mobile teacher program operat</w:t>
      </w:r>
      <w:r w:rsidR="00E646CA">
        <w:t xml:space="preserve">es </w:t>
      </w:r>
      <w:r w:rsidR="003C272E">
        <w:t>in 114 villages that are without a formal school</w:t>
      </w:r>
      <w:r w:rsidR="00E646CA">
        <w:t xml:space="preserve"> and </w:t>
      </w:r>
      <w:r w:rsidR="003C272E">
        <w:t>aims to provide essential literacy and numeracy skills for children who would otherwise not have access to any education.</w:t>
      </w:r>
      <w:r w:rsidR="006D6177">
        <w:t xml:space="preserve"> More robust monitoring and evaluation </w:t>
      </w:r>
      <w:r w:rsidR="00E646CA">
        <w:t xml:space="preserve">is </w:t>
      </w:r>
      <w:r w:rsidR="006D6177">
        <w:t xml:space="preserve">planned over the final year of the program, </w:t>
      </w:r>
      <w:r w:rsidR="00E646CA">
        <w:t xml:space="preserve">which </w:t>
      </w:r>
      <w:r w:rsidR="006D6177">
        <w:t>will help measure the impact of these approaches.</w:t>
      </w:r>
    </w:p>
    <w:p w14:paraId="7EB2860D" w14:textId="3258299B" w:rsidR="004614F1" w:rsidRDefault="00655B08" w:rsidP="001A2426">
      <w:pPr>
        <w:pStyle w:val="BodyText"/>
      </w:pPr>
      <w:r>
        <w:t>The community-based construction of additional classrooms progress</w:t>
      </w:r>
      <w:r w:rsidR="006E5837">
        <w:t>ed</w:t>
      </w:r>
      <w:r>
        <w:t xml:space="preserve"> w</w:t>
      </w:r>
      <w:r w:rsidR="00FE6DAF">
        <w:t>ell over 2012</w:t>
      </w:r>
      <w:r w:rsidR="00E646CA">
        <w:t>–</w:t>
      </w:r>
      <w:r w:rsidR="00FE6DAF">
        <w:t xml:space="preserve">13, with all work </w:t>
      </w:r>
      <w:r>
        <w:t>due to be completed on time by the end of August 2013.</w:t>
      </w:r>
      <w:r w:rsidR="00B51DFB">
        <w:t xml:space="preserve"> </w:t>
      </w:r>
      <w:r>
        <w:t xml:space="preserve">Over the last 18 months, </w:t>
      </w:r>
      <w:r w:rsidR="00966D95">
        <w:t xml:space="preserve">1228 classrooms </w:t>
      </w:r>
      <w:r w:rsidR="00905716">
        <w:t xml:space="preserve">(491 </w:t>
      </w:r>
      <w:r w:rsidR="00160FAE">
        <w:t>Australian aid</w:t>
      </w:r>
      <w:r w:rsidR="00B25589">
        <w:t>-</w:t>
      </w:r>
      <w:r w:rsidR="00905716">
        <w:t xml:space="preserve">funded) </w:t>
      </w:r>
      <w:r w:rsidR="00966D95">
        <w:t xml:space="preserve">in 234 schools </w:t>
      </w:r>
      <w:r w:rsidR="00905716">
        <w:t xml:space="preserve">(93 </w:t>
      </w:r>
      <w:r w:rsidR="00160FAE">
        <w:t>Australian aid</w:t>
      </w:r>
      <w:r w:rsidR="00B25589">
        <w:t>-</w:t>
      </w:r>
      <w:r w:rsidR="00905716">
        <w:t xml:space="preserve">funded) </w:t>
      </w:r>
      <w:r w:rsidR="00966D95">
        <w:t xml:space="preserve">have been </w:t>
      </w:r>
      <w:r w:rsidR="00B25589">
        <w:t>built</w:t>
      </w:r>
      <w:r w:rsidR="00905716">
        <w:t>,</w:t>
      </w:r>
      <w:r w:rsidR="00966D95">
        <w:t xml:space="preserve"> </w:t>
      </w:r>
      <w:r w:rsidR="00E646CA">
        <w:t xml:space="preserve">and </w:t>
      </w:r>
      <w:r w:rsidR="00966D95">
        <w:t xml:space="preserve">construction well underway on another 528 </w:t>
      </w:r>
      <w:r w:rsidR="00905716">
        <w:t xml:space="preserve">(294 </w:t>
      </w:r>
      <w:r w:rsidR="00160FAE">
        <w:t>Australian aid</w:t>
      </w:r>
      <w:r w:rsidR="00B25589">
        <w:t>-</w:t>
      </w:r>
      <w:r w:rsidR="00905716">
        <w:t xml:space="preserve">funded) </w:t>
      </w:r>
      <w:r w:rsidR="00966D95">
        <w:t xml:space="preserve">classrooms at 98 </w:t>
      </w:r>
      <w:r w:rsidR="00905716">
        <w:t xml:space="preserve">(53 </w:t>
      </w:r>
      <w:r w:rsidR="00160FAE">
        <w:t>Australian aid</w:t>
      </w:r>
      <w:r w:rsidR="00B25589">
        <w:t>-</w:t>
      </w:r>
      <w:r w:rsidR="00905716">
        <w:t xml:space="preserve">funded) </w:t>
      </w:r>
      <w:r w:rsidR="00966D95">
        <w:t>schools</w:t>
      </w:r>
      <w:r w:rsidR="00905716">
        <w:t>.</w:t>
      </w:r>
      <w:r w:rsidR="00D83CA6" w:rsidRPr="00C645CE">
        <w:rPr>
          <w:rStyle w:val="FootnoteReference"/>
          <w:sz w:val="20"/>
          <w:vertAlign w:val="superscript"/>
        </w:rPr>
        <w:footnoteReference w:id="21"/>
      </w:r>
      <w:r w:rsidR="00B51DFB">
        <w:t xml:space="preserve"> </w:t>
      </w:r>
      <w:r w:rsidR="00966D95">
        <w:t>Technical supervis</w:t>
      </w:r>
      <w:r w:rsidR="00FE6DAF">
        <w:t>i</w:t>
      </w:r>
      <w:r w:rsidR="00966D95">
        <w:t>on of construction has improved significantly</w:t>
      </w:r>
      <w:r w:rsidR="005975E1">
        <w:t xml:space="preserve"> and a</w:t>
      </w:r>
      <w:r w:rsidR="00FE6DAF">
        <w:t xml:space="preserve">s a result the </w:t>
      </w:r>
      <w:r w:rsidR="00966D95">
        <w:t>qual</w:t>
      </w:r>
      <w:r w:rsidR="009D31B9">
        <w:t>ity of construction is of a</w:t>
      </w:r>
      <w:r w:rsidR="00966D95">
        <w:t xml:space="preserve"> higher standard</w:t>
      </w:r>
      <w:r w:rsidR="009D31B9">
        <w:t xml:space="preserve"> than previous community-based school construction programs</w:t>
      </w:r>
      <w:r w:rsidR="00966D95">
        <w:t>.</w:t>
      </w:r>
      <w:r w:rsidR="00B51DFB">
        <w:t xml:space="preserve"> </w:t>
      </w:r>
      <w:r w:rsidR="00966D95">
        <w:t>Quality assurance processes need further improvement, and the use of unlabelled fibre-cement ceiling s</w:t>
      </w:r>
      <w:r w:rsidR="00B52D83">
        <w:t>heeting in some school sites</w:t>
      </w:r>
      <w:r w:rsidR="00966D95">
        <w:t xml:space="preserve"> raised </w:t>
      </w:r>
      <w:r w:rsidR="00B52D83">
        <w:t xml:space="preserve">initial </w:t>
      </w:r>
      <w:r w:rsidR="00966D95">
        <w:t>concerns about possible use of asbestos.</w:t>
      </w:r>
      <w:r w:rsidR="00B51DFB">
        <w:t xml:space="preserve"> </w:t>
      </w:r>
      <w:r w:rsidR="00966D95">
        <w:t>While no asbestos has been found in sites tested to date, an action plan has been developed to test all completed sites and ensure that asbestos containing materials are not used in any future construction.</w:t>
      </w:r>
      <w:r w:rsidR="00B51DFB">
        <w:t xml:space="preserve"> </w:t>
      </w:r>
      <w:r w:rsidR="00966D95">
        <w:t>Construction of water and sanita</w:t>
      </w:r>
      <w:r w:rsidR="00D531EA">
        <w:t>tion facilities in 25 of the</w:t>
      </w:r>
      <w:r w:rsidR="00966D95">
        <w:t xml:space="preserve"> schools was completed </w:t>
      </w:r>
      <w:r w:rsidR="00B25589">
        <w:t xml:space="preserve">with </w:t>
      </w:r>
      <w:r w:rsidR="00966D95">
        <w:t xml:space="preserve">Australian support to </w:t>
      </w:r>
      <w:r w:rsidR="00E646CA">
        <w:t>the United Nations Children’s Fund</w:t>
      </w:r>
      <w:r w:rsidR="00966D95">
        <w:t>, with plans to construct facilities in 90 additional schools over 2013</w:t>
      </w:r>
      <w:r w:rsidR="006E5837">
        <w:t>.</w:t>
      </w:r>
      <w:r w:rsidR="00AD3ABA" w:rsidRPr="00C645CE">
        <w:rPr>
          <w:rStyle w:val="FootnoteReference"/>
          <w:sz w:val="20"/>
          <w:vertAlign w:val="superscript"/>
        </w:rPr>
        <w:footnoteReference w:id="22"/>
      </w:r>
    </w:p>
    <w:p w14:paraId="36262733" w14:textId="21CDA44D" w:rsidR="00FB22AA" w:rsidRDefault="00F006EA" w:rsidP="001A2426">
      <w:pPr>
        <w:pStyle w:val="BodyText"/>
      </w:pPr>
      <w:r>
        <w:lastRenderedPageBreak/>
        <w:t xml:space="preserve">With support from Australia, </w:t>
      </w:r>
      <w:r w:rsidR="00E646CA">
        <w:t xml:space="preserve">the World Food Programme </w:t>
      </w:r>
      <w:r w:rsidR="00966D95">
        <w:t>provide</w:t>
      </w:r>
      <w:r>
        <w:t xml:space="preserve">d nutritious </w:t>
      </w:r>
      <w:r w:rsidR="00966D95">
        <w:t>mid-morning snack</w:t>
      </w:r>
      <w:r>
        <w:t>s to 26</w:t>
      </w:r>
      <w:r w:rsidR="00E646CA">
        <w:t xml:space="preserve"> </w:t>
      </w:r>
      <w:r>
        <w:t>657 primary school students</w:t>
      </w:r>
      <w:r w:rsidR="00966D95">
        <w:t xml:space="preserve"> </w:t>
      </w:r>
      <w:r>
        <w:t>(including 11</w:t>
      </w:r>
      <w:r w:rsidR="00E646CA">
        <w:t xml:space="preserve"> </w:t>
      </w:r>
      <w:r>
        <w:t xml:space="preserve">529 </w:t>
      </w:r>
      <w:r w:rsidR="00966D95">
        <w:t>girls</w:t>
      </w:r>
      <w:r w:rsidRPr="009D31B9">
        <w:t xml:space="preserve">) </w:t>
      </w:r>
      <w:r w:rsidR="009D31B9" w:rsidRPr="009D31B9">
        <w:t xml:space="preserve">in </w:t>
      </w:r>
      <w:r w:rsidR="00611EE4">
        <w:t xml:space="preserve">32 of </w:t>
      </w:r>
      <w:r w:rsidR="009D31B9" w:rsidRPr="009D31B9">
        <w:t>the most food insecure districts</w:t>
      </w:r>
      <w:r w:rsidR="00B25589">
        <w:t>,</w:t>
      </w:r>
      <w:r w:rsidR="007A7353">
        <w:t xml:space="preserve"> including </w:t>
      </w:r>
      <w:r w:rsidR="00611EE4">
        <w:t>25</w:t>
      </w:r>
      <w:r w:rsidR="007A7353">
        <w:t xml:space="preserve"> </w:t>
      </w:r>
      <w:r w:rsidR="00E646CA">
        <w:t xml:space="preserve">Education for All: Fast Track Initiative </w:t>
      </w:r>
      <w:r w:rsidR="007A7353">
        <w:t>target districts</w:t>
      </w:r>
      <w:r w:rsidR="00966D95" w:rsidRPr="009D31B9">
        <w:t>.</w:t>
      </w:r>
      <w:r w:rsidR="00611EE4" w:rsidRPr="00C645CE">
        <w:rPr>
          <w:rStyle w:val="FootnoteReference"/>
          <w:sz w:val="20"/>
          <w:vertAlign w:val="superscript"/>
        </w:rPr>
        <w:footnoteReference w:id="23"/>
      </w:r>
    </w:p>
    <w:p w14:paraId="70BAAE02" w14:textId="71851CEE" w:rsidR="00F006EA" w:rsidRDefault="00B40C88" w:rsidP="001A2426">
      <w:pPr>
        <w:pStyle w:val="BodyText"/>
      </w:pPr>
      <w:r w:rsidRPr="000A1177">
        <w:t xml:space="preserve">In establishing the future direction of </w:t>
      </w:r>
      <w:r>
        <w:t>the education</w:t>
      </w:r>
      <w:r w:rsidRPr="000A1177">
        <w:t xml:space="preserve"> portfolio</w:t>
      </w:r>
      <w:r>
        <w:t xml:space="preserve">, work commenced in late 2012 </w:t>
      </w:r>
      <w:r w:rsidR="00E646CA">
        <w:t>to</w:t>
      </w:r>
      <w:r>
        <w:t xml:space="preserve"> prepar</w:t>
      </w:r>
      <w:r w:rsidR="00E646CA">
        <w:t xml:space="preserve">e </w:t>
      </w:r>
      <w:r>
        <w:t xml:space="preserve">a </w:t>
      </w:r>
      <w:r w:rsidR="00B25589">
        <w:t>five-</w:t>
      </w:r>
      <w:r w:rsidRPr="000A1177">
        <w:t>yea</w:t>
      </w:r>
      <w:r>
        <w:t xml:space="preserve">r delivery strategy. </w:t>
      </w:r>
      <w:r w:rsidR="000173F5">
        <w:t xml:space="preserve">The strategy will seek to build on the work of the </w:t>
      </w:r>
      <w:r w:rsidR="00E646CA">
        <w:t>Education for All: Fast Track Initiative</w:t>
      </w:r>
      <w:r w:rsidR="005975E1">
        <w:t>, with</w:t>
      </w:r>
      <w:r w:rsidR="000173F5">
        <w:t xml:space="preserve"> a focus on improving education quality through both bilateral and multilateral interventions. The strategy </w:t>
      </w:r>
      <w:r w:rsidR="00FC1D59">
        <w:t xml:space="preserve">is scheduled to be </w:t>
      </w:r>
      <w:r w:rsidR="00E646CA">
        <w:t xml:space="preserve">finished </w:t>
      </w:r>
      <w:r w:rsidR="00FC1D59">
        <w:t xml:space="preserve">in August 2013, </w:t>
      </w:r>
      <w:r w:rsidR="00E646CA">
        <w:t>and</w:t>
      </w:r>
      <w:r w:rsidR="00FC1D59">
        <w:t xml:space="preserve"> program design </w:t>
      </w:r>
      <w:r w:rsidR="00E646CA">
        <w:t xml:space="preserve">will </w:t>
      </w:r>
      <w:r w:rsidR="00FC1D59">
        <w:t>commence soon after.</w:t>
      </w:r>
    </w:p>
    <w:p w14:paraId="0D4FB64F" w14:textId="7F5769EC" w:rsidR="001A2426" w:rsidRDefault="003E5B0C" w:rsidP="003E5B0C">
      <w:pPr>
        <w:pStyle w:val="Heading3"/>
      </w:pPr>
      <w:r w:rsidRPr="001A2426">
        <w:rPr>
          <w:rFonts w:eastAsia="Calibri"/>
        </w:rPr>
        <w:t>Objective 2: Better management of Government of Laos and donor resources available to the education sector through the implementation of a jointly agreed 10-year education sector framework</w:t>
      </w:r>
    </w:p>
    <w:tbl>
      <w:tblPr>
        <w:tblStyle w:val="APPR"/>
        <w:tblW w:w="5000" w:type="pct"/>
        <w:tblLook w:val="01E0" w:firstRow="1" w:lastRow="1" w:firstColumn="1" w:lastColumn="1" w:noHBand="0" w:noVBand="0"/>
      </w:tblPr>
      <w:tblGrid>
        <w:gridCol w:w="6894"/>
        <w:gridCol w:w="1712"/>
      </w:tblGrid>
      <w:tr w:rsidR="001A2426" w:rsidRPr="00745FE3" w14:paraId="37E67842" w14:textId="77777777" w:rsidTr="001A2426">
        <w:trPr>
          <w:cnfStyle w:val="100000000000" w:firstRow="1" w:lastRow="0" w:firstColumn="0" w:lastColumn="0" w:oddVBand="0" w:evenVBand="0" w:oddHBand="0" w:evenHBand="0" w:firstRowFirstColumn="0" w:firstRowLastColumn="0" w:lastRowFirstColumn="0" w:lastRowLastColumn="0"/>
        </w:trPr>
        <w:tc>
          <w:tcPr>
            <w:tcW w:w="3981" w:type="pct"/>
          </w:tcPr>
          <w:p w14:paraId="506AC261" w14:textId="77777777" w:rsidR="001A2426" w:rsidRPr="00BF2045" w:rsidRDefault="001A2426" w:rsidP="001A2426">
            <w:pPr>
              <w:pStyle w:val="TableTextColumnHeading"/>
              <w:rPr>
                <w:rFonts w:eastAsia="Calibri"/>
                <w:b/>
              </w:rPr>
            </w:pPr>
            <w:r w:rsidRPr="00BF2045">
              <w:rPr>
                <w:rFonts w:eastAsia="Calibri"/>
                <w:b/>
              </w:rPr>
              <w:t>Objective</w:t>
            </w:r>
          </w:p>
        </w:tc>
        <w:tc>
          <w:tcPr>
            <w:tcW w:w="970" w:type="pct"/>
          </w:tcPr>
          <w:p w14:paraId="2AAFDE0E" w14:textId="77777777" w:rsidR="001A2426" w:rsidRPr="00BF2045" w:rsidRDefault="001A2426" w:rsidP="001A2426">
            <w:pPr>
              <w:pStyle w:val="TableTextColumnHeading"/>
              <w:rPr>
                <w:rFonts w:eastAsia="Calibri"/>
                <w:b/>
              </w:rPr>
            </w:pPr>
            <w:r w:rsidRPr="00BF2045">
              <w:rPr>
                <w:rFonts w:eastAsia="Calibri"/>
                <w:b/>
              </w:rPr>
              <w:t xml:space="preserve">Current rating </w:t>
            </w:r>
          </w:p>
        </w:tc>
      </w:tr>
      <w:tr w:rsidR="001A2426" w:rsidRPr="00745FE3" w14:paraId="1E85C7D3" w14:textId="77777777" w:rsidTr="001A2426">
        <w:trPr>
          <w:cnfStyle w:val="100000000000" w:firstRow="1" w:lastRow="0" w:firstColumn="0" w:lastColumn="0" w:oddVBand="0" w:evenVBand="0" w:oddHBand="0" w:evenHBand="0" w:firstRowFirstColumn="0" w:firstRowLastColumn="0" w:lastRowFirstColumn="0" w:lastRowLastColumn="0"/>
        </w:trPr>
        <w:tc>
          <w:tcPr>
            <w:tcW w:w="3981" w:type="pct"/>
          </w:tcPr>
          <w:p w14:paraId="1FA04628" w14:textId="3A6DE270" w:rsidR="001A2426" w:rsidRPr="00BF2045" w:rsidRDefault="001A2426" w:rsidP="001A2426">
            <w:pPr>
              <w:pStyle w:val="TableTextEntries"/>
              <w:rPr>
                <w:rFonts w:eastAsia="Calibri"/>
                <w:b w:val="0"/>
              </w:rPr>
            </w:pPr>
            <w:r w:rsidRPr="001A2426">
              <w:rPr>
                <w:rFonts w:eastAsia="Calibri"/>
                <w:b w:val="0"/>
              </w:rPr>
              <w:t>Objective 2: Better management of Government of Laos and donor resources available to the education sector through the implementation of a jointly agreed 10-year education sector framework</w:t>
            </w:r>
          </w:p>
        </w:tc>
        <w:tc>
          <w:tcPr>
            <w:tcW w:w="970" w:type="pct"/>
            <w:shd w:val="clear" w:color="auto" w:fill="92D050"/>
          </w:tcPr>
          <w:p w14:paraId="62B03FA0" w14:textId="75CFBE37" w:rsidR="001A2426" w:rsidRPr="00BF2045" w:rsidRDefault="001A2426" w:rsidP="001A2426">
            <w:pPr>
              <w:pStyle w:val="TableTextEntries"/>
              <w:rPr>
                <w:rFonts w:eastAsia="Calibri"/>
                <w:b w:val="0"/>
              </w:rPr>
            </w:pPr>
            <w:r>
              <w:rPr>
                <w:rFonts w:eastAsia="Calibri"/>
                <w:b w:val="0"/>
              </w:rPr>
              <w:t>green</w:t>
            </w:r>
          </w:p>
        </w:tc>
      </w:tr>
    </w:tbl>
    <w:p w14:paraId="5838D7B7" w14:textId="77777777" w:rsidR="001A2426" w:rsidRDefault="001A2426" w:rsidP="008E6AD3">
      <w:pPr>
        <w:pStyle w:val="BodyText"/>
      </w:pPr>
    </w:p>
    <w:p w14:paraId="2B196702" w14:textId="28959F84" w:rsidR="008F6B73" w:rsidRPr="00C52E7E" w:rsidRDefault="00A544EA" w:rsidP="001A2426">
      <w:pPr>
        <w:pStyle w:val="BodyText"/>
      </w:pPr>
      <w:r w:rsidRPr="007A69EF">
        <w:t>Progress against milestones</w:t>
      </w:r>
      <w:r w:rsidR="00791BD5" w:rsidRPr="007A69EF">
        <w:t xml:space="preserve"> under this strategy </w:t>
      </w:r>
      <w:r w:rsidR="00414B30" w:rsidRPr="007A69EF">
        <w:t xml:space="preserve">objective </w:t>
      </w:r>
      <w:r w:rsidR="00791BD5" w:rsidRPr="007A69EF">
        <w:t xml:space="preserve">is on track. </w:t>
      </w:r>
      <w:r w:rsidR="006B4AD1" w:rsidRPr="007A69EF">
        <w:t>Of the</w:t>
      </w:r>
      <w:r w:rsidR="005975E1" w:rsidRPr="007A69EF">
        <w:t xml:space="preserve"> </w:t>
      </w:r>
      <w:r w:rsidRPr="007A69EF">
        <w:t xml:space="preserve">eight </w:t>
      </w:r>
      <w:r w:rsidR="005975E1" w:rsidRPr="007A69EF">
        <w:t>milestones</w:t>
      </w:r>
      <w:r w:rsidR="002352F7">
        <w:t>,</w:t>
      </w:r>
      <w:r w:rsidR="005975E1" w:rsidRPr="007A69EF">
        <w:t xml:space="preserve"> </w:t>
      </w:r>
      <w:r w:rsidR="00EE46F2">
        <w:t>four</w:t>
      </w:r>
      <w:r w:rsidR="00EE46F2" w:rsidRPr="007A69EF">
        <w:t xml:space="preserve"> </w:t>
      </w:r>
      <w:r w:rsidR="006B4AD1" w:rsidRPr="007A69EF">
        <w:t xml:space="preserve">were met and </w:t>
      </w:r>
      <w:r w:rsidR="00EE46F2">
        <w:t>four</w:t>
      </w:r>
      <w:r w:rsidR="00EE46F2" w:rsidRPr="007A69EF">
        <w:t xml:space="preserve"> </w:t>
      </w:r>
      <w:r w:rsidR="006B4AD1" w:rsidRPr="007A69EF">
        <w:t>were</w:t>
      </w:r>
      <w:r w:rsidR="005975E1" w:rsidRPr="007A69EF">
        <w:t xml:space="preserve"> partially met </w:t>
      </w:r>
      <w:r w:rsidR="008F6B73" w:rsidRPr="007A69EF">
        <w:t>(</w:t>
      </w:r>
      <w:r w:rsidR="002352F7">
        <w:t>see</w:t>
      </w:r>
      <w:r w:rsidR="002352F7" w:rsidRPr="007A69EF">
        <w:t xml:space="preserve"> </w:t>
      </w:r>
      <w:r w:rsidR="0078569D">
        <w:t>Annex D</w:t>
      </w:r>
      <w:r w:rsidR="008F6B73" w:rsidRPr="007A69EF">
        <w:t xml:space="preserve"> for more details).</w:t>
      </w:r>
    </w:p>
    <w:p w14:paraId="08918F52" w14:textId="38FE7646" w:rsidR="002C66A4" w:rsidRPr="004F7DBD" w:rsidRDefault="00213DE2" w:rsidP="001A2426">
      <w:pPr>
        <w:pStyle w:val="BodyText"/>
      </w:pPr>
      <w:r w:rsidRPr="00C52E7E">
        <w:t>S</w:t>
      </w:r>
      <w:r w:rsidR="00966D95" w:rsidRPr="00C52E7E">
        <w:t xml:space="preserve">ignificant progress </w:t>
      </w:r>
      <w:r w:rsidRPr="00C52E7E">
        <w:t>has been made in</w:t>
      </w:r>
      <w:r w:rsidR="004574BA" w:rsidRPr="00C52E7E">
        <w:t xml:space="preserve"> improving </w:t>
      </w:r>
      <w:r w:rsidRPr="00C52E7E">
        <w:t xml:space="preserve">sector </w:t>
      </w:r>
      <w:r w:rsidR="00321473" w:rsidRPr="00C52E7E">
        <w:t xml:space="preserve">capacity to implement </w:t>
      </w:r>
      <w:r w:rsidR="002352F7">
        <w:t xml:space="preserve">the </w:t>
      </w:r>
      <w:r w:rsidR="00321473" w:rsidRPr="00C52E7E">
        <w:t>Laos</w:t>
      </w:r>
      <w:r w:rsidR="00321473">
        <w:t xml:space="preserve"> </w:t>
      </w:r>
      <w:r w:rsidR="00966D95" w:rsidRPr="00321473">
        <w:t xml:space="preserve">Education Sector Development </w:t>
      </w:r>
      <w:r w:rsidR="00321473" w:rsidRPr="00E02975">
        <w:t>Plan</w:t>
      </w:r>
      <w:r w:rsidR="00321473">
        <w:t xml:space="preserve"> 2011</w:t>
      </w:r>
      <w:r w:rsidR="002352F7">
        <w:t>–</w:t>
      </w:r>
      <w:r w:rsidR="00321473">
        <w:t>2015</w:t>
      </w:r>
      <w:r w:rsidR="005975E1">
        <w:t>.</w:t>
      </w:r>
      <w:r w:rsidR="00B51DFB">
        <w:t xml:space="preserve"> </w:t>
      </w:r>
      <w:r w:rsidR="000F373C" w:rsidRPr="004F7DBD">
        <w:t>We</w:t>
      </w:r>
      <w:r w:rsidR="002C66A4" w:rsidRPr="004F7DBD">
        <w:t xml:space="preserve"> invest</w:t>
      </w:r>
      <w:r w:rsidR="000F373C" w:rsidRPr="004F7DBD">
        <w:t>ed</w:t>
      </w:r>
      <w:r w:rsidR="002C66A4" w:rsidRPr="004F7DBD">
        <w:t xml:space="preserve"> significant time a</w:t>
      </w:r>
      <w:r w:rsidR="000F373C" w:rsidRPr="004F7DBD">
        <w:t xml:space="preserve">nd resources in </w:t>
      </w:r>
      <w:r w:rsidR="002C66A4" w:rsidRPr="004F7DBD">
        <w:t>co-chairing th</w:t>
      </w:r>
      <w:r w:rsidR="000F373C" w:rsidRPr="004F7DBD">
        <w:t xml:space="preserve">e </w:t>
      </w:r>
      <w:r w:rsidR="00313BA1" w:rsidRPr="00DE5FEB">
        <w:t xml:space="preserve">Education </w:t>
      </w:r>
      <w:r w:rsidR="002352F7" w:rsidRPr="00DE5FEB">
        <w:t>Sector Working Group</w:t>
      </w:r>
      <w:r w:rsidR="002C66A4" w:rsidRPr="00DE5FEB">
        <w:t>,</w:t>
      </w:r>
      <w:r w:rsidR="002C66A4" w:rsidRPr="004F7DBD">
        <w:t xml:space="preserve"> which contributed to </w:t>
      </w:r>
      <w:r w:rsidR="00B25589">
        <w:t>its</w:t>
      </w:r>
      <w:r w:rsidR="00B25589" w:rsidRPr="004F7DBD">
        <w:t xml:space="preserve"> </w:t>
      </w:r>
      <w:r w:rsidR="002C66A4" w:rsidRPr="004F7DBD">
        <w:t>success</w:t>
      </w:r>
      <w:r w:rsidR="004F7DBD" w:rsidRPr="004F7DBD">
        <w:t xml:space="preserve">. We </w:t>
      </w:r>
      <w:r w:rsidR="002C66A4" w:rsidRPr="004F7DBD">
        <w:t>use</w:t>
      </w:r>
      <w:r w:rsidR="004F7DBD" w:rsidRPr="004F7DBD">
        <w:t xml:space="preserve">d this role to press for </w:t>
      </w:r>
      <w:r w:rsidR="002C66A4" w:rsidRPr="004F7DBD">
        <w:t>better planning and budgeting</w:t>
      </w:r>
      <w:r w:rsidR="002352F7">
        <w:t>,</w:t>
      </w:r>
      <w:r w:rsidR="002352F7" w:rsidRPr="004F7DBD">
        <w:t xml:space="preserve"> </w:t>
      </w:r>
      <w:r w:rsidR="002C66A4" w:rsidRPr="004F7DBD">
        <w:t>a stronger focus on supporting the most disadvantaged children</w:t>
      </w:r>
      <w:r w:rsidR="00777814">
        <w:t xml:space="preserve"> </w:t>
      </w:r>
      <w:r w:rsidR="002352F7">
        <w:t xml:space="preserve">to </w:t>
      </w:r>
      <w:r w:rsidR="00777814">
        <w:t>access education</w:t>
      </w:r>
      <w:r w:rsidR="002C66A4" w:rsidRPr="004F7DBD">
        <w:t>, improving education quality</w:t>
      </w:r>
      <w:r w:rsidR="00777814">
        <w:t xml:space="preserve">, </w:t>
      </w:r>
      <w:r w:rsidR="002C66A4" w:rsidRPr="004F7DBD">
        <w:t>and the need to more directly address factors affecting student retention at the primary level. We also emphasised the need for high quality and transparent analytical work to produce evidence to support policy making</w:t>
      </w:r>
      <w:r w:rsidR="00777814">
        <w:t xml:space="preserve"> </w:t>
      </w:r>
      <w:r w:rsidR="002352F7">
        <w:t xml:space="preserve">and </w:t>
      </w:r>
      <w:r w:rsidR="00777814">
        <w:t>achieve education targets</w:t>
      </w:r>
      <w:r w:rsidR="002C66A4" w:rsidRPr="004F7DBD">
        <w:t xml:space="preserve">. As a result, </w:t>
      </w:r>
      <w:r w:rsidR="002C66A4" w:rsidRPr="001B5208">
        <w:t xml:space="preserve">analytical work was undertaken to investigate factors affecting student retention, and findings were tabled (including reference to </w:t>
      </w:r>
      <w:r w:rsidR="007C457E">
        <w:t>re-settlement</w:t>
      </w:r>
      <w:r w:rsidR="002C66A4" w:rsidRPr="001B5208">
        <w:t xml:space="preserve"> processes) by the Lao Government for discussion with sector stakeholders. The success of </w:t>
      </w:r>
      <w:r w:rsidR="004F7DBD" w:rsidRPr="001B5208">
        <w:t xml:space="preserve">our </w:t>
      </w:r>
      <w:r w:rsidR="002C66A4" w:rsidRPr="001B5208">
        <w:t>policy</w:t>
      </w:r>
      <w:r w:rsidR="002C66A4" w:rsidRPr="004F7DBD">
        <w:t xml:space="preserve"> dialogue in the educa</w:t>
      </w:r>
      <w:r w:rsidR="004F7DBD" w:rsidRPr="004F7DBD">
        <w:t>tion sector is due largely to our</w:t>
      </w:r>
      <w:r w:rsidR="002C66A4" w:rsidRPr="004F7DBD">
        <w:t xml:space="preserve"> intensive and sustained engagement at all levels within the Ministry of Education and Sports.</w:t>
      </w:r>
    </w:p>
    <w:p w14:paraId="5333FD3A" w14:textId="7B40DC5F" w:rsidR="009E3F27" w:rsidRDefault="002352F7" w:rsidP="001A2426">
      <w:pPr>
        <w:pStyle w:val="BodyText"/>
      </w:pPr>
      <w:r>
        <w:t>The past year</w:t>
      </w:r>
      <w:r w:rsidR="00986C4D" w:rsidRPr="009E3F27">
        <w:t xml:space="preserve"> saw a closer alignment between planning and budgeting processes. The</w:t>
      </w:r>
      <w:r w:rsidR="00986C4D">
        <w:t xml:space="preserve"> preparation of provincial-level annual </w:t>
      </w:r>
      <w:r w:rsidR="00986C4D" w:rsidRPr="00961B4C">
        <w:t xml:space="preserve">costed </w:t>
      </w:r>
      <w:r w:rsidR="00986C4D">
        <w:t>education sector plans took place earlier than pr</w:t>
      </w:r>
      <w:r w:rsidR="00180E1E">
        <w:t xml:space="preserve">evious years, which allowed </w:t>
      </w:r>
      <w:r w:rsidR="00986C4D">
        <w:t>greater opportunity for the plans to inform budget allocations</w:t>
      </w:r>
      <w:r w:rsidR="000D3FBD">
        <w:t xml:space="preserve">, essential for ensuring that key activities under the </w:t>
      </w:r>
      <w:r w:rsidRPr="00321473">
        <w:t xml:space="preserve">Education Sector Development </w:t>
      </w:r>
      <w:r w:rsidRPr="00E02975">
        <w:t>Plan</w:t>
      </w:r>
      <w:r>
        <w:t xml:space="preserve"> </w:t>
      </w:r>
      <w:r w:rsidR="000D3FBD">
        <w:t>are financed</w:t>
      </w:r>
      <w:r w:rsidR="00986C4D">
        <w:t>.</w:t>
      </w:r>
      <w:r w:rsidR="00B51DFB">
        <w:t xml:space="preserve"> </w:t>
      </w:r>
      <w:r w:rsidR="009E3F27">
        <w:t xml:space="preserve">Provincial-level plans were underpinned by financial data made available through an improved investment database managed by the </w:t>
      </w:r>
      <w:r>
        <w:t>ministry</w:t>
      </w:r>
      <w:r w:rsidR="004F7DBD">
        <w:t xml:space="preserve">, which </w:t>
      </w:r>
      <w:r w:rsidR="00643EFF">
        <w:t>the Australian Department of Foreign Affairs and Trade (</w:t>
      </w:r>
      <w:r w:rsidR="00160FAE">
        <w:t>DFAT</w:t>
      </w:r>
      <w:r w:rsidR="00643EFF">
        <w:t>)</w:t>
      </w:r>
      <w:r w:rsidR="00160FAE">
        <w:t xml:space="preserve"> </w:t>
      </w:r>
      <w:r w:rsidR="004F7DBD">
        <w:t>supports</w:t>
      </w:r>
      <w:r w:rsidR="009E3F27">
        <w:t>.</w:t>
      </w:r>
      <w:r w:rsidR="00B51DFB">
        <w:t xml:space="preserve"> </w:t>
      </w:r>
      <w:r w:rsidR="009E3F27">
        <w:t xml:space="preserve">This database has allowed better tracking of education sector funds </w:t>
      </w:r>
      <w:r w:rsidR="003D1193">
        <w:t>a</w:t>
      </w:r>
      <w:r w:rsidR="009E3F27">
        <w:t xml:space="preserve">nd </w:t>
      </w:r>
      <w:r w:rsidR="00180E1E">
        <w:t>investment</w:t>
      </w:r>
      <w:r w:rsidR="009E3F27">
        <w:t xml:space="preserve"> align</w:t>
      </w:r>
      <w:r w:rsidR="00180E1E">
        <w:t>ment</w:t>
      </w:r>
      <w:r w:rsidR="009E3F27">
        <w:t xml:space="preserve"> with </w:t>
      </w:r>
      <w:r>
        <w:t xml:space="preserve">plan </w:t>
      </w:r>
      <w:r w:rsidR="009E3F27">
        <w:t>targets.</w:t>
      </w:r>
      <w:r w:rsidR="005A04B7" w:rsidRPr="00C645CE">
        <w:rPr>
          <w:rStyle w:val="FootnoteReference"/>
          <w:sz w:val="20"/>
          <w:vertAlign w:val="superscript"/>
        </w:rPr>
        <w:footnoteReference w:id="24"/>
      </w:r>
    </w:p>
    <w:p w14:paraId="5DDFFC40" w14:textId="02532A24" w:rsidR="00C87F38" w:rsidRDefault="00EC55E4" w:rsidP="001A2426">
      <w:pPr>
        <w:pStyle w:val="BodyText"/>
      </w:pPr>
      <w:r w:rsidRPr="007A69EF">
        <w:rPr>
          <w:kern w:val="28"/>
          <w:szCs w:val="28"/>
        </w:rPr>
        <w:t>Progress on implementation of technical assistance and capacity building support</w:t>
      </w:r>
      <w:r w:rsidRPr="007A69EF">
        <w:t xml:space="preserve"> ($1</w:t>
      </w:r>
      <w:r w:rsidR="009B2CB6" w:rsidRPr="007A69EF">
        <w:t xml:space="preserve"> </w:t>
      </w:r>
      <w:r w:rsidRPr="007A69EF">
        <w:t xml:space="preserve">million under the </w:t>
      </w:r>
      <w:r w:rsidRPr="007A69EF">
        <w:rPr>
          <w:rFonts w:eastAsia="SimSun"/>
        </w:rPr>
        <w:t>Public Financial Management Strengthening Program</w:t>
      </w:r>
      <w:r w:rsidRPr="007A69EF">
        <w:t xml:space="preserve">) for the roll-out of the </w:t>
      </w:r>
      <w:r w:rsidR="0081646E">
        <w:t>m</w:t>
      </w:r>
      <w:r w:rsidR="0081646E" w:rsidRPr="007A69EF">
        <w:t xml:space="preserve">inistry’s </w:t>
      </w:r>
      <w:r w:rsidRPr="007A69EF">
        <w:t xml:space="preserve">school administration fund block grants to primary schools has been slower than </w:t>
      </w:r>
      <w:r w:rsidRPr="007A69EF">
        <w:lastRenderedPageBreak/>
        <w:t>expected</w:t>
      </w:r>
      <w:r w:rsidR="0081646E">
        <w:t>. This is</w:t>
      </w:r>
      <w:r w:rsidRPr="007A69EF">
        <w:t xml:space="preserve"> primarily due to a delay in transferring funds from the World Bank-executed trust fund to a government executed-trust fund. A plan and budget </w:t>
      </w:r>
      <w:r w:rsidR="00F9618B">
        <w:t>were</w:t>
      </w:r>
      <w:r w:rsidR="00F9618B" w:rsidRPr="007A69EF">
        <w:t xml:space="preserve"> </w:t>
      </w:r>
      <w:r w:rsidRPr="007A69EF">
        <w:t xml:space="preserve">prepared for training on the use of school block grants for both district education administrators and schools. This training will cover 58 districts and 3226 schools. A professional learning visit to Indonesia for </w:t>
      </w:r>
      <w:r w:rsidR="0081646E">
        <w:t>m</w:t>
      </w:r>
      <w:r w:rsidR="0081646E" w:rsidRPr="007A69EF">
        <w:t xml:space="preserve">inistry </w:t>
      </w:r>
      <w:r w:rsidRPr="007A69EF">
        <w:t>personnel responsible for manag</w:t>
      </w:r>
      <w:r w:rsidR="0081646E">
        <w:t xml:space="preserve">ing </w:t>
      </w:r>
      <w:r w:rsidRPr="007A69EF">
        <w:t>school block grants was conducted in May 2013</w:t>
      </w:r>
      <w:r w:rsidR="00C87F38">
        <w:t xml:space="preserve">, further </w:t>
      </w:r>
      <w:r w:rsidR="009B2CB6" w:rsidRPr="00C87F38">
        <w:t xml:space="preserve">cementing </w:t>
      </w:r>
      <w:r w:rsidR="00160FAE">
        <w:t xml:space="preserve">Australia </w:t>
      </w:r>
      <w:r w:rsidR="009B2CB6" w:rsidRPr="00C87F38">
        <w:t xml:space="preserve">as a donor that can facilitate </w:t>
      </w:r>
      <w:r w:rsidR="00C87F38">
        <w:t>professional learning opportunities between developing countries.</w:t>
      </w:r>
    </w:p>
    <w:p w14:paraId="5AE1ADE3" w14:textId="64BA2236" w:rsidR="0081646E" w:rsidRPr="001A2426" w:rsidRDefault="00180E1E" w:rsidP="001A2426">
      <w:pPr>
        <w:pStyle w:val="BodyText"/>
      </w:pPr>
      <w:r w:rsidRPr="001A2426">
        <w:t>The s</w:t>
      </w:r>
      <w:r w:rsidR="00966D95" w:rsidRPr="001A2426">
        <w:t xml:space="preserve">econd Annual Joint Sector Review Mission took place in March 2013, </w:t>
      </w:r>
      <w:r w:rsidR="0081646E" w:rsidRPr="001A2426">
        <w:t xml:space="preserve">and was </w:t>
      </w:r>
      <w:r w:rsidR="00DA50E7" w:rsidRPr="001A2426">
        <w:t xml:space="preserve">led by the </w:t>
      </w:r>
      <w:r w:rsidR="0081646E" w:rsidRPr="001A2426">
        <w:t>ministry</w:t>
      </w:r>
      <w:r w:rsidR="00966D95" w:rsidRPr="001A2426">
        <w:t>. The review highlighted issues and agreed actions on five areas across the education sector</w:t>
      </w:r>
      <w:r w:rsidR="0081646E" w:rsidRPr="001A2426">
        <w:t>:</w:t>
      </w:r>
    </w:p>
    <w:p w14:paraId="5840C7E7" w14:textId="6DC70D46" w:rsidR="0081646E" w:rsidRDefault="00966D95" w:rsidP="001A2426">
      <w:pPr>
        <w:pStyle w:val="ListBullet"/>
      </w:pPr>
      <w:r w:rsidRPr="001F330F">
        <w:t>early childhood education</w:t>
      </w:r>
    </w:p>
    <w:p w14:paraId="25A1F767" w14:textId="08553AAF" w:rsidR="0081646E" w:rsidRDefault="00966D95" w:rsidP="001A2426">
      <w:pPr>
        <w:pStyle w:val="ListBullet"/>
      </w:pPr>
      <w:r w:rsidRPr="001F330F">
        <w:t>transition curriculum for upper secondary school</w:t>
      </w:r>
    </w:p>
    <w:p w14:paraId="6A7EFDF0" w14:textId="48B8EF9D" w:rsidR="0081646E" w:rsidRDefault="00966D95" w:rsidP="001A2426">
      <w:pPr>
        <w:pStyle w:val="ListBullet"/>
      </w:pPr>
      <w:r w:rsidRPr="001F330F">
        <w:t>participation of primary school dropouts in non-formal primary education</w:t>
      </w:r>
    </w:p>
    <w:p w14:paraId="358F16D7" w14:textId="79CD4208" w:rsidR="0081646E" w:rsidRDefault="00966D95" w:rsidP="001A2426">
      <w:pPr>
        <w:pStyle w:val="ListBullet"/>
      </w:pPr>
      <w:r w:rsidRPr="001F330F">
        <w:t>low retention rates to primary grade five and secondary grade nine</w:t>
      </w:r>
    </w:p>
    <w:p w14:paraId="5EC5D3C3" w14:textId="77777777" w:rsidR="0081646E" w:rsidRDefault="00966D95" w:rsidP="001A2426">
      <w:pPr>
        <w:pStyle w:val="ListBullet"/>
      </w:pPr>
      <w:proofErr w:type="gramStart"/>
      <w:r w:rsidRPr="001F330F">
        <w:t>post-basic</w:t>
      </w:r>
      <w:proofErr w:type="gramEnd"/>
      <w:r w:rsidRPr="001F330F">
        <w:t xml:space="preserve"> education curriculum to meet labour market demand. </w:t>
      </w:r>
    </w:p>
    <w:p w14:paraId="1E4FF55A" w14:textId="38B0552B" w:rsidR="00966D95" w:rsidRPr="001A2426" w:rsidRDefault="00966D95" w:rsidP="001A2426">
      <w:pPr>
        <w:pStyle w:val="BodyText"/>
      </w:pPr>
      <w:r w:rsidRPr="001A2426">
        <w:t xml:space="preserve">The negative impact of village consolidation on primary school attendance in some areas was highlighted in the review, as was the need for more effective </w:t>
      </w:r>
      <w:r w:rsidR="00180E1E" w:rsidRPr="001A2426">
        <w:t xml:space="preserve">sector budgeting and planning. </w:t>
      </w:r>
      <w:r w:rsidRPr="001A2426">
        <w:t>Australia continued to play a leading role in</w:t>
      </w:r>
      <w:r w:rsidR="00180E1E" w:rsidRPr="001A2426">
        <w:t xml:space="preserve"> supporting the annual review.</w:t>
      </w:r>
      <w:r w:rsidR="00D24BB7" w:rsidRPr="001A2426">
        <w:t xml:space="preserve"> The findings have informed the development of education sector plans, including Australia’s.</w:t>
      </w:r>
    </w:p>
    <w:p w14:paraId="7C844001" w14:textId="10F70325" w:rsidR="00180E1E" w:rsidRPr="001A2426" w:rsidRDefault="00180E1E" w:rsidP="001A2426">
      <w:pPr>
        <w:pStyle w:val="BodyText"/>
      </w:pPr>
      <w:r w:rsidRPr="001A2426">
        <w:t xml:space="preserve">Continued Australian funding of a </w:t>
      </w:r>
      <w:r w:rsidR="0081646E" w:rsidRPr="001A2426">
        <w:t xml:space="preserve">senior education </w:t>
      </w:r>
      <w:r w:rsidR="00FC39B1">
        <w:t>adviser</w:t>
      </w:r>
      <w:r w:rsidR="0081646E" w:rsidRPr="001A2426">
        <w:t xml:space="preserve"> at the ministry</w:t>
      </w:r>
      <w:r w:rsidRPr="001A2426">
        <w:t>, as well as an E</w:t>
      </w:r>
      <w:r w:rsidR="00313BA1" w:rsidRPr="001A2426">
        <w:t xml:space="preserve">ducation Sector </w:t>
      </w:r>
      <w:r w:rsidR="0081646E" w:rsidRPr="001A2426">
        <w:t xml:space="preserve">Working </w:t>
      </w:r>
      <w:r w:rsidRPr="001A2426">
        <w:t>G</w:t>
      </w:r>
      <w:r w:rsidR="0081646E" w:rsidRPr="001A2426">
        <w:t>roup</w:t>
      </w:r>
      <w:r w:rsidRPr="001A2426">
        <w:t xml:space="preserve"> </w:t>
      </w:r>
      <w:r w:rsidR="0081646E" w:rsidRPr="001A2426">
        <w:t>policy and operations coordinator</w:t>
      </w:r>
      <w:r w:rsidRPr="001A2426">
        <w:t>, has contributed to Australia maintaining an intensive engagement within the sector.</w:t>
      </w:r>
      <w:r w:rsidR="00B51DFB" w:rsidRPr="001A2426">
        <w:t xml:space="preserve"> </w:t>
      </w:r>
      <w:r w:rsidR="00DA50E7" w:rsidRPr="001A2426">
        <w:t>Inputs from the</w:t>
      </w:r>
      <w:r w:rsidRPr="001A2426">
        <w:t xml:space="preserve"> </w:t>
      </w:r>
      <w:r w:rsidR="0081646E" w:rsidRPr="001A2426">
        <w:t xml:space="preserve">senior education </w:t>
      </w:r>
      <w:r w:rsidR="00FC39B1">
        <w:t>adviser</w:t>
      </w:r>
      <w:r w:rsidR="0081646E" w:rsidRPr="001A2426">
        <w:t xml:space="preserve"> </w:t>
      </w:r>
      <w:r w:rsidR="00DA50E7" w:rsidRPr="001A2426">
        <w:t xml:space="preserve">have been </w:t>
      </w:r>
      <w:r w:rsidRPr="001A2426">
        <w:t xml:space="preserve">critical </w:t>
      </w:r>
      <w:r w:rsidR="00DA50E7" w:rsidRPr="001A2426">
        <w:t xml:space="preserve">to </w:t>
      </w:r>
      <w:r w:rsidRPr="001A2426">
        <w:t>support</w:t>
      </w:r>
      <w:r w:rsidR="00DA50E7" w:rsidRPr="001A2426">
        <w:t>ing</w:t>
      </w:r>
      <w:r w:rsidRPr="001A2426">
        <w:t xml:space="preserve"> the </w:t>
      </w:r>
      <w:r w:rsidR="0081646E" w:rsidRPr="001A2426">
        <w:t xml:space="preserve">working group </w:t>
      </w:r>
      <w:r w:rsidR="00DA50E7" w:rsidRPr="001A2426">
        <w:t xml:space="preserve">and </w:t>
      </w:r>
      <w:r w:rsidRPr="001A2426">
        <w:t xml:space="preserve">the first ever review of the </w:t>
      </w:r>
      <w:r w:rsidR="0081646E" w:rsidRPr="001A2426">
        <w:t>Education Sector Development Plan</w:t>
      </w:r>
      <w:r w:rsidRPr="001A2426">
        <w:t xml:space="preserve">, </w:t>
      </w:r>
      <w:r w:rsidR="00E23DFF" w:rsidRPr="001A2426">
        <w:t xml:space="preserve">which commenced in April 2013 and is expected to </w:t>
      </w:r>
      <w:r w:rsidRPr="001A2426">
        <w:t xml:space="preserve">produce revised </w:t>
      </w:r>
      <w:r w:rsidR="00E23DFF" w:rsidRPr="001A2426">
        <w:t xml:space="preserve">sector </w:t>
      </w:r>
      <w:r w:rsidR="00DA50E7" w:rsidRPr="001A2426">
        <w:t>targets.</w:t>
      </w:r>
      <w:r w:rsidR="00B51DFB" w:rsidRPr="001A2426">
        <w:t xml:space="preserve"> </w:t>
      </w:r>
      <w:r w:rsidR="00D6556C" w:rsidRPr="001A2426">
        <w:t xml:space="preserve">An important outcome of the </w:t>
      </w:r>
      <w:r w:rsidR="0081646E" w:rsidRPr="001A2426">
        <w:t xml:space="preserve">adviser’s </w:t>
      </w:r>
      <w:r w:rsidR="00D6556C" w:rsidRPr="001A2426">
        <w:t xml:space="preserve">work is the realignment of budget processes with </w:t>
      </w:r>
      <w:r w:rsidR="0081646E" w:rsidRPr="001A2426">
        <w:t xml:space="preserve">Education Sector Development Plan </w:t>
      </w:r>
      <w:r w:rsidR="00D6556C" w:rsidRPr="001A2426">
        <w:t xml:space="preserve">targets, which were informed by the </w:t>
      </w:r>
      <w:r w:rsidR="0081646E" w:rsidRPr="001A2426">
        <w:t xml:space="preserve">adviser’s </w:t>
      </w:r>
      <w:r w:rsidR="00D6556C" w:rsidRPr="001A2426">
        <w:t>analysis of provincial education sector financing.</w:t>
      </w:r>
    </w:p>
    <w:p w14:paraId="78985D0C" w14:textId="1DF541D1" w:rsidR="004E4949" w:rsidRPr="001A2426" w:rsidRDefault="00160FAE" w:rsidP="001A2426">
      <w:pPr>
        <w:pStyle w:val="BodyText"/>
      </w:pPr>
      <w:r>
        <w:t>T</w:t>
      </w:r>
      <w:r w:rsidR="00A30313" w:rsidRPr="001A2426">
        <w:t xml:space="preserve">he Laos Country Program </w:t>
      </w:r>
      <w:r w:rsidR="00213DE2" w:rsidRPr="001A2426">
        <w:t>accessed</w:t>
      </w:r>
      <w:r w:rsidR="004E4949" w:rsidRPr="001A2426">
        <w:t xml:space="preserve"> high quality technical input from </w:t>
      </w:r>
      <w:r w:rsidR="00A30313" w:rsidRPr="001A2426">
        <w:t>the Aus</w:t>
      </w:r>
      <w:r>
        <w:t>tralian aid</w:t>
      </w:r>
      <w:r w:rsidR="004E4949" w:rsidRPr="001A2426">
        <w:t xml:space="preserve"> Education Thematic Group’s </w:t>
      </w:r>
      <w:r w:rsidR="0081646E" w:rsidRPr="001A2426">
        <w:t>senior education specialist</w:t>
      </w:r>
      <w:r w:rsidR="004F7DBD" w:rsidRPr="001A2426">
        <w:t xml:space="preserve">, who joined the review and </w:t>
      </w:r>
      <w:r w:rsidR="002B5819" w:rsidRPr="001A2426">
        <w:t>prov</w:t>
      </w:r>
      <w:r w:rsidR="00A30313" w:rsidRPr="001A2426">
        <w:t xml:space="preserve">ided invaluable advice </w:t>
      </w:r>
      <w:r w:rsidR="002B5819" w:rsidRPr="001A2426">
        <w:t xml:space="preserve">into the preparation of the </w:t>
      </w:r>
      <w:r w:rsidR="0081646E" w:rsidRPr="001A2426">
        <w:t>education sector delivery strategy</w:t>
      </w:r>
      <w:r w:rsidR="002B5819" w:rsidRPr="001A2426">
        <w:t>.</w:t>
      </w:r>
    </w:p>
    <w:p w14:paraId="08368AC7" w14:textId="6ED99410" w:rsidR="00993B72" w:rsidRPr="001A2426" w:rsidRDefault="005F34AB" w:rsidP="001A2426">
      <w:pPr>
        <w:pStyle w:val="Heading2"/>
      </w:pPr>
      <w:r w:rsidRPr="001A2426">
        <w:t xml:space="preserve">Trade and </w:t>
      </w:r>
      <w:r w:rsidR="0081646E" w:rsidRPr="001A2426">
        <w:t>investment</w:t>
      </w:r>
    </w:p>
    <w:p w14:paraId="2F7699AF" w14:textId="1DE9B7B8" w:rsidR="00D47100" w:rsidRPr="001A2426" w:rsidRDefault="00C8688E" w:rsidP="001A2426">
      <w:pPr>
        <w:pStyle w:val="BodyText"/>
      </w:pPr>
      <w:r w:rsidRPr="001A2426">
        <w:t xml:space="preserve">The Lao Government is continuing to make positive efforts </w:t>
      </w:r>
      <w:r w:rsidR="0081646E" w:rsidRPr="001A2426">
        <w:t xml:space="preserve">to </w:t>
      </w:r>
      <w:r w:rsidRPr="001A2426">
        <w:t>broaden its economic base and diversify</w:t>
      </w:r>
      <w:r w:rsidR="00354788" w:rsidRPr="001A2426">
        <w:t>ing</w:t>
      </w:r>
      <w:r w:rsidRPr="001A2426">
        <w:t xml:space="preserve"> its trade. Trade openness (trade as a percentage of</w:t>
      </w:r>
      <w:r w:rsidR="00A45DB8" w:rsidRPr="001A2426">
        <w:t xml:space="preserve"> GDP) grew slightly from 78 </w:t>
      </w:r>
      <w:r w:rsidR="00983017" w:rsidRPr="001A2426">
        <w:t>per cent</w:t>
      </w:r>
      <w:r w:rsidRPr="001A2426">
        <w:t xml:space="preserve"> in </w:t>
      </w:r>
      <w:r w:rsidR="007C646E" w:rsidRPr="001A2426">
        <w:t xml:space="preserve">2011 to 79 </w:t>
      </w:r>
      <w:r w:rsidR="00983017" w:rsidRPr="001A2426">
        <w:t>per cent</w:t>
      </w:r>
      <w:r w:rsidRPr="001A2426">
        <w:t xml:space="preserve"> in 2012. Although trade in services is growing s</w:t>
      </w:r>
      <w:r w:rsidR="00250A7E" w:rsidRPr="001A2426">
        <w:t xml:space="preserve">trongly in absolute terms </w:t>
      </w:r>
      <w:r w:rsidR="0081646E" w:rsidRPr="001A2426">
        <w:t>(</w:t>
      </w:r>
      <w:r w:rsidR="00A45DB8" w:rsidRPr="001A2426">
        <w:t>USD774</w:t>
      </w:r>
      <w:r w:rsidRPr="001A2426">
        <w:t xml:space="preserve"> million</w:t>
      </w:r>
      <w:r w:rsidR="00A45DB8" w:rsidRPr="001A2426">
        <w:t xml:space="preserve"> in 2010</w:t>
      </w:r>
      <w:r w:rsidRPr="001A2426">
        <w:t xml:space="preserve"> to USD880 million in 2011</w:t>
      </w:r>
      <w:r w:rsidR="0081646E" w:rsidRPr="001A2426">
        <w:t xml:space="preserve">) </w:t>
      </w:r>
      <w:r w:rsidRPr="001A2426">
        <w:t xml:space="preserve">its percentage contribution to total trade </w:t>
      </w:r>
      <w:r w:rsidR="00A45DB8" w:rsidRPr="001A2426">
        <w:t xml:space="preserve">was variable with 16 </w:t>
      </w:r>
      <w:r w:rsidR="00983017" w:rsidRPr="001A2426">
        <w:t>per cent</w:t>
      </w:r>
      <w:r w:rsidR="00A45DB8" w:rsidRPr="001A2426">
        <w:t xml:space="preserve"> in 2010</w:t>
      </w:r>
      <w:r w:rsidR="007C646E" w:rsidRPr="001A2426">
        <w:t xml:space="preserve"> and </w:t>
      </w:r>
      <w:r w:rsidR="00A45DB8" w:rsidRPr="001A2426">
        <w:t>with a decline to 14</w:t>
      </w:r>
      <w:r w:rsidR="00354788" w:rsidRPr="001A2426">
        <w:t xml:space="preserve"> </w:t>
      </w:r>
      <w:r w:rsidR="00A45DB8" w:rsidRPr="001A2426">
        <w:t>per</w:t>
      </w:r>
      <w:r w:rsidR="0081646E" w:rsidRPr="001A2426">
        <w:t xml:space="preserve"> </w:t>
      </w:r>
      <w:r w:rsidR="00A45DB8" w:rsidRPr="001A2426">
        <w:t xml:space="preserve">cent </w:t>
      </w:r>
      <w:r w:rsidR="007C646E" w:rsidRPr="001A2426">
        <w:t>in 2011.</w:t>
      </w:r>
      <w:r w:rsidR="001B5208" w:rsidRPr="001A2426">
        <w:t xml:space="preserve"> </w:t>
      </w:r>
    </w:p>
    <w:p w14:paraId="73F29A8C" w14:textId="4F831781" w:rsidR="0030408C" w:rsidRPr="001A2426" w:rsidRDefault="00D47100" w:rsidP="001A2426">
      <w:pPr>
        <w:pStyle w:val="BodyText"/>
      </w:pPr>
      <w:r w:rsidRPr="001A2426">
        <w:t xml:space="preserve">The </w:t>
      </w:r>
      <w:r w:rsidR="0081646E" w:rsidRPr="001A2426">
        <w:t xml:space="preserve">government </w:t>
      </w:r>
      <w:r w:rsidRPr="001A2426">
        <w:t>is making progress with its trade facilitation agenda.</w:t>
      </w:r>
      <w:r w:rsidR="00B51DFB" w:rsidRPr="001A2426">
        <w:t xml:space="preserve"> </w:t>
      </w:r>
      <w:r w:rsidR="0081646E" w:rsidRPr="001A2426">
        <w:t xml:space="preserve">The number of days </w:t>
      </w:r>
      <w:r w:rsidRPr="001A2426">
        <w:t xml:space="preserve">to clear exports through customs </w:t>
      </w:r>
      <w:r w:rsidR="0081646E" w:rsidRPr="001A2426">
        <w:t xml:space="preserve">has </w:t>
      </w:r>
      <w:r w:rsidRPr="001A2426">
        <w:t>improved from 7.5 in 2009 to 5.6 in 2012</w:t>
      </w:r>
      <w:r w:rsidR="0081646E" w:rsidRPr="001A2426">
        <w:t>, while</w:t>
      </w:r>
      <w:r w:rsidRPr="001A2426">
        <w:t xml:space="preserve"> days to clear imports have fallen from 10.6 to 3.3 over the same period. </w:t>
      </w:r>
      <w:r w:rsidR="0030408C" w:rsidRPr="001A2426">
        <w:t>Laos’ ranking in the World Bank’s Ease of Doing Business Report remains stagnant at 16</w:t>
      </w:r>
      <w:r w:rsidR="001175F2" w:rsidRPr="001A2426">
        <w:t>3</w:t>
      </w:r>
      <w:r w:rsidR="0030408C" w:rsidRPr="001A2426">
        <w:t xml:space="preserve"> out of 183 economies and its logistics performance index rank of 109 out of 155 countries remains poor.</w:t>
      </w:r>
    </w:p>
    <w:p w14:paraId="3D1FF41B" w14:textId="5F656534" w:rsidR="00250A7E" w:rsidRPr="001A2426" w:rsidRDefault="00D47100" w:rsidP="001A2426">
      <w:pPr>
        <w:pStyle w:val="BodyText"/>
      </w:pPr>
      <w:r w:rsidRPr="001A2426">
        <w:t>After 15 years of preparation</w:t>
      </w:r>
      <w:r w:rsidR="0081646E" w:rsidRPr="001A2426">
        <w:t>,</w:t>
      </w:r>
      <w:r w:rsidRPr="001A2426">
        <w:t xml:space="preserve"> Laos became a member of the </w:t>
      </w:r>
      <w:r w:rsidR="0081646E" w:rsidRPr="001A2426">
        <w:t xml:space="preserve">World Trade Organization </w:t>
      </w:r>
      <w:r w:rsidR="009F6E36" w:rsidRPr="001A2426">
        <w:t>in 2013.</w:t>
      </w:r>
      <w:r w:rsidR="00B51DFB" w:rsidRPr="001A2426">
        <w:t xml:space="preserve"> </w:t>
      </w:r>
      <w:r w:rsidR="0081646E" w:rsidRPr="001A2426">
        <w:t>To</w:t>
      </w:r>
      <w:r w:rsidR="009F6E36" w:rsidRPr="001A2426">
        <w:t xml:space="preserve"> maintain the momentum </w:t>
      </w:r>
      <w:r w:rsidR="00F9618B" w:rsidRPr="001A2426">
        <w:t xml:space="preserve">of this, </w:t>
      </w:r>
      <w:r w:rsidR="00965695" w:rsidRPr="001A2426">
        <w:t xml:space="preserve">Laos </w:t>
      </w:r>
      <w:r w:rsidR="009F6E36" w:rsidRPr="001A2426">
        <w:t>will need to progress reforms agreed to</w:t>
      </w:r>
      <w:r w:rsidR="00F9618B" w:rsidRPr="001A2426">
        <w:t xml:space="preserve"> in</w:t>
      </w:r>
      <w:r w:rsidR="009F6E36" w:rsidRPr="001A2426">
        <w:t xml:space="preserve"> its accession package</w:t>
      </w:r>
      <w:r w:rsidR="00965695" w:rsidRPr="001A2426">
        <w:t>.</w:t>
      </w:r>
    </w:p>
    <w:p w14:paraId="0DE48468" w14:textId="22837233" w:rsidR="009B2CB6" w:rsidRDefault="009B2CB6" w:rsidP="001A2426">
      <w:pPr>
        <w:pStyle w:val="BodyText"/>
      </w:pPr>
      <w:r w:rsidRPr="001A2426">
        <w:lastRenderedPageBreak/>
        <w:t xml:space="preserve">The implementation of a new program of support to trade and investment in 2013 will see a change in focus, and this will lead to a change in the </w:t>
      </w:r>
      <w:r w:rsidR="002865E3" w:rsidRPr="001A2426">
        <w:t xml:space="preserve">performance assessment framework for objective </w:t>
      </w:r>
      <w:r w:rsidRPr="001A2426">
        <w:t xml:space="preserve">3, which will be reported against in the </w:t>
      </w:r>
      <w:r w:rsidR="00F9618B" w:rsidRPr="001A2426">
        <w:t>annual performance progress revie</w:t>
      </w:r>
      <w:r w:rsidR="002865E3" w:rsidRPr="001A2426">
        <w:t xml:space="preserve">w </w:t>
      </w:r>
      <w:r w:rsidRPr="001A2426">
        <w:t>for 2013</w:t>
      </w:r>
      <w:r w:rsidR="002865E3" w:rsidRPr="001A2426">
        <w:t>–</w:t>
      </w:r>
      <w:r w:rsidRPr="001A2426">
        <w:t>14.</w:t>
      </w:r>
    </w:p>
    <w:p w14:paraId="3A8F583B" w14:textId="41141CCB" w:rsidR="003E5B0C" w:rsidRDefault="003E5B0C" w:rsidP="003E5B0C">
      <w:pPr>
        <w:pStyle w:val="Heading3"/>
      </w:pPr>
      <w:r w:rsidRPr="001A2426">
        <w:rPr>
          <w:rFonts w:eastAsia="Calibri"/>
        </w:rPr>
        <w:t>Objective 3: policy and institutional impediments to trade and investment addressed in sectors that contribute to inclusive growth</w:t>
      </w:r>
    </w:p>
    <w:tbl>
      <w:tblPr>
        <w:tblStyle w:val="APPR"/>
        <w:tblW w:w="5000" w:type="pct"/>
        <w:tblLook w:val="01E0" w:firstRow="1" w:lastRow="1" w:firstColumn="1" w:lastColumn="1" w:noHBand="0" w:noVBand="0"/>
      </w:tblPr>
      <w:tblGrid>
        <w:gridCol w:w="6894"/>
        <w:gridCol w:w="1712"/>
      </w:tblGrid>
      <w:tr w:rsidR="001A2426" w:rsidRPr="00745FE3" w14:paraId="7D51E24E" w14:textId="77777777" w:rsidTr="001A2426">
        <w:trPr>
          <w:cnfStyle w:val="100000000000" w:firstRow="1" w:lastRow="0" w:firstColumn="0" w:lastColumn="0" w:oddVBand="0" w:evenVBand="0" w:oddHBand="0" w:evenHBand="0" w:firstRowFirstColumn="0" w:firstRowLastColumn="0" w:lastRowFirstColumn="0" w:lastRowLastColumn="0"/>
        </w:trPr>
        <w:tc>
          <w:tcPr>
            <w:tcW w:w="3981" w:type="pct"/>
          </w:tcPr>
          <w:p w14:paraId="68A919DD" w14:textId="77777777" w:rsidR="001A2426" w:rsidRPr="00BF2045" w:rsidRDefault="001A2426" w:rsidP="001A2426">
            <w:pPr>
              <w:pStyle w:val="TableTextColumnHeading"/>
              <w:rPr>
                <w:rFonts w:eastAsia="Calibri"/>
                <w:b/>
              </w:rPr>
            </w:pPr>
            <w:r w:rsidRPr="00BF2045">
              <w:rPr>
                <w:rFonts w:eastAsia="Calibri"/>
                <w:b/>
              </w:rPr>
              <w:t>Objective</w:t>
            </w:r>
          </w:p>
        </w:tc>
        <w:tc>
          <w:tcPr>
            <w:tcW w:w="970" w:type="pct"/>
          </w:tcPr>
          <w:p w14:paraId="3A522B3F" w14:textId="77777777" w:rsidR="001A2426" w:rsidRPr="00BF2045" w:rsidRDefault="001A2426" w:rsidP="001A2426">
            <w:pPr>
              <w:pStyle w:val="TableTextColumnHeading"/>
              <w:rPr>
                <w:rFonts w:eastAsia="Calibri"/>
                <w:b/>
              </w:rPr>
            </w:pPr>
            <w:r w:rsidRPr="00BF2045">
              <w:rPr>
                <w:rFonts w:eastAsia="Calibri"/>
                <w:b/>
              </w:rPr>
              <w:t xml:space="preserve">Current rating </w:t>
            </w:r>
          </w:p>
        </w:tc>
      </w:tr>
      <w:tr w:rsidR="001A2426" w:rsidRPr="00745FE3" w14:paraId="5D2DF807" w14:textId="77777777" w:rsidTr="001A2426">
        <w:trPr>
          <w:cnfStyle w:val="100000000000" w:firstRow="1" w:lastRow="0" w:firstColumn="0" w:lastColumn="0" w:oddVBand="0" w:evenVBand="0" w:oddHBand="0" w:evenHBand="0" w:firstRowFirstColumn="0" w:firstRowLastColumn="0" w:lastRowFirstColumn="0" w:lastRowLastColumn="0"/>
        </w:trPr>
        <w:tc>
          <w:tcPr>
            <w:tcW w:w="3981" w:type="pct"/>
          </w:tcPr>
          <w:p w14:paraId="4963C30C" w14:textId="3C4387E2" w:rsidR="001A2426" w:rsidRPr="00BF2045" w:rsidRDefault="001A2426" w:rsidP="001A2426">
            <w:pPr>
              <w:pStyle w:val="TableTextEntries"/>
              <w:rPr>
                <w:rFonts w:eastAsia="Calibri"/>
                <w:b w:val="0"/>
              </w:rPr>
            </w:pPr>
            <w:r w:rsidRPr="001A2426">
              <w:rPr>
                <w:rFonts w:eastAsia="Calibri"/>
                <w:b w:val="0"/>
              </w:rPr>
              <w:t>Objective 3: policy and institutional impediments to trade and investment addressed in sectors that contribute to inclusive growth</w:t>
            </w:r>
          </w:p>
        </w:tc>
        <w:tc>
          <w:tcPr>
            <w:tcW w:w="970" w:type="pct"/>
            <w:shd w:val="clear" w:color="auto" w:fill="92D050"/>
          </w:tcPr>
          <w:p w14:paraId="133E6ED1" w14:textId="77777777" w:rsidR="001A2426" w:rsidRPr="00BF2045" w:rsidRDefault="001A2426" w:rsidP="001A2426">
            <w:pPr>
              <w:pStyle w:val="TableTextEntries"/>
              <w:rPr>
                <w:rFonts w:eastAsia="Calibri"/>
                <w:b w:val="0"/>
              </w:rPr>
            </w:pPr>
            <w:r>
              <w:rPr>
                <w:rFonts w:eastAsia="Calibri"/>
                <w:b w:val="0"/>
              </w:rPr>
              <w:t>green</w:t>
            </w:r>
          </w:p>
        </w:tc>
      </w:tr>
    </w:tbl>
    <w:p w14:paraId="11EED384" w14:textId="77777777" w:rsidR="001A2426" w:rsidRPr="001A2426" w:rsidRDefault="001A2426" w:rsidP="001A2426">
      <w:pPr>
        <w:pStyle w:val="BodyText"/>
      </w:pPr>
    </w:p>
    <w:p w14:paraId="77E3004E" w14:textId="6F406979" w:rsidR="004A4516" w:rsidRPr="008D0F7B" w:rsidRDefault="00510792" w:rsidP="001A2426">
      <w:pPr>
        <w:pStyle w:val="BodyText"/>
      </w:pPr>
      <w:r w:rsidRPr="007A69EF">
        <w:t>Progress against milestones</w:t>
      </w:r>
      <w:r w:rsidR="00295D1D" w:rsidRPr="007A69EF">
        <w:t xml:space="preserve"> </w:t>
      </w:r>
      <w:r w:rsidRPr="007A69EF">
        <w:t xml:space="preserve">is on track. </w:t>
      </w:r>
      <w:r w:rsidR="00680914" w:rsidRPr="007A69EF">
        <w:t>All four milestones</w:t>
      </w:r>
      <w:r w:rsidR="00DD3C8D" w:rsidRPr="007A69EF">
        <w:t xml:space="preserve"> </w:t>
      </w:r>
      <w:r w:rsidR="00680914" w:rsidRPr="007A69EF">
        <w:t xml:space="preserve">were </w:t>
      </w:r>
      <w:r w:rsidR="00DD3C8D" w:rsidRPr="007A69EF">
        <w:t xml:space="preserve">fully </w:t>
      </w:r>
      <w:r w:rsidR="00680914" w:rsidRPr="007A69EF">
        <w:t>met under this objective</w:t>
      </w:r>
      <w:r w:rsidR="00747C6B" w:rsidRPr="007A69EF">
        <w:t xml:space="preserve"> in 2012</w:t>
      </w:r>
      <w:r w:rsidR="002865E3">
        <w:t>–</w:t>
      </w:r>
      <w:r w:rsidR="00747C6B" w:rsidRPr="007A69EF">
        <w:t>13.</w:t>
      </w:r>
      <w:r w:rsidR="00B51DFB">
        <w:t xml:space="preserve"> </w:t>
      </w:r>
      <w:r w:rsidR="00747C6B" w:rsidRPr="007A69EF">
        <w:t xml:space="preserve">Key achievements include </w:t>
      </w:r>
      <w:r w:rsidR="002865E3">
        <w:t>World Trade Organization</w:t>
      </w:r>
      <w:r w:rsidR="002865E3" w:rsidRPr="007A69EF">
        <w:t xml:space="preserve"> </w:t>
      </w:r>
      <w:r w:rsidR="00747C6B" w:rsidRPr="007A69EF">
        <w:t xml:space="preserve">accession, completion of </w:t>
      </w:r>
      <w:r w:rsidR="00F9618B">
        <w:t xml:space="preserve">a </w:t>
      </w:r>
      <w:r w:rsidR="002865E3" w:rsidRPr="007A69EF">
        <w:t xml:space="preserve">sanitary and </w:t>
      </w:r>
      <w:proofErr w:type="spellStart"/>
      <w:r w:rsidR="002865E3" w:rsidRPr="007A69EF">
        <w:t>phyto</w:t>
      </w:r>
      <w:proofErr w:type="spellEnd"/>
      <w:r w:rsidR="00747C6B" w:rsidRPr="007A69EF">
        <w:t>-sanit</w:t>
      </w:r>
      <w:r w:rsidR="007C457E">
        <w:t>a</w:t>
      </w:r>
      <w:r w:rsidR="00747C6B" w:rsidRPr="007A69EF">
        <w:t>ry</w:t>
      </w:r>
      <w:r w:rsidR="00680914" w:rsidRPr="007A69EF">
        <w:t xml:space="preserve"> </w:t>
      </w:r>
      <w:r w:rsidR="00747C6B" w:rsidRPr="007A69EF">
        <w:t xml:space="preserve">regulatory assessment and a trade portal </w:t>
      </w:r>
      <w:r w:rsidR="00680914" w:rsidRPr="007A69EF">
        <w:t>(</w:t>
      </w:r>
      <w:r w:rsidR="002865E3">
        <w:t>see</w:t>
      </w:r>
      <w:r w:rsidR="002865E3" w:rsidRPr="007A69EF">
        <w:t xml:space="preserve"> </w:t>
      </w:r>
      <w:r w:rsidR="0078569D">
        <w:t>Annex D</w:t>
      </w:r>
      <w:r w:rsidR="00680914" w:rsidRPr="007A69EF">
        <w:t xml:space="preserve"> </w:t>
      </w:r>
      <w:r w:rsidR="007C457E">
        <w:t xml:space="preserve">for </w:t>
      </w:r>
      <w:r w:rsidR="00680914" w:rsidRPr="007A69EF">
        <w:t>more details).</w:t>
      </w:r>
      <w:r w:rsidR="007B0C81">
        <w:t xml:space="preserve"> </w:t>
      </w:r>
    </w:p>
    <w:p w14:paraId="5A8FAE84" w14:textId="3F35A1BE" w:rsidR="00057A42" w:rsidRPr="00057A42" w:rsidRDefault="004A4516" w:rsidP="001A2426">
      <w:pPr>
        <w:pStyle w:val="BodyText"/>
      </w:pPr>
      <w:r w:rsidRPr="00057A42">
        <w:t xml:space="preserve">Firm progress was made </w:t>
      </w:r>
      <w:r w:rsidR="00680914">
        <w:t xml:space="preserve">towards this objective in 2012. </w:t>
      </w:r>
      <w:r w:rsidRPr="00057A42">
        <w:t>The most significant achievement was Laos’ membership accession to the World Trade Organization</w:t>
      </w:r>
      <w:r w:rsidR="00B90EB9" w:rsidRPr="00057A42">
        <w:t>, which</w:t>
      </w:r>
      <w:r w:rsidRPr="00057A42">
        <w:t xml:space="preserve"> occurred on </w:t>
      </w:r>
      <w:r w:rsidR="00A66B25" w:rsidRPr="00057A42">
        <w:t>2</w:t>
      </w:r>
      <w:r w:rsidRPr="00057A42">
        <w:t xml:space="preserve"> February 2013. This represents a culmination of effort </w:t>
      </w:r>
      <w:r w:rsidR="005E461F" w:rsidRPr="00057A42">
        <w:t xml:space="preserve">in </w:t>
      </w:r>
      <w:r w:rsidRPr="00057A42">
        <w:t xml:space="preserve">trade reforms made </w:t>
      </w:r>
      <w:r w:rsidR="005E461F" w:rsidRPr="00057A42">
        <w:t xml:space="preserve">by Laos </w:t>
      </w:r>
      <w:r w:rsidRPr="00057A42">
        <w:t>over the last 15 years.</w:t>
      </w:r>
      <w:r w:rsidR="00B51DFB">
        <w:t xml:space="preserve"> </w:t>
      </w:r>
      <w:r w:rsidRPr="00057A42">
        <w:t xml:space="preserve">Australia’s investment in the World Bank-managed </w:t>
      </w:r>
      <w:r w:rsidR="005E461F" w:rsidRPr="00057A42">
        <w:t>Trade Development Facility</w:t>
      </w:r>
      <w:r w:rsidR="004868EA" w:rsidRPr="00057A42">
        <w:t xml:space="preserve"> </w:t>
      </w:r>
      <w:r w:rsidR="005E461F" w:rsidRPr="00057A42">
        <w:t>supported Laos in its participation in the accession process.</w:t>
      </w:r>
    </w:p>
    <w:p w14:paraId="5526D34C" w14:textId="4DE576EC" w:rsidR="002A7ABF" w:rsidRPr="00057A42" w:rsidRDefault="00043146" w:rsidP="001A2426">
      <w:pPr>
        <w:pStyle w:val="BodyText"/>
      </w:pPr>
      <w:r>
        <w:t xml:space="preserve">The </w:t>
      </w:r>
      <w:r w:rsidR="002865E3" w:rsidRPr="00057A42">
        <w:t xml:space="preserve">Trade Development Facility </w:t>
      </w:r>
      <w:r w:rsidR="00B31DB9" w:rsidRPr="00057A42">
        <w:t xml:space="preserve">also </w:t>
      </w:r>
      <w:r w:rsidR="002865E3">
        <w:t>helped</w:t>
      </w:r>
      <w:r w:rsidR="002865E3" w:rsidRPr="00057A42">
        <w:t xml:space="preserve"> </w:t>
      </w:r>
      <w:r w:rsidR="005E461F" w:rsidRPr="00057A42">
        <w:t>Laos compl</w:t>
      </w:r>
      <w:r w:rsidR="002865E3">
        <w:t>y with</w:t>
      </w:r>
      <w:r w:rsidR="005E461F" w:rsidRPr="00057A42">
        <w:t xml:space="preserve"> </w:t>
      </w:r>
      <w:r w:rsidR="004A4516" w:rsidRPr="00057A42">
        <w:t>la</w:t>
      </w:r>
      <w:r w:rsidR="004868EA" w:rsidRPr="00057A42">
        <w:t xml:space="preserve">ws and regulations relating to </w:t>
      </w:r>
      <w:r w:rsidR="002865E3" w:rsidRPr="00057A42">
        <w:t xml:space="preserve">sanitary and </w:t>
      </w:r>
      <w:proofErr w:type="spellStart"/>
      <w:r w:rsidR="002865E3" w:rsidRPr="00057A42">
        <w:t>phyto</w:t>
      </w:r>
      <w:proofErr w:type="spellEnd"/>
      <w:r w:rsidR="002865E3" w:rsidRPr="00057A42">
        <w:t>-sanit</w:t>
      </w:r>
      <w:r w:rsidR="007C457E">
        <w:t>a</w:t>
      </w:r>
      <w:r w:rsidR="002865E3" w:rsidRPr="00057A42">
        <w:t>ry</w:t>
      </w:r>
      <w:r w:rsidR="005E461F" w:rsidRPr="00057A42">
        <w:t xml:space="preserve"> standards to facilitate trade in</w:t>
      </w:r>
      <w:r w:rsidR="004A4516" w:rsidRPr="00057A42">
        <w:t xml:space="preserve"> agricultural products. </w:t>
      </w:r>
      <w:r w:rsidR="007C5C8F" w:rsidRPr="00057A42">
        <w:t xml:space="preserve">Laos’ compliance with </w:t>
      </w:r>
      <w:r w:rsidR="002865E3">
        <w:t>these</w:t>
      </w:r>
      <w:r w:rsidR="002865E3" w:rsidRPr="00057A42">
        <w:t xml:space="preserve"> </w:t>
      </w:r>
      <w:r w:rsidR="007C5C8F" w:rsidRPr="00057A42">
        <w:t xml:space="preserve">standards </w:t>
      </w:r>
      <w:r w:rsidR="00CE2432" w:rsidRPr="00057A42">
        <w:t>underpinned its</w:t>
      </w:r>
      <w:r w:rsidR="005E461F" w:rsidRPr="00057A42">
        <w:t xml:space="preserve"> </w:t>
      </w:r>
      <w:r w:rsidR="002865E3" w:rsidRPr="00057A42">
        <w:t xml:space="preserve">World Trade Organization </w:t>
      </w:r>
      <w:r w:rsidR="007C5C8F" w:rsidRPr="00057A42">
        <w:t>accession</w:t>
      </w:r>
      <w:r w:rsidR="005E461F" w:rsidRPr="00057A42">
        <w:t>.</w:t>
      </w:r>
      <w:r w:rsidR="007C5C8F" w:rsidRPr="00057A42">
        <w:t xml:space="preserve"> </w:t>
      </w:r>
      <w:r w:rsidR="002A7ABF" w:rsidRPr="00057A42">
        <w:t xml:space="preserve">In addition, a </w:t>
      </w:r>
      <w:r w:rsidR="002865E3" w:rsidRPr="00057A42">
        <w:t xml:space="preserve">sanitary and </w:t>
      </w:r>
      <w:proofErr w:type="spellStart"/>
      <w:r w:rsidR="002865E3" w:rsidRPr="00057A42">
        <w:t>phyto</w:t>
      </w:r>
      <w:proofErr w:type="spellEnd"/>
      <w:r w:rsidR="002865E3" w:rsidRPr="00057A42">
        <w:t>-sanit</w:t>
      </w:r>
      <w:r w:rsidR="007C457E">
        <w:t>a</w:t>
      </w:r>
      <w:r w:rsidR="002865E3" w:rsidRPr="00057A42">
        <w:t xml:space="preserve">ry standards </w:t>
      </w:r>
      <w:r w:rsidR="004A4516" w:rsidRPr="00057A42">
        <w:t>legal an</w:t>
      </w:r>
      <w:r w:rsidR="007C5C8F" w:rsidRPr="00057A42">
        <w:t>d regulatory assessment was</w:t>
      </w:r>
      <w:r w:rsidR="002A7ABF" w:rsidRPr="00057A42">
        <w:t xml:space="preserve"> undertaken to identify further reforms needed (post-accession) to facilitate trade in agricultural products, ensure food safety as well as to protect animal and plant health.</w:t>
      </w:r>
      <w:r w:rsidR="00B51DFB">
        <w:t xml:space="preserve"> </w:t>
      </w:r>
      <w:r w:rsidR="002A7ABF" w:rsidRPr="00057A42">
        <w:t>This assessment was finalised in March 2013.</w:t>
      </w:r>
    </w:p>
    <w:p w14:paraId="4D84E02D" w14:textId="7EBA76A3" w:rsidR="00603F6D" w:rsidRPr="00D97B29" w:rsidRDefault="004A4516" w:rsidP="001A2426">
      <w:pPr>
        <w:pStyle w:val="BodyText"/>
        <w:rPr>
          <w:sz w:val="16"/>
          <w:szCs w:val="16"/>
        </w:rPr>
      </w:pPr>
      <w:r w:rsidRPr="00057A42">
        <w:t xml:space="preserve">As part of </w:t>
      </w:r>
      <w:r w:rsidR="002865E3" w:rsidRPr="00057A42">
        <w:t>Trade Development Facility</w:t>
      </w:r>
      <w:r w:rsidR="002865E3">
        <w:t xml:space="preserve"> </w:t>
      </w:r>
      <w:r w:rsidRPr="00057A42">
        <w:t xml:space="preserve">trade facilitation efforts, import-export related legal and regulatory information </w:t>
      </w:r>
      <w:r w:rsidR="007C5C8F" w:rsidRPr="00057A42">
        <w:t>was made publically available through the development and launch of a web-based Lao Trade Portal</w:t>
      </w:r>
      <w:r w:rsidR="007C5C8F" w:rsidRPr="007A69EF">
        <w:t xml:space="preserve">. </w:t>
      </w:r>
      <w:r w:rsidR="008D10CE" w:rsidRPr="007A69EF">
        <w:t>The portal bring</w:t>
      </w:r>
      <w:r w:rsidR="002865E3">
        <w:t>s</w:t>
      </w:r>
      <w:r w:rsidR="008D10CE" w:rsidRPr="007A69EF">
        <w:t xml:space="preserve"> together trade-related information of individual ministries and agenc</w:t>
      </w:r>
      <w:r w:rsidR="00747C6B" w:rsidRPr="007A69EF">
        <w:t>ies</w:t>
      </w:r>
      <w:r w:rsidR="002865E3">
        <w:t xml:space="preserve"> and </w:t>
      </w:r>
      <w:r w:rsidR="00747C6B" w:rsidRPr="007A69EF">
        <w:t xml:space="preserve">is </w:t>
      </w:r>
      <w:r w:rsidR="007C5C8F" w:rsidRPr="007A69EF">
        <w:t xml:space="preserve">a </w:t>
      </w:r>
      <w:r w:rsidR="008D0F7B">
        <w:t>transparent one-stop-shop</w:t>
      </w:r>
      <w:r w:rsidR="007C5C8F" w:rsidRPr="007A69EF">
        <w:t xml:space="preserve">, </w:t>
      </w:r>
      <w:r w:rsidR="00CE2432" w:rsidRPr="007A69EF">
        <w:t xml:space="preserve">ultimately </w:t>
      </w:r>
      <w:r w:rsidR="007C5C8F" w:rsidRPr="007A69EF">
        <w:t>saving businesses</w:t>
      </w:r>
      <w:r w:rsidR="007C5C8F" w:rsidRPr="00057A42">
        <w:t xml:space="preserve"> time and money in </w:t>
      </w:r>
      <w:r w:rsidR="00B31ED7" w:rsidRPr="00057A42">
        <w:t>accessing critical informatio</w:t>
      </w:r>
      <w:r w:rsidR="002865E3">
        <w:t>n.</w:t>
      </w:r>
      <w:r w:rsidR="00B31ED7" w:rsidRPr="00C645CE">
        <w:rPr>
          <w:sz w:val="20"/>
          <w:szCs w:val="16"/>
          <w:vertAlign w:val="superscript"/>
        </w:rPr>
        <w:footnoteReference w:id="25"/>
      </w:r>
    </w:p>
    <w:p w14:paraId="7D9908D1" w14:textId="33D22F05" w:rsidR="00057A2B" w:rsidRPr="00D97B29" w:rsidRDefault="00603F6D" w:rsidP="001A2426">
      <w:pPr>
        <w:pStyle w:val="BodyText"/>
        <w:rPr>
          <w:sz w:val="16"/>
          <w:szCs w:val="16"/>
        </w:rPr>
      </w:pPr>
      <w:r w:rsidRPr="00057A42">
        <w:t xml:space="preserve">There were continued efforts </w:t>
      </w:r>
      <w:r w:rsidR="001B5208">
        <w:t xml:space="preserve">through the </w:t>
      </w:r>
      <w:r w:rsidR="002865E3" w:rsidRPr="00057A42">
        <w:t>Trade Development Facility</w:t>
      </w:r>
      <w:r w:rsidR="002865E3">
        <w:t xml:space="preserve"> to</w:t>
      </w:r>
      <w:r w:rsidRPr="00057A42">
        <w:t xml:space="preserve"> support the development of non-resource sectors with high social impacts.</w:t>
      </w:r>
      <w:r w:rsidR="00B51DFB">
        <w:t xml:space="preserve"> </w:t>
      </w:r>
      <w:r w:rsidR="004A4516" w:rsidRPr="00057A42">
        <w:t>Positive progress was made in the ga</w:t>
      </w:r>
      <w:r w:rsidR="00057A2B" w:rsidRPr="00057A42">
        <w:t>rment industry sub-sector. The Garment Skills Development C</w:t>
      </w:r>
      <w:r w:rsidR="004A4516" w:rsidRPr="00057A42">
        <w:t>entre</w:t>
      </w:r>
      <w:r w:rsidR="00057A2B" w:rsidRPr="00057A42">
        <w:t xml:space="preserve">, established in 2011, continues to operate effectively with firm steps being made towards </w:t>
      </w:r>
      <w:r w:rsidR="004A4516" w:rsidRPr="00057A42">
        <w:t xml:space="preserve">achieving </w:t>
      </w:r>
      <w:r w:rsidR="00057A2B" w:rsidRPr="00057A42">
        <w:t xml:space="preserve">the </w:t>
      </w:r>
      <w:r w:rsidR="004A4516" w:rsidRPr="00057A42">
        <w:t>financial sustainability</w:t>
      </w:r>
      <w:r w:rsidR="00057A2B" w:rsidRPr="00057A42">
        <w:t xml:space="preserve"> of this enterpris</w:t>
      </w:r>
      <w:r w:rsidR="002865E3">
        <w:t>e.</w:t>
      </w:r>
      <w:r w:rsidR="00A03D4E" w:rsidRPr="00C645CE">
        <w:rPr>
          <w:sz w:val="20"/>
          <w:szCs w:val="16"/>
          <w:vertAlign w:val="superscript"/>
        </w:rPr>
        <w:footnoteReference w:id="26"/>
      </w:r>
    </w:p>
    <w:p w14:paraId="72F43E65" w14:textId="77777777" w:rsidR="004A4516" w:rsidRPr="00057A42" w:rsidRDefault="000A489C" w:rsidP="001A2426">
      <w:pPr>
        <w:pStyle w:val="BodyText"/>
      </w:pPr>
      <w:r w:rsidRPr="00057A42">
        <w:t xml:space="preserve">Further to the gender analysis undertake in 2011, two additional studies on gender were prepared and finalised in 2012: </w:t>
      </w:r>
      <w:r w:rsidR="004A4516" w:rsidRPr="00057A42">
        <w:t xml:space="preserve">gender mapping </w:t>
      </w:r>
      <w:r w:rsidRPr="00057A42">
        <w:t>on dimensions of trade</w:t>
      </w:r>
      <w:r w:rsidRPr="00C645CE">
        <w:rPr>
          <w:rStyle w:val="FootnoteReference"/>
          <w:sz w:val="20"/>
          <w:szCs w:val="16"/>
          <w:vertAlign w:val="superscript"/>
        </w:rPr>
        <w:footnoteReference w:id="27"/>
      </w:r>
      <w:r w:rsidRPr="00993B72">
        <w:rPr>
          <w:sz w:val="16"/>
          <w:szCs w:val="16"/>
        </w:rPr>
        <w:t xml:space="preserve"> </w:t>
      </w:r>
      <w:r w:rsidRPr="00057A42">
        <w:t>and a survey of labour standards and productivity in the garments sector of managers and workers</w:t>
      </w:r>
      <w:r w:rsidRPr="00D97B29">
        <w:t>.</w:t>
      </w:r>
      <w:r w:rsidRPr="00C645CE">
        <w:rPr>
          <w:sz w:val="20"/>
          <w:szCs w:val="16"/>
          <w:vertAlign w:val="superscript"/>
        </w:rPr>
        <w:footnoteReference w:id="28"/>
      </w:r>
    </w:p>
    <w:p w14:paraId="1F0AAE4A" w14:textId="64EAACD1" w:rsidR="009B2CB6" w:rsidRDefault="001B5208" w:rsidP="001A2426">
      <w:pPr>
        <w:pStyle w:val="BodyText"/>
        <w:rPr>
          <w:highlight w:val="yellow"/>
        </w:rPr>
      </w:pPr>
      <w:r>
        <w:lastRenderedPageBreak/>
        <w:t xml:space="preserve">Building on the </w:t>
      </w:r>
      <w:r w:rsidR="00B31DB9" w:rsidRPr="00057A42">
        <w:t>success</w:t>
      </w:r>
      <w:r>
        <w:t xml:space="preserve"> of the </w:t>
      </w:r>
      <w:r w:rsidR="002865E3" w:rsidRPr="00057A42">
        <w:t>Trade Development Facility</w:t>
      </w:r>
      <w:r w:rsidR="00B31DB9" w:rsidRPr="00057A42">
        <w:t xml:space="preserve">, </w:t>
      </w:r>
      <w:r w:rsidR="0043216E" w:rsidRPr="00057A42">
        <w:t xml:space="preserve">Australia will </w:t>
      </w:r>
      <w:r w:rsidR="004868EA" w:rsidRPr="00057A42">
        <w:t>s</w:t>
      </w:r>
      <w:r>
        <w:t>upport a second phase</w:t>
      </w:r>
      <w:r w:rsidR="00993B72">
        <w:t xml:space="preserve">. </w:t>
      </w:r>
      <w:r w:rsidR="002865E3">
        <w:t>A</w:t>
      </w:r>
      <w:r w:rsidR="00B31DB9" w:rsidRPr="00057A42">
        <w:t xml:space="preserve"> </w:t>
      </w:r>
      <w:r w:rsidR="002865E3" w:rsidRPr="00057A42">
        <w:t xml:space="preserve">trade adviser </w:t>
      </w:r>
      <w:r w:rsidR="00B31DB9" w:rsidRPr="00057A42">
        <w:t xml:space="preserve">position, funded by </w:t>
      </w:r>
      <w:r w:rsidR="00160FAE">
        <w:t xml:space="preserve">the Australian Government </w:t>
      </w:r>
      <w:r w:rsidR="00B31DB9" w:rsidRPr="00057A42">
        <w:t xml:space="preserve">under </w:t>
      </w:r>
      <w:r w:rsidR="002E6E0A" w:rsidRPr="00057A42">
        <w:t xml:space="preserve">the first phase of the </w:t>
      </w:r>
      <w:r w:rsidR="002865E3" w:rsidRPr="00057A42">
        <w:t>Trade Development Facility</w:t>
      </w:r>
      <w:r w:rsidR="002865E3">
        <w:t xml:space="preserve">, </w:t>
      </w:r>
      <w:r w:rsidR="002E6E0A" w:rsidRPr="00057A42">
        <w:t>is being supported</w:t>
      </w:r>
      <w:r w:rsidR="00B31DB9" w:rsidRPr="00057A42">
        <w:t xml:space="preserve"> with pooled funds under </w:t>
      </w:r>
      <w:r w:rsidR="002865E3">
        <w:t>the facility’s second phase</w:t>
      </w:r>
      <w:r w:rsidR="00B31DB9" w:rsidRPr="00057A42">
        <w:t>.</w:t>
      </w:r>
    </w:p>
    <w:p w14:paraId="77CD21A0" w14:textId="771025FB" w:rsidR="00B31DB9" w:rsidRPr="001A2426" w:rsidRDefault="008510BA" w:rsidP="001A2426">
      <w:pPr>
        <w:pStyle w:val="BodyText"/>
      </w:pPr>
      <w:r w:rsidRPr="001A2426">
        <w:t xml:space="preserve">Australia’s assistance under this objective has been well targeted and highly aligned with </w:t>
      </w:r>
      <w:r w:rsidR="003549D2" w:rsidRPr="001A2426">
        <w:t>Lao Government</w:t>
      </w:r>
      <w:r w:rsidRPr="001A2426">
        <w:t xml:space="preserve"> trade sector priorities. </w:t>
      </w:r>
      <w:r w:rsidR="003549D2" w:rsidRPr="001A2426">
        <w:t xml:space="preserve">The </w:t>
      </w:r>
      <w:r w:rsidR="002865E3" w:rsidRPr="001A2426">
        <w:t>g</w:t>
      </w:r>
      <w:r w:rsidR="003549D2" w:rsidRPr="001A2426">
        <w:t>overnment</w:t>
      </w:r>
      <w:r w:rsidRPr="001A2426">
        <w:t xml:space="preserve"> has demonstrated strong leadership within this sector </w:t>
      </w:r>
      <w:r w:rsidR="002865E3" w:rsidRPr="001A2426">
        <w:t xml:space="preserve">by </w:t>
      </w:r>
      <w:r w:rsidRPr="001A2426">
        <w:t>establish</w:t>
      </w:r>
      <w:r w:rsidR="002865E3" w:rsidRPr="001A2426">
        <w:t>ing</w:t>
      </w:r>
      <w:r w:rsidRPr="001A2426">
        <w:t xml:space="preserve"> </w:t>
      </w:r>
      <w:r w:rsidR="002865E3" w:rsidRPr="001A2426">
        <w:t>a</w:t>
      </w:r>
      <w:r w:rsidRPr="001A2426">
        <w:t xml:space="preserve"> Trade Program Executive Committee as</w:t>
      </w:r>
      <w:r w:rsidR="002865E3" w:rsidRPr="001A2426">
        <w:t xml:space="preserve"> a</w:t>
      </w:r>
      <w:r w:rsidRPr="001A2426">
        <w:t xml:space="preserve"> central program supervisory and oversight body to provide strategic advice, coordination</w:t>
      </w:r>
      <w:r w:rsidR="002865E3" w:rsidRPr="001A2426">
        <w:t xml:space="preserve"> and</w:t>
      </w:r>
      <w:r w:rsidRPr="001A2426">
        <w:t xml:space="preserve"> common operating guidelines </w:t>
      </w:r>
      <w:r w:rsidR="002865E3" w:rsidRPr="001A2426">
        <w:t>for</w:t>
      </w:r>
      <w:r w:rsidRPr="001A2426">
        <w:t xml:space="preserve"> the implementation of trade</w:t>
      </w:r>
      <w:r w:rsidR="007C457E">
        <w:t>-</w:t>
      </w:r>
      <w:r w:rsidRPr="001A2426">
        <w:t>related programs and projects.</w:t>
      </w:r>
    </w:p>
    <w:p w14:paraId="138FE1AD" w14:textId="07C3B9E3" w:rsidR="005F34AB" w:rsidRPr="001A2426" w:rsidRDefault="005F34AB" w:rsidP="001A2426">
      <w:pPr>
        <w:pStyle w:val="Heading2"/>
      </w:pPr>
      <w:r w:rsidRPr="001A2426">
        <w:t xml:space="preserve">Rural </w:t>
      </w:r>
      <w:r w:rsidR="002865E3" w:rsidRPr="001A2426">
        <w:t>development</w:t>
      </w:r>
    </w:p>
    <w:p w14:paraId="11D168B7" w14:textId="2421794B" w:rsidR="00385E48" w:rsidRDefault="00057A42" w:rsidP="001A2426">
      <w:pPr>
        <w:pStyle w:val="BodyText"/>
      </w:pPr>
      <w:r>
        <w:t xml:space="preserve">Laos’ </w:t>
      </w:r>
      <w:r w:rsidR="002865E3">
        <w:t xml:space="preserve">people are </w:t>
      </w:r>
      <w:r w:rsidR="00385E48">
        <w:t xml:space="preserve">predominantly rural, with around </w:t>
      </w:r>
      <w:r w:rsidR="0065685F">
        <w:t>75</w:t>
      </w:r>
      <w:r w:rsidR="00385E48" w:rsidRPr="0065685F">
        <w:t xml:space="preserve"> </w:t>
      </w:r>
      <w:r w:rsidR="00983017" w:rsidRPr="0065685F">
        <w:t>per cent</w:t>
      </w:r>
      <w:r w:rsidR="00385E48">
        <w:t xml:space="preserve"> </w:t>
      </w:r>
      <w:r w:rsidR="0065685F">
        <w:t xml:space="preserve">of the total population </w:t>
      </w:r>
      <w:r w:rsidR="00385E48">
        <w:t>deriving</w:t>
      </w:r>
      <w:r>
        <w:t xml:space="preserve"> income from farming.</w:t>
      </w:r>
      <w:r w:rsidRPr="00C645CE">
        <w:rPr>
          <w:rStyle w:val="FootnoteReference"/>
          <w:sz w:val="20"/>
          <w:vertAlign w:val="superscript"/>
        </w:rPr>
        <w:footnoteReference w:id="29"/>
      </w:r>
      <w:r w:rsidR="00B51DFB">
        <w:t xml:space="preserve"> </w:t>
      </w:r>
      <w:r w:rsidR="00385E48">
        <w:t>Around 69 per cent of households live</w:t>
      </w:r>
      <w:r>
        <w:t xml:space="preserve"> in r</w:t>
      </w:r>
      <w:r w:rsidR="000204F4">
        <w:t xml:space="preserve">ural villages, including </w:t>
      </w:r>
      <w:r w:rsidR="002865E3">
        <w:t xml:space="preserve">about </w:t>
      </w:r>
      <w:r>
        <w:t>85</w:t>
      </w:r>
      <w:r w:rsidR="002865E3">
        <w:t xml:space="preserve"> </w:t>
      </w:r>
      <w:r>
        <w:t xml:space="preserve">000 households </w:t>
      </w:r>
      <w:r w:rsidR="00385E48">
        <w:t xml:space="preserve">that are </w:t>
      </w:r>
      <w:r w:rsidR="000204F4">
        <w:t>without road access.</w:t>
      </w:r>
    </w:p>
    <w:p w14:paraId="29AAF72B" w14:textId="3C9A2267" w:rsidR="00876E5A" w:rsidRPr="00D97B29" w:rsidRDefault="00876E5A" w:rsidP="001A2426">
      <w:pPr>
        <w:pStyle w:val="BodyText"/>
      </w:pPr>
      <w:r w:rsidRPr="00C40AC9">
        <w:t xml:space="preserve">The total road network </w:t>
      </w:r>
      <w:r>
        <w:t xml:space="preserve">in Laos </w:t>
      </w:r>
      <w:r w:rsidRPr="00C40AC9">
        <w:t xml:space="preserve">is now </w:t>
      </w:r>
      <w:r>
        <w:t>41</w:t>
      </w:r>
      <w:r w:rsidR="002865E3">
        <w:t xml:space="preserve"> </w:t>
      </w:r>
      <w:r w:rsidRPr="00C40AC9">
        <w:t>000 k</w:t>
      </w:r>
      <w:r>
        <w:t>ilo</w:t>
      </w:r>
      <w:r w:rsidRPr="00C40AC9">
        <w:t>m</w:t>
      </w:r>
      <w:r>
        <w:t>etres</w:t>
      </w:r>
      <w:r w:rsidRPr="00C40AC9">
        <w:t xml:space="preserve"> (</w:t>
      </w:r>
      <w:r>
        <w:t xml:space="preserve">compared to just </w:t>
      </w:r>
      <w:r w:rsidRPr="00C40AC9">
        <w:t>14</w:t>
      </w:r>
      <w:r w:rsidR="002865E3">
        <w:t xml:space="preserve"> </w:t>
      </w:r>
      <w:r w:rsidRPr="00C40AC9">
        <w:t>000 k</w:t>
      </w:r>
      <w:r>
        <w:t>ilo</w:t>
      </w:r>
      <w:r w:rsidRPr="00C40AC9">
        <w:t>m</w:t>
      </w:r>
      <w:r>
        <w:t>etres</w:t>
      </w:r>
      <w:r w:rsidRPr="00C40AC9">
        <w:t xml:space="preserve"> in 1990)</w:t>
      </w:r>
      <w:r>
        <w:t>.</w:t>
      </w:r>
      <w:r w:rsidR="00B51DFB">
        <w:t xml:space="preserve"> </w:t>
      </w:r>
      <w:r>
        <w:t>Despite this expansion, a</w:t>
      </w:r>
      <w:r w:rsidRPr="00C40AC9">
        <w:t>bout 83 per</w:t>
      </w:r>
      <w:r>
        <w:t xml:space="preserve"> </w:t>
      </w:r>
      <w:r w:rsidRPr="00C40AC9">
        <w:t xml:space="preserve">cent </w:t>
      </w:r>
      <w:r>
        <w:t xml:space="preserve">of the road network, remains unpaved, </w:t>
      </w:r>
      <w:r w:rsidRPr="00C40AC9">
        <w:t>45 per</w:t>
      </w:r>
      <w:r>
        <w:t xml:space="preserve"> </w:t>
      </w:r>
      <w:r w:rsidRPr="00C40AC9">
        <w:t>cent is in bad or poor condition</w:t>
      </w:r>
      <w:r w:rsidR="002865E3">
        <w:t>,</w:t>
      </w:r>
      <w:r w:rsidRPr="00C645CE">
        <w:rPr>
          <w:sz w:val="20"/>
          <w:vertAlign w:val="superscript"/>
        </w:rPr>
        <w:footnoteReference w:id="30"/>
      </w:r>
      <w:r>
        <w:t xml:space="preserve"> </w:t>
      </w:r>
      <w:r w:rsidR="002865E3">
        <w:t xml:space="preserve">and </w:t>
      </w:r>
      <w:r>
        <w:t xml:space="preserve">around </w:t>
      </w:r>
      <w:r w:rsidRPr="00C40AC9">
        <w:t xml:space="preserve">2000 rural villages (out of 8654 villages) </w:t>
      </w:r>
      <w:r>
        <w:t>continue to be without road access</w:t>
      </w:r>
      <w:r w:rsidR="002865E3">
        <w:t>.</w:t>
      </w:r>
      <w:r w:rsidR="002865E3" w:rsidRPr="00C645CE">
        <w:rPr>
          <w:sz w:val="20"/>
          <w:vertAlign w:val="superscript"/>
        </w:rPr>
        <w:footnoteReference w:id="31"/>
      </w:r>
      <w:r w:rsidR="002865E3">
        <w:t xml:space="preserve"> </w:t>
      </w:r>
      <w:r>
        <w:t>The national budget for road maintenance is insufficient, at an estimated US</w:t>
      </w:r>
      <w:r w:rsidR="002865E3">
        <w:t>D</w:t>
      </w:r>
      <w:r>
        <w:t>35 million annually, representing only 30</w:t>
      </w:r>
      <w:r w:rsidR="002865E3">
        <w:t xml:space="preserve"> </w:t>
      </w:r>
      <w:r>
        <w:t>per</w:t>
      </w:r>
      <w:r w:rsidR="002865E3">
        <w:t xml:space="preserve"> </w:t>
      </w:r>
      <w:r>
        <w:t>cent of the actual needed.</w:t>
      </w:r>
      <w:r w:rsidR="00B51DFB">
        <w:t xml:space="preserve"> </w:t>
      </w:r>
    </w:p>
    <w:p w14:paraId="1ED8F96D" w14:textId="04735801" w:rsidR="00057A42" w:rsidRPr="00D97B29" w:rsidRDefault="00385E48" w:rsidP="001A2426">
      <w:pPr>
        <w:pStyle w:val="BodyText"/>
      </w:pPr>
      <w:r w:rsidRPr="007F02A7">
        <w:t xml:space="preserve">Small-scale agriculture </w:t>
      </w:r>
      <w:r w:rsidR="00057A42" w:rsidRPr="007F02A7">
        <w:t>employs</w:t>
      </w:r>
      <w:r w:rsidRPr="007F02A7">
        <w:t xml:space="preserve"> 67 per cent of the workforce. </w:t>
      </w:r>
      <w:r w:rsidR="00057A42" w:rsidRPr="007F02A7">
        <w:t xml:space="preserve">Within the agriculture sector, 99 per cent of the labour force </w:t>
      </w:r>
      <w:r w:rsidR="002865E3">
        <w:t>is</w:t>
      </w:r>
      <w:r w:rsidR="002865E3" w:rsidRPr="007F02A7">
        <w:t xml:space="preserve"> </w:t>
      </w:r>
      <w:r w:rsidR="00057A42" w:rsidRPr="007F02A7">
        <w:t>involved in vulnerable employment</w:t>
      </w:r>
      <w:r w:rsidR="002865E3">
        <w:t>––they are</w:t>
      </w:r>
      <w:r w:rsidR="00057A42" w:rsidRPr="007F02A7">
        <w:t xml:space="preserve"> </w:t>
      </w:r>
      <w:r w:rsidRPr="007F02A7">
        <w:t xml:space="preserve">either self-employed or are </w:t>
      </w:r>
      <w:r w:rsidR="00057A42" w:rsidRPr="007F02A7">
        <w:t>unpaid family workers.</w:t>
      </w:r>
      <w:r w:rsidR="00057A42" w:rsidRPr="00C645CE">
        <w:rPr>
          <w:rStyle w:val="FootnoteReference"/>
          <w:sz w:val="20"/>
          <w:vertAlign w:val="superscript"/>
        </w:rPr>
        <w:footnoteReference w:id="32"/>
      </w:r>
      <w:r w:rsidR="00B51DFB">
        <w:t xml:space="preserve"> </w:t>
      </w:r>
      <w:r w:rsidR="00A76D00" w:rsidRPr="007F02A7">
        <w:t xml:space="preserve">This means that </w:t>
      </w:r>
      <w:r w:rsidRPr="007F02A7">
        <w:t xml:space="preserve">the vast majority of people </w:t>
      </w:r>
      <w:r w:rsidR="000204F4" w:rsidRPr="007F02A7">
        <w:t xml:space="preserve">living in rural areas </w:t>
      </w:r>
      <w:r w:rsidR="00A76D00" w:rsidRPr="007F02A7">
        <w:t xml:space="preserve">in Laos are </w:t>
      </w:r>
      <w:r w:rsidR="000204F4" w:rsidRPr="007F02A7">
        <w:t xml:space="preserve">less able to manage risks, and are </w:t>
      </w:r>
      <w:r w:rsidR="000204F4" w:rsidRPr="00D97B29">
        <w:t xml:space="preserve">therefore more </w:t>
      </w:r>
      <w:r w:rsidRPr="00D97B29">
        <w:t>vul</w:t>
      </w:r>
      <w:r w:rsidR="001227F7" w:rsidRPr="00D97B29">
        <w:t>nerable to shocks and disasters</w:t>
      </w:r>
      <w:r w:rsidRPr="00D97B29">
        <w:t>.</w:t>
      </w:r>
    </w:p>
    <w:p w14:paraId="04E5850C" w14:textId="2550F9E2" w:rsidR="00C330ED" w:rsidRPr="00D97B29" w:rsidRDefault="007F02A7" w:rsidP="001A2426">
      <w:pPr>
        <w:pStyle w:val="BodyText"/>
      </w:pPr>
      <w:r w:rsidRPr="00D97B29">
        <w:t xml:space="preserve">Child malnutrition is </w:t>
      </w:r>
      <w:r w:rsidR="00057A42" w:rsidRPr="00D97B29">
        <w:t>more prominent in rural areas, affecting half of all children.</w:t>
      </w:r>
      <w:r w:rsidR="00B51DFB">
        <w:t xml:space="preserve"> </w:t>
      </w:r>
      <w:r w:rsidR="00057A42">
        <w:t>Rural communities without road access have the highest stunting rate</w:t>
      </w:r>
      <w:r w:rsidR="00A76D00">
        <w:t>,</w:t>
      </w:r>
      <w:r w:rsidR="00057A42">
        <w:t xml:space="preserve"> which is higher </w:t>
      </w:r>
      <w:r w:rsidR="00057A42" w:rsidRPr="00D97B29">
        <w:t>than the national av</w:t>
      </w:r>
      <w:r w:rsidR="00C330ED" w:rsidRPr="00D97B29">
        <w:t>erage</w:t>
      </w:r>
      <w:r w:rsidR="00A76D00" w:rsidRPr="00D97B29">
        <w:t>. M</w:t>
      </w:r>
      <w:r w:rsidR="00057A42" w:rsidRPr="00D97B29">
        <w:t xml:space="preserve">alnutrition is </w:t>
      </w:r>
      <w:r w:rsidR="00A76D00" w:rsidRPr="00D97B29">
        <w:t xml:space="preserve">also </w:t>
      </w:r>
      <w:r w:rsidR="00057A42" w:rsidRPr="00D97B29">
        <w:t>closely linked to ethnicity.</w:t>
      </w:r>
      <w:r w:rsidR="00C330ED" w:rsidRPr="00C645CE">
        <w:rPr>
          <w:sz w:val="20"/>
          <w:vertAlign w:val="superscript"/>
        </w:rPr>
        <w:footnoteReference w:id="33"/>
      </w:r>
    </w:p>
    <w:p w14:paraId="742DC48B" w14:textId="418DFDC1" w:rsidR="0056555B" w:rsidRDefault="00CE547E" w:rsidP="001A2426">
      <w:pPr>
        <w:pStyle w:val="BodyText"/>
      </w:pPr>
      <w:r w:rsidRPr="00D97B29">
        <w:t xml:space="preserve">The </w:t>
      </w:r>
      <w:r w:rsidR="007C457E">
        <w:t>re-settlement</w:t>
      </w:r>
      <w:r w:rsidRPr="00D97B29">
        <w:t xml:space="preserve"> of communities</w:t>
      </w:r>
      <w:r w:rsidR="002865E3" w:rsidRPr="002865E3">
        <w:t xml:space="preserve"> </w:t>
      </w:r>
      <w:r w:rsidR="002865E3">
        <w:t xml:space="preserve">continues, </w:t>
      </w:r>
      <w:r w:rsidRPr="00D97B29">
        <w:t>either as a result of government land concessions</w:t>
      </w:r>
      <w:r w:rsidRPr="00CE547E">
        <w:t xml:space="preserve"> for major investments or as part of an ongoing process of village consolidation for the purpose </w:t>
      </w:r>
      <w:r w:rsidR="00F11CF5">
        <w:t>of service provision</w:t>
      </w:r>
      <w:r w:rsidRPr="00CE547E">
        <w:t>.</w:t>
      </w:r>
    </w:p>
    <w:p w14:paraId="1ADA08A0" w14:textId="5A08998C" w:rsidR="00B856A0" w:rsidRDefault="00B856A0" w:rsidP="001A2426">
      <w:pPr>
        <w:pStyle w:val="BodyText"/>
      </w:pPr>
      <w:r w:rsidRPr="007A69EF">
        <w:t>In establishing the future direction of the rural development portfolio, the Australia Laos Rural Development Delivery Strategy 2012</w:t>
      </w:r>
      <w:r w:rsidR="002865E3">
        <w:t>–20</w:t>
      </w:r>
      <w:r w:rsidRPr="007A69EF">
        <w:t xml:space="preserve">16 was developed and approved in June 2012. Setting </w:t>
      </w:r>
      <w:r w:rsidR="00881433">
        <w:t xml:space="preserve">an aid </w:t>
      </w:r>
      <w:proofErr w:type="gramStart"/>
      <w:r w:rsidR="00586840">
        <w:t>program</w:t>
      </w:r>
      <w:r w:rsidR="00643EFF">
        <w:t xml:space="preserve"> </w:t>
      </w:r>
      <w:r w:rsidRPr="007A69EF">
        <w:t xml:space="preserve"> benchmark</w:t>
      </w:r>
      <w:proofErr w:type="gramEnd"/>
      <w:r w:rsidR="00466CAA" w:rsidRPr="007A69EF">
        <w:t xml:space="preserve"> for delivery strategy quality</w:t>
      </w:r>
      <w:r w:rsidRPr="007A69EF">
        <w:t xml:space="preserve">, the strategy reaffirms Australia’s commitment to sustainable livelihoods that build economic security and resilience of poor rural households in Laos. While this year’s </w:t>
      </w:r>
      <w:r w:rsidR="00AE61C7">
        <w:t>annual program performance revie</w:t>
      </w:r>
      <w:r w:rsidR="002865E3">
        <w:t>w</w:t>
      </w:r>
      <w:r w:rsidR="002865E3" w:rsidRPr="007A69EF">
        <w:t xml:space="preserve"> </w:t>
      </w:r>
      <w:r w:rsidRPr="007A69EF">
        <w:t xml:space="preserve">reports on achievements </w:t>
      </w:r>
      <w:r w:rsidR="002865E3">
        <w:t>based</w:t>
      </w:r>
      <w:r w:rsidRPr="007A69EF">
        <w:t xml:space="preserve"> </w:t>
      </w:r>
      <w:r w:rsidR="00AE61C7">
        <w:t xml:space="preserve">on </w:t>
      </w:r>
      <w:r w:rsidRPr="007A69EF">
        <w:t xml:space="preserve">the old strategy objectives, the Lao Program will use the new delivery strategy in framing management consequences for </w:t>
      </w:r>
      <w:r w:rsidR="003549D2" w:rsidRPr="007A69EF">
        <w:t>2013</w:t>
      </w:r>
      <w:r w:rsidR="002865E3">
        <w:t>–</w:t>
      </w:r>
      <w:r w:rsidR="003549D2" w:rsidRPr="007A69EF">
        <w:t>14.</w:t>
      </w:r>
      <w:r>
        <w:t xml:space="preserve"> </w:t>
      </w:r>
    </w:p>
    <w:p w14:paraId="421546EA" w14:textId="2726FC05" w:rsidR="001A2426" w:rsidRDefault="003E5B0C" w:rsidP="003E5B0C">
      <w:pPr>
        <w:pStyle w:val="Heading3"/>
      </w:pPr>
      <w:r w:rsidRPr="003E5B0C">
        <w:rPr>
          <w:rFonts w:eastAsia="Calibri"/>
        </w:rPr>
        <w:lastRenderedPageBreak/>
        <w:t>Objective 4: delivery and modelling of effective programs that result in equitable and sustainable improvements to livelihoods in targeted geographic areas</w:t>
      </w:r>
    </w:p>
    <w:tbl>
      <w:tblPr>
        <w:tblStyle w:val="APPR"/>
        <w:tblW w:w="5000" w:type="pct"/>
        <w:tblLook w:val="01E0" w:firstRow="1" w:lastRow="1" w:firstColumn="1" w:lastColumn="1" w:noHBand="0" w:noVBand="0"/>
      </w:tblPr>
      <w:tblGrid>
        <w:gridCol w:w="6894"/>
        <w:gridCol w:w="1712"/>
      </w:tblGrid>
      <w:tr w:rsidR="003E5B0C" w:rsidRPr="00745FE3" w14:paraId="222DD151" w14:textId="77777777" w:rsidTr="003E5B0C">
        <w:trPr>
          <w:cnfStyle w:val="100000000000" w:firstRow="1" w:lastRow="0" w:firstColumn="0" w:lastColumn="0" w:oddVBand="0" w:evenVBand="0" w:oddHBand="0" w:evenHBand="0" w:firstRowFirstColumn="0" w:firstRowLastColumn="0" w:lastRowFirstColumn="0" w:lastRowLastColumn="0"/>
        </w:trPr>
        <w:tc>
          <w:tcPr>
            <w:tcW w:w="3981" w:type="pct"/>
          </w:tcPr>
          <w:p w14:paraId="79A794E4" w14:textId="77777777" w:rsidR="003E5B0C" w:rsidRPr="00BF2045" w:rsidRDefault="003E5B0C" w:rsidP="003E5B0C">
            <w:pPr>
              <w:pStyle w:val="TableTextColumnHeading"/>
              <w:rPr>
                <w:rFonts w:eastAsia="Calibri"/>
                <w:b/>
              </w:rPr>
            </w:pPr>
            <w:r w:rsidRPr="00BF2045">
              <w:rPr>
                <w:rFonts w:eastAsia="Calibri"/>
                <w:b/>
              </w:rPr>
              <w:t>Objective</w:t>
            </w:r>
          </w:p>
        </w:tc>
        <w:tc>
          <w:tcPr>
            <w:tcW w:w="970" w:type="pct"/>
          </w:tcPr>
          <w:p w14:paraId="2D07E01F" w14:textId="77777777" w:rsidR="003E5B0C" w:rsidRPr="00BF2045" w:rsidRDefault="003E5B0C" w:rsidP="003E5B0C">
            <w:pPr>
              <w:pStyle w:val="TableTextColumnHeading"/>
              <w:rPr>
                <w:rFonts w:eastAsia="Calibri"/>
                <w:b/>
              </w:rPr>
            </w:pPr>
            <w:r w:rsidRPr="00BF2045">
              <w:rPr>
                <w:rFonts w:eastAsia="Calibri"/>
                <w:b/>
              </w:rPr>
              <w:t xml:space="preserve">Current rating </w:t>
            </w:r>
          </w:p>
        </w:tc>
      </w:tr>
      <w:tr w:rsidR="003E5B0C" w:rsidRPr="00745FE3" w14:paraId="12F341CD" w14:textId="77777777" w:rsidTr="003E5B0C">
        <w:trPr>
          <w:cnfStyle w:val="100000000000" w:firstRow="1" w:lastRow="0" w:firstColumn="0" w:lastColumn="0" w:oddVBand="0" w:evenVBand="0" w:oddHBand="0" w:evenHBand="0" w:firstRowFirstColumn="0" w:firstRowLastColumn="0" w:lastRowFirstColumn="0" w:lastRowLastColumn="0"/>
        </w:trPr>
        <w:tc>
          <w:tcPr>
            <w:tcW w:w="3981" w:type="pct"/>
          </w:tcPr>
          <w:p w14:paraId="52C3D1EA" w14:textId="58DECD26" w:rsidR="003E5B0C" w:rsidRPr="00BF2045" w:rsidRDefault="003E5B0C" w:rsidP="003E5B0C">
            <w:pPr>
              <w:pStyle w:val="TableTextEntries"/>
              <w:rPr>
                <w:rFonts w:eastAsia="Calibri"/>
                <w:b w:val="0"/>
              </w:rPr>
            </w:pPr>
            <w:r w:rsidRPr="003E5B0C">
              <w:rPr>
                <w:rFonts w:eastAsia="Calibri"/>
                <w:b w:val="0"/>
              </w:rPr>
              <w:t>Objective 4: delivery and modelling of effective programs that result in equitable and sustainable improvements to livelihoods in targeted geographic areas</w:t>
            </w:r>
          </w:p>
        </w:tc>
        <w:tc>
          <w:tcPr>
            <w:tcW w:w="970" w:type="pct"/>
            <w:shd w:val="clear" w:color="auto" w:fill="92D050"/>
          </w:tcPr>
          <w:p w14:paraId="3D58CE68" w14:textId="77777777" w:rsidR="003E5B0C" w:rsidRPr="00BF2045" w:rsidRDefault="003E5B0C" w:rsidP="003E5B0C">
            <w:pPr>
              <w:pStyle w:val="TableTextEntries"/>
              <w:rPr>
                <w:rFonts w:eastAsia="Calibri"/>
                <w:b w:val="0"/>
              </w:rPr>
            </w:pPr>
            <w:r>
              <w:rPr>
                <w:rFonts w:eastAsia="Calibri"/>
                <w:b w:val="0"/>
              </w:rPr>
              <w:t>green</w:t>
            </w:r>
          </w:p>
        </w:tc>
      </w:tr>
    </w:tbl>
    <w:p w14:paraId="6924CFF3" w14:textId="77777777" w:rsidR="004614F1" w:rsidRDefault="004614F1" w:rsidP="001A2426">
      <w:pPr>
        <w:pStyle w:val="BodyText"/>
      </w:pPr>
    </w:p>
    <w:p w14:paraId="1C04C2AD" w14:textId="66202849" w:rsidR="00993B72" w:rsidRPr="007B0C81" w:rsidRDefault="00416F7B" w:rsidP="001A2426">
      <w:pPr>
        <w:pStyle w:val="BodyText"/>
      </w:pPr>
      <w:r w:rsidRPr="007A69EF">
        <w:t xml:space="preserve">Six out of the eight </w:t>
      </w:r>
      <w:r w:rsidR="00993B72" w:rsidRPr="007A69EF">
        <w:t>milestones under this objective were achieved in 2012</w:t>
      </w:r>
      <w:r w:rsidR="0072133A">
        <w:t>–</w:t>
      </w:r>
      <w:r w:rsidR="00993B72" w:rsidRPr="007A69EF">
        <w:t>1</w:t>
      </w:r>
      <w:r w:rsidR="003549D2" w:rsidRPr="007A69EF">
        <w:t>3</w:t>
      </w:r>
      <w:r w:rsidRPr="007A69EF">
        <w:t xml:space="preserve">, and two </w:t>
      </w:r>
      <w:r w:rsidR="001175F2" w:rsidRPr="007A69EF">
        <w:t xml:space="preserve">were </w:t>
      </w:r>
      <w:r w:rsidRPr="007A69EF">
        <w:t>partially met</w:t>
      </w:r>
      <w:r w:rsidR="00924908" w:rsidRPr="007A69EF">
        <w:t>.</w:t>
      </w:r>
      <w:r w:rsidR="00B51DFB">
        <w:t xml:space="preserve"> </w:t>
      </w:r>
      <w:r w:rsidR="00924908" w:rsidRPr="007A69EF">
        <w:t>Rural livelihood</w:t>
      </w:r>
      <w:r w:rsidR="00A56068" w:rsidRPr="007A69EF">
        <w:t>s</w:t>
      </w:r>
      <w:r w:rsidR="00924908" w:rsidRPr="007A69EF">
        <w:t xml:space="preserve"> were improved through community-based </w:t>
      </w:r>
      <w:r w:rsidR="00A56068" w:rsidRPr="007A69EF">
        <w:t>activities</w:t>
      </w:r>
      <w:r w:rsidR="0072133A">
        <w:t>,</w:t>
      </w:r>
      <w:r w:rsidR="0072133A" w:rsidRPr="007A69EF">
        <w:t xml:space="preserve"> </w:t>
      </w:r>
      <w:r w:rsidR="00924908" w:rsidRPr="007A69EF">
        <w:t>access to productive land</w:t>
      </w:r>
      <w:r w:rsidR="00A56068" w:rsidRPr="007A69EF">
        <w:t xml:space="preserve"> was increased</w:t>
      </w:r>
      <w:r w:rsidR="0072133A">
        <w:t>,</w:t>
      </w:r>
      <w:r w:rsidR="00A56068" w:rsidRPr="007A69EF">
        <w:t xml:space="preserve"> and</w:t>
      </w:r>
      <w:r w:rsidR="00924908" w:rsidRPr="007A69EF">
        <w:t xml:space="preserve"> disaster management planning</w:t>
      </w:r>
      <w:r w:rsidR="00A56068" w:rsidRPr="007A69EF">
        <w:t xml:space="preserve"> enhanced.</w:t>
      </w:r>
      <w:r w:rsidR="00B51DFB">
        <w:t xml:space="preserve"> </w:t>
      </w:r>
      <w:r w:rsidR="00A56068" w:rsidRPr="007A69EF">
        <w:t>M</w:t>
      </w:r>
      <w:r w:rsidR="00E423CE" w:rsidRPr="007A69EF">
        <w:t xml:space="preserve">ilestones connected with </w:t>
      </w:r>
      <w:r w:rsidR="00A56068" w:rsidRPr="007A69EF">
        <w:t xml:space="preserve">sharing program lessons were only partially achieved due to </w:t>
      </w:r>
      <w:r w:rsidR="00D779B6">
        <w:t xml:space="preserve">the need for more internal discussions to identify lessons </w:t>
      </w:r>
      <w:proofErr w:type="gramStart"/>
      <w:r w:rsidR="00D779B6">
        <w:t>learned,</w:t>
      </w:r>
      <w:proofErr w:type="gramEnd"/>
      <w:r w:rsidR="00D779B6">
        <w:t xml:space="preserve"> which resulted in </w:t>
      </w:r>
      <w:r w:rsidR="00A56068" w:rsidRPr="007A69EF">
        <w:t xml:space="preserve">limited engagement </w:t>
      </w:r>
      <w:r w:rsidR="00AB3647" w:rsidRPr="007A69EF">
        <w:t>with</w:t>
      </w:r>
      <w:r w:rsidR="00A56068" w:rsidRPr="007A69EF">
        <w:t xml:space="preserve"> government counterparts</w:t>
      </w:r>
      <w:r w:rsidR="00AB3647" w:rsidRPr="007A69EF">
        <w:t xml:space="preserve"> </w:t>
      </w:r>
      <w:r w:rsidR="00993B72" w:rsidRPr="007A69EF">
        <w:t>(</w:t>
      </w:r>
      <w:r w:rsidR="0072133A">
        <w:t>see</w:t>
      </w:r>
      <w:r w:rsidR="0072133A" w:rsidRPr="007A69EF">
        <w:t xml:space="preserve"> </w:t>
      </w:r>
      <w:r w:rsidR="0078569D">
        <w:t>Annex D</w:t>
      </w:r>
      <w:r w:rsidR="00993B72" w:rsidRPr="007A69EF">
        <w:t>).</w:t>
      </w:r>
      <w:r w:rsidR="007B0C81">
        <w:t xml:space="preserve"> </w:t>
      </w:r>
    </w:p>
    <w:p w14:paraId="7DAD36F1" w14:textId="4D8FA3F7" w:rsidR="00447054" w:rsidRDefault="00BD3E3F" w:rsidP="001A2426">
      <w:pPr>
        <w:pStyle w:val="BodyText"/>
      </w:pPr>
      <w:r>
        <w:t>There has been good progress made</w:t>
      </w:r>
      <w:r w:rsidR="0056555B">
        <w:t xml:space="preserve"> unde</w:t>
      </w:r>
      <w:r>
        <w:t>r this objective</w:t>
      </w:r>
      <w:r w:rsidR="007F02A7">
        <w:t>. Under the</w:t>
      </w:r>
      <w:r w:rsidR="0056555B" w:rsidRPr="00855D8B">
        <w:t xml:space="preserve"> Laos</w:t>
      </w:r>
      <w:r w:rsidR="00643DE3">
        <w:t>–</w:t>
      </w:r>
      <w:r w:rsidR="0056555B" w:rsidRPr="00855D8B">
        <w:t xml:space="preserve">Australia NGO Cooperation Agreement (LANGOCA) </w:t>
      </w:r>
      <w:r w:rsidR="005875D7">
        <w:t>p</w:t>
      </w:r>
      <w:r w:rsidR="0056555B" w:rsidRPr="00855D8B">
        <w:t>rogram</w:t>
      </w:r>
      <w:r w:rsidR="007F02A7">
        <w:t xml:space="preserve">, </w:t>
      </w:r>
      <w:proofErr w:type="gramStart"/>
      <w:r w:rsidR="007F02A7">
        <w:t xml:space="preserve">which is in </w:t>
      </w:r>
      <w:r w:rsidR="006E2E53">
        <w:t>its</w:t>
      </w:r>
      <w:r w:rsidR="007F02A7">
        <w:t xml:space="preserve"> final stage of implementation and is </w:t>
      </w:r>
      <w:r w:rsidR="005875D7">
        <w:t xml:space="preserve">due for completion </w:t>
      </w:r>
      <w:r w:rsidR="0056555B">
        <w:t>June 2014</w:t>
      </w:r>
      <w:r>
        <w:t>,</w:t>
      </w:r>
      <w:r w:rsidR="005875D7">
        <w:t xml:space="preserve"> </w:t>
      </w:r>
      <w:r w:rsidR="007F02A7">
        <w:t>a</w:t>
      </w:r>
      <w:r w:rsidR="0056555B" w:rsidRPr="00855D8B">
        <w:t xml:space="preserve">round </w:t>
      </w:r>
      <w:r w:rsidR="0056555B">
        <w:t>408</w:t>
      </w:r>
      <w:r w:rsidR="0056555B" w:rsidRPr="00855D8B">
        <w:t xml:space="preserve"> households gained access to agricultural technologies that helped them improve their agricultural productivity and income</w:t>
      </w:r>
      <w:r w:rsidR="0072133A">
        <w:t>.</w:t>
      </w:r>
      <w:proofErr w:type="gramEnd"/>
      <w:r w:rsidR="0072133A">
        <w:t xml:space="preserve"> This built</w:t>
      </w:r>
      <w:r w:rsidR="006E2E53">
        <w:t xml:space="preserve"> on the 1200 households gain</w:t>
      </w:r>
      <w:r w:rsidR="00447054">
        <w:t>ing access</w:t>
      </w:r>
      <w:r w:rsidR="006E2E53">
        <w:t xml:space="preserve"> in 2011</w:t>
      </w:r>
      <w:r w:rsidR="0056555B" w:rsidRPr="00855D8B">
        <w:t xml:space="preserve">. A total of </w:t>
      </w:r>
      <w:r w:rsidR="0056555B">
        <w:t>44</w:t>
      </w:r>
      <w:r w:rsidR="0056555B" w:rsidRPr="00855D8B">
        <w:t xml:space="preserve"> hectares of agricultural land was cleared of unexploded ordnance benefiting </w:t>
      </w:r>
      <w:r w:rsidR="0056555B">
        <w:t>2804</w:t>
      </w:r>
      <w:r w:rsidR="0056555B" w:rsidRPr="00855D8B">
        <w:t xml:space="preserve"> pe</w:t>
      </w:r>
      <w:r w:rsidR="006E2E53">
        <w:t xml:space="preserve">ople </w:t>
      </w:r>
      <w:r w:rsidR="00F205E1">
        <w:t xml:space="preserve">(including 1251 women) </w:t>
      </w:r>
      <w:r w:rsidR="006E2E53">
        <w:t>who can now safely use this</w:t>
      </w:r>
      <w:r w:rsidR="0056555B" w:rsidRPr="00855D8B">
        <w:t xml:space="preserve"> land </w:t>
      </w:r>
      <w:r w:rsidR="0056555B">
        <w:t xml:space="preserve">for </w:t>
      </w:r>
      <w:r w:rsidR="0056555B" w:rsidRPr="00855D8B">
        <w:t>food crops</w:t>
      </w:r>
      <w:r w:rsidR="0056555B">
        <w:t>, agribusiness and construction of borehole wells</w:t>
      </w:r>
      <w:r w:rsidR="0056555B" w:rsidRPr="00855D8B">
        <w:t>.</w:t>
      </w:r>
      <w:r w:rsidR="0056555B" w:rsidRPr="00C645CE">
        <w:rPr>
          <w:sz w:val="20"/>
          <w:vertAlign w:val="superscript"/>
        </w:rPr>
        <w:footnoteReference w:id="34"/>
      </w:r>
      <w:r w:rsidR="0056555B" w:rsidRPr="00855D8B">
        <w:t xml:space="preserve"> </w:t>
      </w:r>
      <w:r w:rsidR="00F205E1">
        <w:t>T</w:t>
      </w:r>
      <w:r w:rsidR="00301D95">
        <w:t>he productivity of land was</w:t>
      </w:r>
      <w:r w:rsidR="00F205E1">
        <w:t xml:space="preserve"> improved for 151 households with the provision of improved irrigation systems, resulting in a reduction o</w:t>
      </w:r>
      <w:r w:rsidR="00447054">
        <w:t xml:space="preserve">f rice shortages by </w:t>
      </w:r>
      <w:r w:rsidR="0072133A">
        <w:t>two to three</w:t>
      </w:r>
      <w:r w:rsidR="00447054">
        <w:t xml:space="preserve"> months.</w:t>
      </w:r>
    </w:p>
    <w:p w14:paraId="7921C26B" w14:textId="495DE9D9" w:rsidR="00447054" w:rsidRDefault="00447054" w:rsidP="001A2426">
      <w:pPr>
        <w:pStyle w:val="BodyText"/>
      </w:pPr>
      <w:r>
        <w:t xml:space="preserve">The </w:t>
      </w:r>
      <w:r w:rsidRPr="00855D8B">
        <w:t xml:space="preserve">LANGOCA program </w:t>
      </w:r>
      <w:r>
        <w:t xml:space="preserve">continued to </w:t>
      </w:r>
      <w:r w:rsidRPr="00855D8B">
        <w:t xml:space="preserve">directly benefit women, enabling them to access reliable food sources, </w:t>
      </w:r>
      <w:r>
        <w:t xml:space="preserve">minimise </w:t>
      </w:r>
      <w:r w:rsidRPr="00855D8B">
        <w:t xml:space="preserve">their substantial </w:t>
      </w:r>
      <w:r w:rsidR="001C09D2">
        <w:t xml:space="preserve">unpaid </w:t>
      </w:r>
      <w:r w:rsidRPr="00855D8B">
        <w:t xml:space="preserve">workloads, and increase their access to basic sanitation and health services. </w:t>
      </w:r>
      <w:r>
        <w:t>A total of 31 260 people, including 12</w:t>
      </w:r>
      <w:r w:rsidR="0072133A">
        <w:t xml:space="preserve"> </w:t>
      </w:r>
      <w:r>
        <w:t>788</w:t>
      </w:r>
      <w:r w:rsidRPr="00855D8B">
        <w:t xml:space="preserve"> </w:t>
      </w:r>
      <w:r>
        <w:t xml:space="preserve">women, </w:t>
      </w:r>
      <w:r w:rsidRPr="00855D8B">
        <w:t>gained access to safe water</w:t>
      </w:r>
      <w:r w:rsidR="0072133A">
        <w:t xml:space="preserve">, </w:t>
      </w:r>
      <w:r>
        <w:t>while</w:t>
      </w:r>
      <w:r w:rsidRPr="00855D8B">
        <w:t xml:space="preserve"> around </w:t>
      </w:r>
      <w:r>
        <w:t>4427 people, including 2275</w:t>
      </w:r>
      <w:r w:rsidRPr="00855D8B">
        <w:t xml:space="preserve"> women</w:t>
      </w:r>
      <w:r>
        <w:t>,</w:t>
      </w:r>
      <w:r w:rsidRPr="00855D8B">
        <w:t xml:space="preserve"> were able to access basic sanitation</w:t>
      </w:r>
      <w:r>
        <w:t>.</w:t>
      </w:r>
    </w:p>
    <w:p w14:paraId="1F2C8147" w14:textId="7D9ECEED" w:rsidR="005875D7" w:rsidRDefault="007F02A7" w:rsidP="001A2426">
      <w:pPr>
        <w:pStyle w:val="BodyText"/>
      </w:pPr>
      <w:r>
        <w:t>The i</w:t>
      </w:r>
      <w:r w:rsidR="00E24570">
        <w:t xml:space="preserve">nvestment made in </w:t>
      </w:r>
      <w:r w:rsidR="00447054">
        <w:t xml:space="preserve">disaster preparedness in 2011, </w:t>
      </w:r>
      <w:r w:rsidR="0072133A">
        <w:t xml:space="preserve">including </w:t>
      </w:r>
      <w:r w:rsidR="00447054">
        <w:t>the preparation of</w:t>
      </w:r>
      <w:r w:rsidR="00E24570">
        <w:t xml:space="preserve"> district disaster management plans </w:t>
      </w:r>
      <w:r w:rsidR="00447054">
        <w:t>and establishment of village disaster management committees, paid off in 2012</w:t>
      </w:r>
      <w:r w:rsidR="00AE61C7">
        <w:t>. A</w:t>
      </w:r>
      <w:r w:rsidR="00447054">
        <w:t xml:space="preserve"> timely and effective response </w:t>
      </w:r>
      <w:r w:rsidR="00AE61C7">
        <w:t xml:space="preserve">was </w:t>
      </w:r>
      <w:r w:rsidR="00447054">
        <w:t xml:space="preserve">made </w:t>
      </w:r>
      <w:r w:rsidR="0056555B">
        <w:t xml:space="preserve">by </w:t>
      </w:r>
      <w:r w:rsidR="00447054">
        <w:t>provincial, district and village</w:t>
      </w:r>
      <w:r w:rsidR="0056555B" w:rsidRPr="00736AFF">
        <w:t xml:space="preserve"> authorities to </w:t>
      </w:r>
      <w:r w:rsidR="0056555B">
        <w:t xml:space="preserve">flash </w:t>
      </w:r>
      <w:r w:rsidR="0056555B" w:rsidRPr="00736AFF">
        <w:t>floods</w:t>
      </w:r>
      <w:r w:rsidR="0056555B">
        <w:t xml:space="preserve"> that affected </w:t>
      </w:r>
      <w:r w:rsidR="00447054">
        <w:t xml:space="preserve">the </w:t>
      </w:r>
      <w:r w:rsidR="0056555B" w:rsidRPr="00736AFF">
        <w:t xml:space="preserve">project areas in </w:t>
      </w:r>
      <w:r w:rsidR="0018642E">
        <w:t>August</w:t>
      </w:r>
      <w:r w:rsidR="00447054">
        <w:t xml:space="preserve"> </w:t>
      </w:r>
      <w:r w:rsidR="0056555B" w:rsidRPr="00736AFF">
        <w:t xml:space="preserve">2012. </w:t>
      </w:r>
      <w:r w:rsidR="0056555B">
        <w:t>Given the effectiveness of the</w:t>
      </w:r>
      <w:r w:rsidR="00447054">
        <w:t xml:space="preserve"> </w:t>
      </w:r>
      <w:r w:rsidR="0056555B" w:rsidRPr="00736AFF">
        <w:t xml:space="preserve">disaster risk management contingency plans </w:t>
      </w:r>
      <w:r w:rsidR="0056555B">
        <w:t xml:space="preserve">developed under the program, the Lao Government, through </w:t>
      </w:r>
      <w:r w:rsidR="00447054">
        <w:t>its</w:t>
      </w:r>
      <w:r w:rsidR="0056555B">
        <w:t xml:space="preserve"> Nationa</w:t>
      </w:r>
      <w:r w:rsidR="00447054">
        <w:t>l Disaster Management Office,</w:t>
      </w:r>
      <w:r w:rsidR="0056555B">
        <w:t xml:space="preserve"> </w:t>
      </w:r>
      <w:r w:rsidR="00447054">
        <w:t xml:space="preserve">is now </w:t>
      </w:r>
      <w:r w:rsidR="0056555B">
        <w:t xml:space="preserve">encouraging other local government units </w:t>
      </w:r>
      <w:r w:rsidR="0056555B" w:rsidRPr="00736AFF">
        <w:t xml:space="preserve">to </w:t>
      </w:r>
      <w:r w:rsidR="0056555B">
        <w:t xml:space="preserve">adopt the models </w:t>
      </w:r>
      <w:r w:rsidR="00447054">
        <w:t>applied under LANGOCA.</w:t>
      </w:r>
    </w:p>
    <w:p w14:paraId="096844C2" w14:textId="746211B9" w:rsidR="00107C2F" w:rsidRPr="00107C2F" w:rsidRDefault="000A1177" w:rsidP="001A2426">
      <w:pPr>
        <w:pStyle w:val="BodyText"/>
      </w:pPr>
      <w:r>
        <w:t xml:space="preserve">A program design was undertaken for new investments in rural livelihoods, which resulted in the </w:t>
      </w:r>
      <w:r w:rsidRPr="000A1177">
        <w:t xml:space="preserve">$43.79 million </w:t>
      </w:r>
      <w:r w:rsidR="00BD3E3F" w:rsidRPr="000A1177">
        <w:t>Laos</w:t>
      </w:r>
      <w:r w:rsidR="00643DE3">
        <w:t>–</w:t>
      </w:r>
      <w:r w:rsidR="00BD3E3F" w:rsidRPr="000A1177">
        <w:t>Australia Rural Livelihoo</w:t>
      </w:r>
      <w:r>
        <w:t>ds Program 2012</w:t>
      </w:r>
      <w:r w:rsidR="0072133A">
        <w:t>–</w:t>
      </w:r>
      <w:r w:rsidRPr="00107C2F">
        <w:t>2016.</w:t>
      </w:r>
      <w:r w:rsidR="00B51DFB">
        <w:t xml:space="preserve"> </w:t>
      </w:r>
      <w:r w:rsidR="00107C2F" w:rsidRPr="00107C2F">
        <w:t>The approval of this program by the Lao Government was as a result of effective policy dialogue, particularly around social protection</w:t>
      </w:r>
      <w:r w:rsidR="00107C2F">
        <w:t>, which is a new concept in</w:t>
      </w:r>
      <w:r w:rsidR="008A1150">
        <w:t xml:space="preserve"> Laos. If successful</w:t>
      </w:r>
      <w:r w:rsidR="0072133A">
        <w:t>,</w:t>
      </w:r>
      <w:r w:rsidR="008A1150">
        <w:t xml:space="preserve"> these investments will inform Lao Government social </w:t>
      </w:r>
      <w:r w:rsidR="008A1150" w:rsidRPr="007A69EF">
        <w:t>sector policies.</w:t>
      </w:r>
      <w:r w:rsidR="00B51DFB">
        <w:t xml:space="preserve"> </w:t>
      </w:r>
      <w:r w:rsidR="008D026A" w:rsidRPr="007A69EF">
        <w:t>The new program will address cross-cutting issues such as nutrition and will complement work on this issue that will be conducted through education investments.</w:t>
      </w:r>
    </w:p>
    <w:p w14:paraId="0022704A" w14:textId="733737A4" w:rsidR="00BD3E3F" w:rsidRPr="006E4F41" w:rsidRDefault="000A1177" w:rsidP="006E4F41">
      <w:pPr>
        <w:pStyle w:val="BodyText"/>
      </w:pPr>
      <w:r>
        <w:lastRenderedPageBreak/>
        <w:t xml:space="preserve">Implementation of </w:t>
      </w:r>
      <w:r w:rsidR="00145EA7">
        <w:t xml:space="preserve">managing contractor and </w:t>
      </w:r>
      <w:r w:rsidR="0072133A">
        <w:t>non-government organisation</w:t>
      </w:r>
      <w:r w:rsidR="00145EA7">
        <w:t xml:space="preserve">-delivered </w:t>
      </w:r>
      <w:r w:rsidR="00BD3E3F" w:rsidRPr="000A1177">
        <w:t xml:space="preserve">activities </w:t>
      </w:r>
      <w:r>
        <w:t xml:space="preserve">under this program </w:t>
      </w:r>
      <w:r w:rsidR="003A7D21">
        <w:t>are expected to commence</w:t>
      </w:r>
      <w:r w:rsidR="00145EA7">
        <w:t xml:space="preserve"> in early 2014.</w:t>
      </w:r>
      <w:r w:rsidR="00B51DFB">
        <w:t xml:space="preserve"> </w:t>
      </w:r>
      <w:r w:rsidR="00145EA7">
        <w:t>Other multilateral and delegated cooperation-delivered components will commence in 2013.</w:t>
      </w:r>
      <w:r w:rsidR="00145EA7" w:rsidRPr="00C645CE">
        <w:rPr>
          <w:rStyle w:val="FootnoteReference"/>
          <w:sz w:val="20"/>
          <w:vertAlign w:val="superscript"/>
        </w:rPr>
        <w:footnoteReference w:id="35"/>
      </w:r>
    </w:p>
    <w:p w14:paraId="45E11CF1" w14:textId="6AC59062" w:rsidR="003E5B0C" w:rsidRDefault="003E5B0C" w:rsidP="003E5B0C">
      <w:pPr>
        <w:pStyle w:val="Heading3"/>
      </w:pPr>
      <w:r w:rsidRPr="003E5B0C">
        <w:rPr>
          <w:rFonts w:eastAsia="Calibri"/>
        </w:rPr>
        <w:t>Objective 5: improved prioritisation, deliver</w:t>
      </w:r>
      <w:r w:rsidR="007C457E">
        <w:rPr>
          <w:rFonts w:eastAsia="Calibri"/>
        </w:rPr>
        <w:t>y</w:t>
      </w:r>
      <w:r w:rsidRPr="003E5B0C">
        <w:rPr>
          <w:rFonts w:eastAsia="Calibri"/>
        </w:rPr>
        <w:t xml:space="preserve"> efficiency and coordination of mine action resources</w:t>
      </w:r>
    </w:p>
    <w:tbl>
      <w:tblPr>
        <w:tblStyle w:val="APPR"/>
        <w:tblW w:w="5000" w:type="pct"/>
        <w:tblLook w:val="01E0" w:firstRow="1" w:lastRow="1" w:firstColumn="1" w:lastColumn="1" w:noHBand="0" w:noVBand="0"/>
      </w:tblPr>
      <w:tblGrid>
        <w:gridCol w:w="6894"/>
        <w:gridCol w:w="1712"/>
      </w:tblGrid>
      <w:tr w:rsidR="003E5B0C" w:rsidRPr="00745FE3" w14:paraId="082F0C79" w14:textId="77777777" w:rsidTr="003E5B0C">
        <w:trPr>
          <w:cnfStyle w:val="100000000000" w:firstRow="1" w:lastRow="0" w:firstColumn="0" w:lastColumn="0" w:oddVBand="0" w:evenVBand="0" w:oddHBand="0" w:evenHBand="0" w:firstRowFirstColumn="0" w:firstRowLastColumn="0" w:lastRowFirstColumn="0" w:lastRowLastColumn="0"/>
        </w:trPr>
        <w:tc>
          <w:tcPr>
            <w:tcW w:w="3981" w:type="pct"/>
          </w:tcPr>
          <w:p w14:paraId="143A330E" w14:textId="77777777" w:rsidR="003E5B0C" w:rsidRPr="00BF2045" w:rsidRDefault="003E5B0C" w:rsidP="003E5B0C">
            <w:pPr>
              <w:pStyle w:val="TableTextColumnHeading"/>
              <w:rPr>
                <w:rFonts w:eastAsia="Calibri"/>
                <w:b/>
              </w:rPr>
            </w:pPr>
            <w:r w:rsidRPr="00BF2045">
              <w:rPr>
                <w:rFonts w:eastAsia="Calibri"/>
                <w:b/>
              </w:rPr>
              <w:t>Objective</w:t>
            </w:r>
          </w:p>
        </w:tc>
        <w:tc>
          <w:tcPr>
            <w:tcW w:w="970" w:type="pct"/>
          </w:tcPr>
          <w:p w14:paraId="17C553DD" w14:textId="77777777" w:rsidR="003E5B0C" w:rsidRPr="00BF2045" w:rsidRDefault="003E5B0C" w:rsidP="003E5B0C">
            <w:pPr>
              <w:pStyle w:val="TableTextColumnHeading"/>
              <w:rPr>
                <w:rFonts w:eastAsia="Calibri"/>
                <w:b/>
              </w:rPr>
            </w:pPr>
            <w:r w:rsidRPr="00BF2045">
              <w:rPr>
                <w:rFonts w:eastAsia="Calibri"/>
                <w:b/>
              </w:rPr>
              <w:t xml:space="preserve">Current rating </w:t>
            </w:r>
          </w:p>
        </w:tc>
      </w:tr>
      <w:tr w:rsidR="003E5B0C" w:rsidRPr="00745FE3" w14:paraId="418FD4BD" w14:textId="77777777" w:rsidTr="003E5B0C">
        <w:trPr>
          <w:cnfStyle w:val="100000000000" w:firstRow="1" w:lastRow="0" w:firstColumn="0" w:lastColumn="0" w:oddVBand="0" w:evenVBand="0" w:oddHBand="0" w:evenHBand="0" w:firstRowFirstColumn="0" w:firstRowLastColumn="0" w:lastRowFirstColumn="0" w:lastRowLastColumn="0"/>
        </w:trPr>
        <w:tc>
          <w:tcPr>
            <w:tcW w:w="3981" w:type="pct"/>
          </w:tcPr>
          <w:p w14:paraId="0FFE2081" w14:textId="3840F6D0" w:rsidR="003E5B0C" w:rsidRPr="00BF2045" w:rsidRDefault="003E5B0C" w:rsidP="003E5B0C">
            <w:pPr>
              <w:pStyle w:val="TableTextEntries"/>
              <w:rPr>
                <w:rFonts w:eastAsia="Calibri"/>
                <w:b w:val="0"/>
              </w:rPr>
            </w:pPr>
            <w:r w:rsidRPr="003E5B0C">
              <w:rPr>
                <w:rFonts w:eastAsia="Calibri"/>
                <w:b w:val="0"/>
              </w:rPr>
              <w:t>Objective 5: improved prioritisation, deliver</w:t>
            </w:r>
            <w:r w:rsidR="007C457E">
              <w:rPr>
                <w:rFonts w:eastAsia="Calibri"/>
                <w:b w:val="0"/>
              </w:rPr>
              <w:t>y</w:t>
            </w:r>
            <w:r w:rsidRPr="003E5B0C">
              <w:rPr>
                <w:rFonts w:eastAsia="Calibri"/>
                <w:b w:val="0"/>
              </w:rPr>
              <w:t xml:space="preserve"> efficiency and coordination of mine action resources</w:t>
            </w:r>
          </w:p>
        </w:tc>
        <w:tc>
          <w:tcPr>
            <w:tcW w:w="970" w:type="pct"/>
            <w:shd w:val="clear" w:color="auto" w:fill="92D050"/>
          </w:tcPr>
          <w:p w14:paraId="23319E3A" w14:textId="77777777" w:rsidR="003E5B0C" w:rsidRPr="00BF2045" w:rsidRDefault="003E5B0C" w:rsidP="003E5B0C">
            <w:pPr>
              <w:pStyle w:val="TableTextEntries"/>
              <w:rPr>
                <w:rFonts w:eastAsia="Calibri"/>
                <w:b w:val="0"/>
              </w:rPr>
            </w:pPr>
            <w:r>
              <w:rPr>
                <w:rFonts w:eastAsia="Calibri"/>
                <w:b w:val="0"/>
              </w:rPr>
              <w:t>green</w:t>
            </w:r>
          </w:p>
        </w:tc>
      </w:tr>
    </w:tbl>
    <w:p w14:paraId="7DEA3929" w14:textId="77777777" w:rsidR="003E5B0C" w:rsidRDefault="003E5B0C" w:rsidP="003E5B0C">
      <w:pPr>
        <w:pStyle w:val="BodyText"/>
      </w:pPr>
    </w:p>
    <w:p w14:paraId="5F266B78" w14:textId="4129736D" w:rsidR="00982BEE" w:rsidRPr="008A1150" w:rsidRDefault="0029290B" w:rsidP="001A2426">
      <w:pPr>
        <w:pStyle w:val="BodyText"/>
      </w:pPr>
      <w:r w:rsidRPr="007A69EF">
        <w:t xml:space="preserve">Progress towards this objective is on track. </w:t>
      </w:r>
      <w:r w:rsidR="007F02A7" w:rsidRPr="007A69EF">
        <w:t xml:space="preserve">Of the </w:t>
      </w:r>
      <w:r w:rsidR="00F406BF" w:rsidRPr="007A69EF">
        <w:t>five</w:t>
      </w:r>
      <w:r w:rsidR="007F02A7" w:rsidRPr="007A69EF">
        <w:t xml:space="preserve"> milestones under this objective, </w:t>
      </w:r>
      <w:r w:rsidR="00F406BF" w:rsidRPr="007A69EF">
        <w:t xml:space="preserve">four </w:t>
      </w:r>
      <w:r w:rsidR="007F02A7" w:rsidRPr="007A69EF">
        <w:t>were achieved in 2012</w:t>
      </w:r>
      <w:r w:rsidR="00885578">
        <w:t>–</w:t>
      </w:r>
      <w:r w:rsidR="007F02A7" w:rsidRPr="007A69EF">
        <w:t xml:space="preserve">13, and </w:t>
      </w:r>
      <w:r w:rsidR="00F406BF" w:rsidRPr="007A69EF">
        <w:t xml:space="preserve">one </w:t>
      </w:r>
      <w:r w:rsidR="00885578">
        <w:t xml:space="preserve">was </w:t>
      </w:r>
      <w:r w:rsidR="007F02A7" w:rsidRPr="007A69EF">
        <w:t>partially achieved</w:t>
      </w:r>
      <w:r w:rsidR="00105389" w:rsidRPr="007A69EF">
        <w:t xml:space="preserve">. </w:t>
      </w:r>
      <w:r w:rsidR="0072133A">
        <w:rPr>
          <w:lang w:val="en-US"/>
        </w:rPr>
        <w:t>U</w:t>
      </w:r>
      <w:r w:rsidR="0072133A" w:rsidRPr="0072133A">
        <w:rPr>
          <w:lang w:val="en-US"/>
        </w:rPr>
        <w:t>nexploded ordnance</w:t>
      </w:r>
      <w:r w:rsidR="0072133A" w:rsidRPr="0072133A" w:rsidDel="0072133A">
        <w:t xml:space="preserve"> </w:t>
      </w:r>
      <w:r w:rsidR="00105389" w:rsidRPr="007A69EF">
        <w:t>clearance targets were met, there</w:t>
      </w:r>
      <w:r w:rsidR="00F406BF" w:rsidRPr="007A69EF">
        <w:t xml:space="preserve"> were no accidents for </w:t>
      </w:r>
      <w:r w:rsidR="005E36BB" w:rsidRPr="007A69EF">
        <w:t>de</w:t>
      </w:r>
      <w:r w:rsidR="005E36BB">
        <w:t>-</w:t>
      </w:r>
      <w:r w:rsidR="005E36BB" w:rsidRPr="007A69EF">
        <w:t>miners</w:t>
      </w:r>
      <w:r w:rsidR="00885578">
        <w:t>,</w:t>
      </w:r>
      <w:r w:rsidR="00F406BF" w:rsidRPr="007A69EF">
        <w:t xml:space="preserve"> and women continued to benefit from clearance and physical rehabilitation services. The milestone related to quality assurance was only partially met </w:t>
      </w:r>
      <w:r w:rsidR="007F02A7" w:rsidRPr="007A69EF">
        <w:t>(</w:t>
      </w:r>
      <w:r w:rsidR="0072133A">
        <w:t>see</w:t>
      </w:r>
      <w:r w:rsidR="007F02A7" w:rsidRPr="007A69EF">
        <w:t xml:space="preserve"> </w:t>
      </w:r>
      <w:r w:rsidR="0078569D">
        <w:t>Annex D</w:t>
      </w:r>
      <w:r w:rsidR="007F02A7" w:rsidRPr="007A69EF">
        <w:t>).</w:t>
      </w:r>
      <w:r w:rsidR="00C1364C" w:rsidRPr="007A69EF">
        <w:t xml:space="preserve"> </w:t>
      </w:r>
    </w:p>
    <w:p w14:paraId="5FF5BFF8" w14:textId="67A90AB9" w:rsidR="000C34D5" w:rsidRDefault="00982BEE" w:rsidP="001A2426">
      <w:pPr>
        <w:pStyle w:val="BodyText"/>
      </w:pPr>
      <w:r w:rsidRPr="00982BEE">
        <w:t>There has been g</w:t>
      </w:r>
      <w:r>
        <w:t>ood progress towards achieving this objective</w:t>
      </w:r>
      <w:r w:rsidR="00876E5A">
        <w:t>.</w:t>
      </w:r>
      <w:r>
        <w:t xml:space="preserve"> </w:t>
      </w:r>
      <w:r w:rsidR="008E29C6">
        <w:t xml:space="preserve">Australia continues to be one of the leading donors to the sector, </w:t>
      </w:r>
      <w:r w:rsidR="000C34D5">
        <w:t xml:space="preserve">supporting </w:t>
      </w:r>
      <w:r w:rsidR="0072133A" w:rsidRPr="0072133A">
        <w:rPr>
          <w:lang w:val="en-US"/>
        </w:rPr>
        <w:t>unexploded ordnance</w:t>
      </w:r>
      <w:r w:rsidR="0072133A" w:rsidDel="0072133A">
        <w:t xml:space="preserve"> </w:t>
      </w:r>
      <w:r w:rsidR="000C34D5">
        <w:t>clearance</w:t>
      </w:r>
      <w:r w:rsidR="0072133A">
        <w:t>,</w:t>
      </w:r>
      <w:r w:rsidR="000C34D5">
        <w:t xml:space="preserve"> quality assurance and control processes associated with clearance</w:t>
      </w:r>
      <w:r w:rsidR="0072133A">
        <w:t>s</w:t>
      </w:r>
      <w:r w:rsidR="000C34D5">
        <w:t>, mine risk education</w:t>
      </w:r>
      <w:r w:rsidR="0072133A">
        <w:t>,</w:t>
      </w:r>
      <w:r w:rsidR="000C34D5">
        <w:t xml:space="preserve"> and assistance to survivors of </w:t>
      </w:r>
      <w:r w:rsidR="0072133A" w:rsidRPr="0072133A">
        <w:rPr>
          <w:lang w:val="en-US"/>
        </w:rPr>
        <w:t>unexploded ordnance</w:t>
      </w:r>
      <w:r w:rsidR="0072133A" w:rsidDel="0072133A">
        <w:t xml:space="preserve"> </w:t>
      </w:r>
      <w:r w:rsidR="000C34D5">
        <w:t>accidents.</w:t>
      </w:r>
    </w:p>
    <w:p w14:paraId="71D28414" w14:textId="7201F8FD" w:rsidR="00456CE7" w:rsidRDefault="00301D95" w:rsidP="001A2426">
      <w:pPr>
        <w:pStyle w:val="BodyText"/>
      </w:pPr>
      <w:r>
        <w:t>From 2011</w:t>
      </w:r>
      <w:r w:rsidR="0072133A">
        <w:t>–</w:t>
      </w:r>
      <w:r>
        <w:t>2013</w:t>
      </w:r>
      <w:r w:rsidR="000C34D5">
        <w:t xml:space="preserve"> Australia provided a total of </w:t>
      </w:r>
      <w:r w:rsidR="008E29C6">
        <w:t>$</w:t>
      </w:r>
      <w:r w:rsidR="000C34D5">
        <w:t>6.1 million</w:t>
      </w:r>
      <w:r w:rsidR="008E29C6">
        <w:t xml:space="preserve"> (inclu</w:t>
      </w:r>
      <w:r w:rsidR="00A54029">
        <w:t>ding $1</w:t>
      </w:r>
      <w:r w:rsidR="0072133A">
        <w:t xml:space="preserve"> </w:t>
      </w:r>
      <w:r w:rsidR="00A54029">
        <w:t>million in April 2012</w:t>
      </w:r>
      <w:r w:rsidR="008E29C6">
        <w:t xml:space="preserve">) to </w:t>
      </w:r>
      <w:r w:rsidR="00982BEE">
        <w:t xml:space="preserve">the </w:t>
      </w:r>
      <w:r w:rsidR="008E29C6" w:rsidRPr="00AC1CD2">
        <w:t>U</w:t>
      </w:r>
      <w:r w:rsidR="0072133A">
        <w:t xml:space="preserve">nited </w:t>
      </w:r>
      <w:r w:rsidR="008E29C6" w:rsidRPr="00AC1CD2">
        <w:t>N</w:t>
      </w:r>
      <w:r w:rsidR="0072133A">
        <w:t xml:space="preserve">ations </w:t>
      </w:r>
      <w:r w:rsidR="008E29C6" w:rsidRPr="00AC1CD2">
        <w:t>D</w:t>
      </w:r>
      <w:r w:rsidR="0072133A">
        <w:t xml:space="preserve">evelopment </w:t>
      </w:r>
      <w:r w:rsidR="008E29C6" w:rsidRPr="00AC1CD2">
        <w:t>P</w:t>
      </w:r>
      <w:r w:rsidR="0072133A">
        <w:t>rogramme</w:t>
      </w:r>
      <w:r w:rsidR="008E29C6" w:rsidRPr="00AC1CD2">
        <w:t>-managed Convention on Cluster Munitions Multi-Donor Trust Fund</w:t>
      </w:r>
      <w:r w:rsidR="008E29C6">
        <w:t>.</w:t>
      </w:r>
      <w:r w:rsidR="008E29C6" w:rsidRPr="00AC1CD2">
        <w:t xml:space="preserve"> </w:t>
      </w:r>
      <w:r w:rsidR="00982BEE">
        <w:t xml:space="preserve">Through this support, </w:t>
      </w:r>
      <w:r w:rsidR="00982BEE" w:rsidRPr="00AC1CD2">
        <w:t>UXO Lao</w:t>
      </w:r>
      <w:r w:rsidR="00982BEE">
        <w:t>, the national clearance agency,</w:t>
      </w:r>
      <w:r w:rsidR="00982BEE" w:rsidRPr="00AC1CD2">
        <w:t xml:space="preserve"> </w:t>
      </w:r>
      <w:r w:rsidR="000C34D5">
        <w:t>cleared</w:t>
      </w:r>
      <w:r w:rsidR="00982BEE">
        <w:t xml:space="preserve"> more than</w:t>
      </w:r>
      <w:r w:rsidR="00982BEE" w:rsidRPr="00AC1CD2">
        <w:t xml:space="preserve"> 3</w:t>
      </w:r>
      <w:r w:rsidR="00982BEE">
        <w:t>000</w:t>
      </w:r>
      <w:r w:rsidR="00982BEE" w:rsidRPr="00AC1CD2">
        <w:t xml:space="preserve"> hectares of land in 2012</w:t>
      </w:r>
      <w:r w:rsidR="00A54029">
        <w:t xml:space="preserve"> </w:t>
      </w:r>
      <w:r w:rsidR="00A54029" w:rsidRPr="00A54029">
        <w:t>exceeding its annual clearance target by 100 hectares</w:t>
      </w:r>
      <w:r w:rsidR="0072133A">
        <w:t xml:space="preserve"> and</w:t>
      </w:r>
      <w:r w:rsidR="00A54029" w:rsidRPr="00A54029">
        <w:t xml:space="preserve"> benefiting more than 500</w:t>
      </w:r>
      <w:r w:rsidR="0072133A">
        <w:t xml:space="preserve"> </w:t>
      </w:r>
      <w:r w:rsidR="00A54029" w:rsidRPr="00A54029">
        <w:t>000 people. Of this total</w:t>
      </w:r>
      <w:r w:rsidR="0072133A">
        <w:t>,</w:t>
      </w:r>
      <w:r w:rsidR="00A54029" w:rsidRPr="00A54029">
        <w:t xml:space="preserve"> </w:t>
      </w:r>
      <w:r w:rsidR="00C7766C" w:rsidRPr="00A54029">
        <w:t>Australian-funded clearance</w:t>
      </w:r>
      <w:r w:rsidR="00A54029" w:rsidRPr="00A54029">
        <w:t xml:space="preserve"> accounted for around 26 </w:t>
      </w:r>
      <w:r w:rsidR="00983017" w:rsidRPr="00A54029">
        <w:t>per cent</w:t>
      </w:r>
      <w:r w:rsidR="00A54029" w:rsidRPr="00A54029">
        <w:t xml:space="preserve"> or 831 hectares, benefiting 134</w:t>
      </w:r>
      <w:r w:rsidR="0072133A">
        <w:t xml:space="preserve"> </w:t>
      </w:r>
      <w:r w:rsidR="00A54029" w:rsidRPr="00A54029">
        <w:t>000 people</w:t>
      </w:r>
      <w:r w:rsidR="0072133A">
        <w:t>.</w:t>
      </w:r>
      <w:r w:rsidR="0072133A" w:rsidRPr="00A54029">
        <w:t xml:space="preserve"> </w:t>
      </w:r>
      <w:r w:rsidR="000C34D5" w:rsidRPr="00A54029">
        <w:t>M</w:t>
      </w:r>
      <w:r w:rsidR="00982BEE" w:rsidRPr="00A54029">
        <w:t>ore than 600 risk education activities</w:t>
      </w:r>
      <w:r w:rsidR="00982BEE" w:rsidRPr="00AC1CD2">
        <w:t xml:space="preserve"> were </w:t>
      </w:r>
      <w:r w:rsidR="000C34D5">
        <w:t>also conducted</w:t>
      </w:r>
      <w:r w:rsidR="00982BEE" w:rsidRPr="00AC1CD2">
        <w:t>, reaching 155</w:t>
      </w:r>
      <w:r w:rsidR="0072133A">
        <w:t xml:space="preserve"> </w:t>
      </w:r>
      <w:r w:rsidR="00982BEE" w:rsidRPr="00AC1CD2">
        <w:t xml:space="preserve">362 people </w:t>
      </w:r>
      <w:r w:rsidR="000C34D5">
        <w:t>including 69</w:t>
      </w:r>
      <w:r w:rsidR="0072133A">
        <w:t xml:space="preserve"> </w:t>
      </w:r>
      <w:r w:rsidR="000C34D5">
        <w:t xml:space="preserve">081 children. This </w:t>
      </w:r>
      <w:r w:rsidR="00805F29">
        <w:t>a</w:t>
      </w:r>
      <w:r w:rsidR="000C34D5">
        <w:t>wareness</w:t>
      </w:r>
      <w:r w:rsidR="00982BEE" w:rsidRPr="00AC1CD2">
        <w:t xml:space="preserve"> </w:t>
      </w:r>
      <w:r w:rsidR="00805F29">
        <w:t xml:space="preserve">building work </w:t>
      </w:r>
      <w:r w:rsidR="00982BEE" w:rsidRPr="00AC1CD2">
        <w:t xml:space="preserve">contributed to the steady </w:t>
      </w:r>
      <w:r w:rsidR="00982BEE">
        <w:t>decline in</w:t>
      </w:r>
      <w:r w:rsidR="00982BEE" w:rsidRPr="00AC1CD2">
        <w:t xml:space="preserve"> </w:t>
      </w:r>
      <w:r w:rsidR="0072133A" w:rsidRPr="0072133A">
        <w:rPr>
          <w:lang w:val="en-US"/>
        </w:rPr>
        <w:t>unexploded ordnance</w:t>
      </w:r>
      <w:r w:rsidR="0072133A" w:rsidRPr="00AC1CD2" w:rsidDel="0072133A">
        <w:t xml:space="preserve"> </w:t>
      </w:r>
      <w:r w:rsidR="00982BEE">
        <w:t xml:space="preserve">accidents and </w:t>
      </w:r>
      <w:r w:rsidR="000C34D5">
        <w:t>casualties</w:t>
      </w:r>
      <w:r w:rsidR="0072133A">
        <w:t>,</w:t>
      </w:r>
      <w:r w:rsidR="000C34D5">
        <w:t xml:space="preserve"> </w:t>
      </w:r>
      <w:r w:rsidR="00EB3B82">
        <w:t xml:space="preserve">from </w:t>
      </w:r>
      <w:r w:rsidR="00982BEE" w:rsidRPr="00AC1CD2">
        <w:t xml:space="preserve">92 in 2011 </w:t>
      </w:r>
      <w:r w:rsidR="00EB3B82">
        <w:t>to</w:t>
      </w:r>
      <w:r w:rsidR="00982BEE" w:rsidRPr="00AC1CD2">
        <w:t xml:space="preserve"> 52 in 2012.</w:t>
      </w:r>
    </w:p>
    <w:p w14:paraId="3421DE30" w14:textId="22FF34B2" w:rsidR="0050653E" w:rsidRDefault="00456CE7" w:rsidP="001A2426">
      <w:pPr>
        <w:pStyle w:val="BodyText"/>
      </w:pPr>
      <w:r>
        <w:t>The National Regulatory Authority</w:t>
      </w:r>
      <w:r w:rsidR="0034705B">
        <w:t xml:space="preserve"> released a strategic plan for the </w:t>
      </w:r>
      <w:r w:rsidR="0072133A" w:rsidRPr="0072133A">
        <w:rPr>
          <w:lang w:val="en-US"/>
        </w:rPr>
        <w:t>unexploded ordnance</w:t>
      </w:r>
      <w:r w:rsidR="0072133A" w:rsidDel="0072133A">
        <w:t xml:space="preserve"> </w:t>
      </w:r>
      <w:r w:rsidR="0034705B">
        <w:t>s</w:t>
      </w:r>
      <w:r w:rsidR="008D0F7B">
        <w:t>ector in Laos––</w:t>
      </w:r>
      <w:r w:rsidR="0034705B" w:rsidRPr="00D3670A">
        <w:rPr>
          <w:i/>
        </w:rPr>
        <w:t xml:space="preserve">Safe </w:t>
      </w:r>
      <w:r w:rsidR="0072133A">
        <w:rPr>
          <w:i/>
        </w:rPr>
        <w:t>p</w:t>
      </w:r>
      <w:r w:rsidR="0072133A" w:rsidRPr="00D3670A">
        <w:rPr>
          <w:i/>
        </w:rPr>
        <w:t xml:space="preserve">ath </w:t>
      </w:r>
      <w:r w:rsidR="0072133A">
        <w:rPr>
          <w:i/>
        </w:rPr>
        <w:t>f</w:t>
      </w:r>
      <w:r w:rsidR="0072133A" w:rsidRPr="00D3670A">
        <w:rPr>
          <w:i/>
        </w:rPr>
        <w:t xml:space="preserve">orward </w:t>
      </w:r>
      <w:r w:rsidR="0034705B" w:rsidRPr="00D3670A">
        <w:rPr>
          <w:i/>
        </w:rPr>
        <w:t>II 2011</w:t>
      </w:r>
      <w:r w:rsidR="0072133A">
        <w:rPr>
          <w:i/>
        </w:rPr>
        <w:t>–</w:t>
      </w:r>
      <w:r w:rsidR="0034705B" w:rsidRPr="00D3670A">
        <w:rPr>
          <w:i/>
        </w:rPr>
        <w:t>2020</w:t>
      </w:r>
      <w:r w:rsidR="008D0F7B">
        <w:t>––</w:t>
      </w:r>
      <w:r w:rsidR="0034705B">
        <w:t xml:space="preserve">in </w:t>
      </w:r>
      <w:r w:rsidR="00983017">
        <w:t>mid-2012</w:t>
      </w:r>
      <w:r w:rsidR="0034705B">
        <w:t xml:space="preserve">. The strategy </w:t>
      </w:r>
      <w:r w:rsidR="00885578">
        <w:t>will help</w:t>
      </w:r>
      <w:r w:rsidR="0034705B">
        <w:t xml:space="preserve"> achieve</w:t>
      </w:r>
      <w:r w:rsidR="00885578">
        <w:t xml:space="preserve"> </w:t>
      </w:r>
      <w:r w:rsidR="0034705B">
        <w:t xml:space="preserve">the </w:t>
      </w:r>
      <w:r w:rsidR="0072133A" w:rsidRPr="0072133A">
        <w:rPr>
          <w:lang w:val="en-US"/>
        </w:rPr>
        <w:t>unexploded ordnance</w:t>
      </w:r>
      <w:r w:rsidR="0072133A" w:rsidDel="0072133A">
        <w:t xml:space="preserve"> </w:t>
      </w:r>
      <w:r w:rsidR="00885578">
        <w:t>MDG</w:t>
      </w:r>
      <w:r w:rsidR="0034705B">
        <w:t xml:space="preserve"> by setting standards within the sector, mobilising resources, particularly from donors, and guiding the implementation of international conventions related to </w:t>
      </w:r>
      <w:r w:rsidR="0072133A" w:rsidRPr="0072133A">
        <w:rPr>
          <w:lang w:val="en-US"/>
        </w:rPr>
        <w:t>unexploded ordnance</w:t>
      </w:r>
      <w:r w:rsidR="0034705B">
        <w:t>.</w:t>
      </w:r>
      <w:r w:rsidR="00B51DFB">
        <w:t xml:space="preserve"> </w:t>
      </w:r>
    </w:p>
    <w:p w14:paraId="1255B912" w14:textId="2F49631A" w:rsidR="00972E80" w:rsidRDefault="00972E80" w:rsidP="001A2426">
      <w:pPr>
        <w:pStyle w:val="BodyText"/>
      </w:pPr>
      <w:r>
        <w:t xml:space="preserve">The </w:t>
      </w:r>
      <w:r w:rsidR="0072133A">
        <w:t xml:space="preserve">National Regulatory Authority </w:t>
      </w:r>
      <w:r>
        <w:t xml:space="preserve">also </w:t>
      </w:r>
      <w:r w:rsidR="0050653E">
        <w:t>work</w:t>
      </w:r>
      <w:r>
        <w:t>ed</w:t>
      </w:r>
      <w:r w:rsidR="0050653E">
        <w:t xml:space="preserve"> to </w:t>
      </w:r>
      <w:r w:rsidR="00C7766C">
        <w:t>mobilise two quality assurance and quality control teams to provide roving checks on clearance operations.</w:t>
      </w:r>
      <w:r w:rsidR="00B51DFB">
        <w:t xml:space="preserve"> </w:t>
      </w:r>
      <w:r w:rsidR="0050653E">
        <w:t>O</w:t>
      </w:r>
      <w:r w:rsidR="00C7766C">
        <w:t>ne team is now fully operational while the other is in the process of being formed.</w:t>
      </w:r>
      <w:r w:rsidR="00B51DFB">
        <w:t xml:space="preserve"> </w:t>
      </w:r>
      <w:r w:rsidR="0050653E">
        <w:t xml:space="preserve">Problems with staff retention reported in 2011 have been addressed with a salary scale review and a subsequent wage increase for UXO Lao and </w:t>
      </w:r>
      <w:r w:rsidR="0072133A">
        <w:t xml:space="preserve">National Regulatory Authority </w:t>
      </w:r>
      <w:r w:rsidR="0050653E">
        <w:t>staff to address uncompetitive employment conditions.</w:t>
      </w:r>
      <w:r w:rsidR="00B51DFB">
        <w:t xml:space="preserve"> </w:t>
      </w:r>
      <w:r w:rsidR="0050653E">
        <w:t xml:space="preserve">In the area of victim assistance, </w:t>
      </w:r>
      <w:r>
        <w:t xml:space="preserve">the </w:t>
      </w:r>
      <w:r w:rsidR="0072133A">
        <w:t xml:space="preserve">National Regulatory Authority </w:t>
      </w:r>
      <w:r>
        <w:t xml:space="preserve">launched </w:t>
      </w:r>
      <w:r w:rsidR="0050653E">
        <w:t>a</w:t>
      </w:r>
      <w:r w:rsidR="007C457E">
        <w:t>n</w:t>
      </w:r>
      <w:r w:rsidR="0050653E">
        <w:t xml:space="preserve"> </w:t>
      </w:r>
      <w:r w:rsidR="0072133A" w:rsidRPr="0072133A">
        <w:rPr>
          <w:lang w:val="en-US"/>
        </w:rPr>
        <w:t>unexploded ordnance</w:t>
      </w:r>
      <w:r w:rsidR="0072133A" w:rsidDel="0072133A">
        <w:t xml:space="preserve"> </w:t>
      </w:r>
      <w:r w:rsidR="0072133A">
        <w:t>s</w:t>
      </w:r>
      <w:r w:rsidR="0072133A" w:rsidRPr="00AC1CD2">
        <w:t xml:space="preserve">urvivor tracking system </w:t>
      </w:r>
      <w:r w:rsidR="0050653E">
        <w:t xml:space="preserve">covering </w:t>
      </w:r>
      <w:r w:rsidR="00982BEE" w:rsidRPr="00AC1CD2">
        <w:t>10 provinces</w:t>
      </w:r>
      <w:r w:rsidR="0050653E">
        <w:t>.</w:t>
      </w:r>
      <w:r w:rsidR="00B51DFB">
        <w:t xml:space="preserve"> </w:t>
      </w:r>
      <w:r w:rsidR="0050653E">
        <w:t xml:space="preserve">The data generated by this system will be used </w:t>
      </w:r>
      <w:r w:rsidR="002266AA">
        <w:t>to help meet the rehabilitation needs of survivors</w:t>
      </w:r>
      <w:r w:rsidR="00982BEE">
        <w:t xml:space="preserve"> and </w:t>
      </w:r>
      <w:r w:rsidR="002266AA">
        <w:t>to inform national and</w:t>
      </w:r>
      <w:r w:rsidR="00A54029">
        <w:t xml:space="preserve"> local health services planning</w:t>
      </w:r>
      <w:r w:rsidR="00982BEE" w:rsidRPr="00AC1CD2">
        <w:t xml:space="preserve">. </w:t>
      </w:r>
    </w:p>
    <w:p w14:paraId="7DA9B503" w14:textId="50E05807" w:rsidR="0060640E" w:rsidRDefault="00972E80" w:rsidP="001A2426">
      <w:pPr>
        <w:pStyle w:val="BodyText"/>
      </w:pPr>
      <w:r>
        <w:lastRenderedPageBreak/>
        <w:t>Key challenges within the sector continue to be the enormity of the clearance task and the limite</w:t>
      </w:r>
      <w:r w:rsidR="00852A91">
        <w:t>d resources available to tackle</w:t>
      </w:r>
      <w:r>
        <w:t xml:space="preserve"> the problem. </w:t>
      </w:r>
      <w:r w:rsidR="005E36BB">
        <w:t>An</w:t>
      </w:r>
      <w:r w:rsidR="00D17D72">
        <w:t xml:space="preserve"> </w:t>
      </w:r>
      <w:r w:rsidR="0072133A" w:rsidRPr="0072133A">
        <w:rPr>
          <w:lang w:val="en-US"/>
        </w:rPr>
        <w:t>unexploded ordnance</w:t>
      </w:r>
      <w:r w:rsidR="0072133A" w:rsidDel="0072133A">
        <w:t xml:space="preserve"> </w:t>
      </w:r>
      <w:r w:rsidR="008203B8">
        <w:t xml:space="preserve">sector working group </w:t>
      </w:r>
      <w:r w:rsidR="00D17D72">
        <w:t>meeting was held in 2012 to assist with resource coordination and mobilisation efforts, with the U</w:t>
      </w:r>
      <w:r w:rsidR="00885578">
        <w:t xml:space="preserve">nited </w:t>
      </w:r>
      <w:r w:rsidR="00D17D72">
        <w:t>S</w:t>
      </w:r>
      <w:r w:rsidR="00885578">
        <w:t>tates</w:t>
      </w:r>
      <w:r w:rsidR="00D17D72">
        <w:t xml:space="preserve"> nominated as co-chair. </w:t>
      </w:r>
      <w:r w:rsidR="003E0709">
        <w:t>There was no significant change to the sector funding profile in 2012</w:t>
      </w:r>
      <w:r w:rsidR="008203B8">
        <w:t>–</w:t>
      </w:r>
      <w:r w:rsidR="003E0709">
        <w:t xml:space="preserve">13. </w:t>
      </w:r>
      <w:r w:rsidR="00D17D72">
        <w:t>Although the Lao Government provi</w:t>
      </w:r>
      <w:r w:rsidR="003E0709">
        <w:t>de</w:t>
      </w:r>
      <w:r w:rsidR="00301D95">
        <w:t>s</w:t>
      </w:r>
      <w:r w:rsidR="003E0709">
        <w:t xml:space="preserve"> in-kind support</w:t>
      </w:r>
      <w:r w:rsidR="00D17D72">
        <w:t xml:space="preserve">, the sector remains reliant on donor funding. </w:t>
      </w:r>
      <w:r w:rsidR="003E0709">
        <w:t>A further contribution of $5.4</w:t>
      </w:r>
      <w:r w:rsidR="008203B8">
        <w:t xml:space="preserve"> </w:t>
      </w:r>
      <w:r w:rsidR="003E0709">
        <w:t xml:space="preserve">million from Australia to </w:t>
      </w:r>
      <w:r w:rsidR="0072133A" w:rsidRPr="0072133A">
        <w:rPr>
          <w:lang w:val="en-US"/>
        </w:rPr>
        <w:t>unexploded ordnance</w:t>
      </w:r>
      <w:r w:rsidR="0072133A" w:rsidDel="0072133A">
        <w:t xml:space="preserve"> </w:t>
      </w:r>
      <w:r w:rsidR="003E0709">
        <w:t xml:space="preserve">action was announced in February 2013. This </w:t>
      </w:r>
      <w:r w:rsidR="008203B8">
        <w:t>medium-</w:t>
      </w:r>
      <w:r w:rsidR="000C25F9">
        <w:t xml:space="preserve">term </w:t>
      </w:r>
      <w:r w:rsidR="003E0709">
        <w:t>support will be provided as part of the Laos</w:t>
      </w:r>
      <w:r w:rsidR="008D0F7B">
        <w:t>–</w:t>
      </w:r>
      <w:r w:rsidR="003E0709">
        <w:t>Australia Rural Livelihoods P</w:t>
      </w:r>
      <w:r w:rsidR="00483407">
        <w:t xml:space="preserve">rogram, and </w:t>
      </w:r>
      <w:r w:rsidR="000C25F9">
        <w:t xml:space="preserve">will enable Australia, as a leading donor, to continue to advocate for further sector resources from both the Lao Government and the donor </w:t>
      </w:r>
      <w:r w:rsidR="000C25F9" w:rsidRPr="007A69EF">
        <w:t>community.</w:t>
      </w:r>
      <w:r w:rsidR="00466CAA" w:rsidRPr="007A69EF">
        <w:t xml:space="preserve"> </w:t>
      </w:r>
      <w:r w:rsidR="008203B8">
        <w:t>The United Nations Development Programme’s</w:t>
      </w:r>
      <w:r w:rsidR="00466CAA" w:rsidRPr="007A69EF">
        <w:t xml:space="preserve"> management of donor funds in Laos has raised concerns </w:t>
      </w:r>
      <w:r w:rsidR="00C51405" w:rsidRPr="007A69EF">
        <w:t>for the Laos Country Program over the reporting period (</w:t>
      </w:r>
      <w:r w:rsidR="008203B8">
        <w:t>see</w:t>
      </w:r>
      <w:r w:rsidR="008203B8" w:rsidRPr="007A69EF">
        <w:t xml:space="preserve"> </w:t>
      </w:r>
      <w:r w:rsidR="00C51405" w:rsidRPr="007A69EF">
        <w:t>the section on Partnerships for more detail).</w:t>
      </w:r>
    </w:p>
    <w:p w14:paraId="72922D3F" w14:textId="77777777" w:rsidR="005F34AB" w:rsidRDefault="005F34AB" w:rsidP="003E5B0C">
      <w:pPr>
        <w:pStyle w:val="Heading3"/>
      </w:pPr>
      <w:r>
        <w:t xml:space="preserve">Objective 6: </w:t>
      </w:r>
      <w:r w:rsidRPr="0019341B">
        <w:t>improved rural infrastructure, particularly roads and electrification</w:t>
      </w:r>
    </w:p>
    <w:tbl>
      <w:tblPr>
        <w:tblStyle w:val="APPR"/>
        <w:tblW w:w="5000" w:type="pct"/>
        <w:tblLook w:val="01E0" w:firstRow="1" w:lastRow="1" w:firstColumn="1" w:lastColumn="1" w:noHBand="0" w:noVBand="0"/>
      </w:tblPr>
      <w:tblGrid>
        <w:gridCol w:w="6894"/>
        <w:gridCol w:w="1712"/>
      </w:tblGrid>
      <w:tr w:rsidR="003E5B0C" w:rsidRPr="00745FE3" w14:paraId="594530D6" w14:textId="77777777" w:rsidTr="003E5B0C">
        <w:trPr>
          <w:cnfStyle w:val="100000000000" w:firstRow="1" w:lastRow="0" w:firstColumn="0" w:lastColumn="0" w:oddVBand="0" w:evenVBand="0" w:oddHBand="0" w:evenHBand="0" w:firstRowFirstColumn="0" w:firstRowLastColumn="0" w:lastRowFirstColumn="0" w:lastRowLastColumn="0"/>
        </w:trPr>
        <w:tc>
          <w:tcPr>
            <w:tcW w:w="3981" w:type="pct"/>
          </w:tcPr>
          <w:p w14:paraId="6FDF9408" w14:textId="77777777" w:rsidR="003E5B0C" w:rsidRPr="00BF2045" w:rsidRDefault="003E5B0C" w:rsidP="003E5B0C">
            <w:pPr>
              <w:pStyle w:val="TableTextColumnHeading"/>
              <w:rPr>
                <w:rFonts w:eastAsia="Calibri"/>
                <w:b/>
              </w:rPr>
            </w:pPr>
            <w:r w:rsidRPr="00BF2045">
              <w:rPr>
                <w:rFonts w:eastAsia="Calibri"/>
                <w:b/>
              </w:rPr>
              <w:t>Objective</w:t>
            </w:r>
          </w:p>
        </w:tc>
        <w:tc>
          <w:tcPr>
            <w:tcW w:w="970" w:type="pct"/>
          </w:tcPr>
          <w:p w14:paraId="6F3EDA2F" w14:textId="77777777" w:rsidR="003E5B0C" w:rsidRPr="00BF2045" w:rsidRDefault="003E5B0C" w:rsidP="003E5B0C">
            <w:pPr>
              <w:pStyle w:val="TableTextColumnHeading"/>
              <w:rPr>
                <w:rFonts w:eastAsia="Calibri"/>
                <w:b/>
              </w:rPr>
            </w:pPr>
            <w:r w:rsidRPr="00BF2045">
              <w:rPr>
                <w:rFonts w:eastAsia="Calibri"/>
                <w:b/>
              </w:rPr>
              <w:t xml:space="preserve">Current rating </w:t>
            </w:r>
          </w:p>
        </w:tc>
      </w:tr>
      <w:tr w:rsidR="003E5B0C" w:rsidRPr="00745FE3" w14:paraId="4CB64E38" w14:textId="77777777" w:rsidTr="003E5B0C">
        <w:trPr>
          <w:cnfStyle w:val="100000000000" w:firstRow="1" w:lastRow="0" w:firstColumn="0" w:lastColumn="0" w:oddVBand="0" w:evenVBand="0" w:oddHBand="0" w:evenHBand="0" w:firstRowFirstColumn="0" w:firstRowLastColumn="0" w:lastRowFirstColumn="0" w:lastRowLastColumn="0"/>
        </w:trPr>
        <w:tc>
          <w:tcPr>
            <w:tcW w:w="3981" w:type="pct"/>
          </w:tcPr>
          <w:p w14:paraId="4E6F7402" w14:textId="121EDEA1" w:rsidR="003E5B0C" w:rsidRPr="00BF2045" w:rsidRDefault="003E5B0C" w:rsidP="003E5B0C">
            <w:pPr>
              <w:pStyle w:val="TableTextEntries"/>
              <w:rPr>
                <w:rFonts w:eastAsia="Calibri"/>
                <w:b w:val="0"/>
              </w:rPr>
            </w:pPr>
            <w:r w:rsidRPr="003E5B0C">
              <w:rPr>
                <w:rFonts w:eastAsia="Calibri"/>
                <w:b w:val="0"/>
              </w:rPr>
              <w:t>Objective 6: improved rural infrastructure, particularly roads and electrification</w:t>
            </w:r>
          </w:p>
        </w:tc>
        <w:tc>
          <w:tcPr>
            <w:tcW w:w="970" w:type="pct"/>
            <w:shd w:val="clear" w:color="auto" w:fill="F79646" w:themeFill="accent6"/>
          </w:tcPr>
          <w:p w14:paraId="24C24AA4" w14:textId="15010AAA" w:rsidR="003E5B0C" w:rsidRPr="00BF2045" w:rsidRDefault="003E5B0C" w:rsidP="003E5B0C">
            <w:pPr>
              <w:pStyle w:val="TableTextEntries"/>
              <w:rPr>
                <w:rFonts w:eastAsia="Calibri"/>
                <w:b w:val="0"/>
              </w:rPr>
            </w:pPr>
            <w:r>
              <w:rPr>
                <w:rFonts w:eastAsia="Calibri"/>
                <w:b w:val="0"/>
              </w:rPr>
              <w:t>amber</w:t>
            </w:r>
          </w:p>
        </w:tc>
      </w:tr>
    </w:tbl>
    <w:p w14:paraId="214DFCB5" w14:textId="77777777" w:rsidR="001A2426" w:rsidRDefault="001A2426" w:rsidP="00A77837">
      <w:pPr>
        <w:pStyle w:val="BodyText"/>
      </w:pPr>
    </w:p>
    <w:p w14:paraId="651079FB" w14:textId="5AE0ECBA" w:rsidR="00EF49E8" w:rsidRDefault="00B4649B" w:rsidP="001A2426">
      <w:pPr>
        <w:pStyle w:val="BodyText"/>
      </w:pPr>
      <w:r>
        <w:t xml:space="preserve">Progress towards this objective is partially on track. </w:t>
      </w:r>
      <w:r w:rsidR="00274139">
        <w:t>Eight</w:t>
      </w:r>
      <w:r w:rsidR="00876E5A">
        <w:t xml:space="preserve"> out of the 1</w:t>
      </w:r>
      <w:r w:rsidR="00274139">
        <w:t>2</w:t>
      </w:r>
      <w:r w:rsidR="00876E5A">
        <w:t xml:space="preserve"> </w:t>
      </w:r>
      <w:r w:rsidR="00876E5A" w:rsidRPr="00C40AC9">
        <w:t>milestones</w:t>
      </w:r>
      <w:r w:rsidR="00876E5A">
        <w:t>, particularly</w:t>
      </w:r>
      <w:r w:rsidR="00EF49E8">
        <w:t xml:space="preserve"> those</w:t>
      </w:r>
      <w:r w:rsidR="00876E5A">
        <w:t xml:space="preserve"> linked to </w:t>
      </w:r>
      <w:r w:rsidR="00F40EAC">
        <w:t xml:space="preserve">key achievements under </w:t>
      </w:r>
      <w:r w:rsidR="00876E5A">
        <w:t xml:space="preserve">the </w:t>
      </w:r>
      <w:r w:rsidR="00F40EAC">
        <w:t xml:space="preserve">Northern Transport Network Improvement Project </w:t>
      </w:r>
      <w:r w:rsidR="00876E5A">
        <w:t xml:space="preserve">and the </w:t>
      </w:r>
      <w:r w:rsidR="00876E5A" w:rsidRPr="00C21BC4">
        <w:t>Rural Electrification Program Phase 1</w:t>
      </w:r>
      <w:r w:rsidR="00876E5A">
        <w:t xml:space="preserve">, were </w:t>
      </w:r>
      <w:r w:rsidR="00876E5A" w:rsidRPr="004B2AD2">
        <w:t>met.</w:t>
      </w:r>
      <w:r w:rsidR="00B51DFB">
        <w:t xml:space="preserve"> </w:t>
      </w:r>
      <w:r w:rsidR="00274139">
        <w:t xml:space="preserve">Two </w:t>
      </w:r>
      <w:r w:rsidR="00F40EAC">
        <w:t>w</w:t>
      </w:r>
      <w:r w:rsidR="000D05F2">
        <w:t>ere</w:t>
      </w:r>
      <w:r w:rsidR="00876E5A">
        <w:t xml:space="preserve"> partially achieved </w:t>
      </w:r>
      <w:r w:rsidR="00F40EAC">
        <w:t>due to a re-scoping of the Rural Electrification Program</w:t>
      </w:r>
      <w:r w:rsidR="0093049A">
        <w:t xml:space="preserve">, </w:t>
      </w:r>
      <w:r w:rsidR="000D05F2">
        <w:t>and t</w:t>
      </w:r>
      <w:r w:rsidR="00274139" w:rsidRPr="00AB3647">
        <w:t>wo</w:t>
      </w:r>
      <w:r w:rsidR="00876E5A" w:rsidRPr="00274139">
        <w:t xml:space="preserve"> m</w:t>
      </w:r>
      <w:r w:rsidR="00876E5A">
        <w:t>ilestone</w:t>
      </w:r>
      <w:r w:rsidR="000D05F2">
        <w:t>s linked to the Poverty Reduction Fund</w:t>
      </w:r>
      <w:r w:rsidR="00876E5A">
        <w:t xml:space="preserve"> </w:t>
      </w:r>
      <w:r w:rsidR="0060640E">
        <w:t xml:space="preserve">Phase II </w:t>
      </w:r>
      <w:r w:rsidR="00876E5A">
        <w:t>ha</w:t>
      </w:r>
      <w:r w:rsidR="000D05F2">
        <w:t>ve</w:t>
      </w:r>
      <w:r w:rsidR="00876E5A">
        <w:t xml:space="preserve"> not been met.</w:t>
      </w:r>
      <w:r w:rsidR="00B51DFB">
        <w:t xml:space="preserve"> </w:t>
      </w:r>
    </w:p>
    <w:p w14:paraId="3857F8FC" w14:textId="638D7B7A" w:rsidR="00876E5A" w:rsidRDefault="00876E5A" w:rsidP="001A2426">
      <w:pPr>
        <w:pStyle w:val="BodyText"/>
      </w:pPr>
      <w:r>
        <w:t xml:space="preserve">Progress against achieving this objective has been hindered by delays in </w:t>
      </w:r>
      <w:r w:rsidR="00EF49E8">
        <w:t>the Poverty Reduction Fund Phase II</w:t>
      </w:r>
      <w:r w:rsidR="000D05F2">
        <w:t>.</w:t>
      </w:r>
      <w:r w:rsidR="00B51DFB">
        <w:t xml:space="preserve"> </w:t>
      </w:r>
      <w:r w:rsidR="000D05F2">
        <w:t xml:space="preserve">As </w:t>
      </w:r>
      <w:r w:rsidR="0022260A">
        <w:t xml:space="preserve">this initiative is the </w:t>
      </w:r>
      <w:r w:rsidR="00575236">
        <w:t xml:space="preserve">second </w:t>
      </w:r>
      <w:r w:rsidR="00B4649B">
        <w:t>large</w:t>
      </w:r>
      <w:r w:rsidR="00575236">
        <w:t>st</w:t>
      </w:r>
      <w:r w:rsidR="00B4649B">
        <w:t xml:space="preserve"> </w:t>
      </w:r>
      <w:r w:rsidR="00F304B1">
        <w:t xml:space="preserve">of </w:t>
      </w:r>
      <w:r w:rsidR="000D05F2">
        <w:t>the Lao C</w:t>
      </w:r>
      <w:r w:rsidR="001A0396">
        <w:t xml:space="preserve">ountry </w:t>
      </w:r>
      <w:r w:rsidR="000D05F2">
        <w:t>P</w:t>
      </w:r>
      <w:r w:rsidR="00F304B1">
        <w:t>rogram</w:t>
      </w:r>
      <w:r w:rsidR="000D05F2">
        <w:t>, accounting for</w:t>
      </w:r>
      <w:r w:rsidR="000D05F2" w:rsidRPr="000D05F2">
        <w:t xml:space="preserve"> </w:t>
      </w:r>
      <w:r w:rsidR="000D05F2">
        <w:t>16 per cent of total program expenditure</w:t>
      </w:r>
      <w:r w:rsidR="00F304B1">
        <w:t xml:space="preserve"> </w:t>
      </w:r>
      <w:r w:rsidR="00B4649B">
        <w:t>in 2012</w:t>
      </w:r>
      <w:r w:rsidR="0093049A">
        <w:t>–</w:t>
      </w:r>
      <w:r w:rsidR="00B4649B">
        <w:t>13</w:t>
      </w:r>
      <w:r w:rsidR="000D05F2">
        <w:t>, an amber rating for this objective has been applied.</w:t>
      </w:r>
      <w:r w:rsidR="009C73BC">
        <w:t xml:space="preserve"> </w:t>
      </w:r>
    </w:p>
    <w:p w14:paraId="1831F6D4" w14:textId="7FCD54A1" w:rsidR="0093049A" w:rsidRDefault="00EF49E8" w:rsidP="001A2426">
      <w:pPr>
        <w:pStyle w:val="BodyText"/>
      </w:pPr>
      <w:r>
        <w:t>O</w:t>
      </w:r>
      <w:r w:rsidR="00484019">
        <w:t xml:space="preserve">bjective </w:t>
      </w:r>
      <w:r>
        <w:t xml:space="preserve">6 </w:t>
      </w:r>
      <w:r w:rsidR="00484019">
        <w:t xml:space="preserve">is linked to three initiatives: </w:t>
      </w:r>
    </w:p>
    <w:p w14:paraId="2EABAE79" w14:textId="213EFB8E" w:rsidR="0093049A" w:rsidRPr="00D3670A" w:rsidRDefault="00EF49E8" w:rsidP="001A2426">
      <w:pPr>
        <w:pStyle w:val="ListBullet"/>
      </w:pPr>
      <w:r>
        <w:t xml:space="preserve">Northern Transport Network Improvement Project </w:t>
      </w:r>
      <w:r w:rsidR="002E4FD2" w:rsidRPr="00D3670A">
        <w:t>2007</w:t>
      </w:r>
      <w:r w:rsidR="0093049A" w:rsidRPr="00D3670A">
        <w:t>–</w:t>
      </w:r>
      <w:r w:rsidR="002E4FD2" w:rsidRPr="00D3670A">
        <w:t>2014</w:t>
      </w:r>
      <w:r w:rsidR="00484019" w:rsidRPr="00D3670A">
        <w:t xml:space="preserve"> with a total budget of US</w:t>
      </w:r>
      <w:r w:rsidR="0093049A" w:rsidRPr="00D3670A">
        <w:t>D</w:t>
      </w:r>
      <w:r w:rsidR="00484019" w:rsidRPr="00D3670A">
        <w:t>118.6</w:t>
      </w:r>
      <w:r w:rsidR="00FB348A" w:rsidRPr="00D3670A">
        <w:t xml:space="preserve"> </w:t>
      </w:r>
      <w:r w:rsidR="00484019" w:rsidRPr="00D3670A">
        <w:t xml:space="preserve">million, </w:t>
      </w:r>
      <w:r w:rsidR="0056555B" w:rsidRPr="00D3670A">
        <w:t>including Australia’s contribu</w:t>
      </w:r>
      <w:r w:rsidR="00484019" w:rsidRPr="00D3670A">
        <w:t xml:space="preserve">tion of </w:t>
      </w:r>
      <w:r w:rsidR="0056555B" w:rsidRPr="00D3670A">
        <w:t>$18.8 million</w:t>
      </w:r>
      <w:r w:rsidR="0056555B" w:rsidRPr="00C645CE">
        <w:rPr>
          <w:sz w:val="20"/>
          <w:vertAlign w:val="superscript"/>
        </w:rPr>
        <w:footnoteReference w:id="36"/>
      </w:r>
      <w:r w:rsidR="0056555B" w:rsidRPr="00D3670A">
        <w:t xml:space="preserve"> </w:t>
      </w:r>
    </w:p>
    <w:p w14:paraId="29F7EE52" w14:textId="1EF26878" w:rsidR="0093049A" w:rsidRPr="00D3670A" w:rsidRDefault="00EF49E8" w:rsidP="001A2426">
      <w:pPr>
        <w:pStyle w:val="ListBullet"/>
      </w:pPr>
      <w:r w:rsidRPr="00C21BC4">
        <w:t>Rural Electrification Program Phase 1</w:t>
      </w:r>
      <w:r>
        <w:t xml:space="preserve"> </w:t>
      </w:r>
      <w:r w:rsidR="002E4FD2" w:rsidRPr="00D3670A">
        <w:t>2008–2013</w:t>
      </w:r>
      <w:r w:rsidR="0056555B" w:rsidRPr="00D3670A">
        <w:t>, with a total budget of US</w:t>
      </w:r>
      <w:r w:rsidR="0093049A" w:rsidRPr="00D3670A">
        <w:t>D</w:t>
      </w:r>
      <w:r w:rsidR="0056555B" w:rsidRPr="00D3670A">
        <w:t>85 million includi</w:t>
      </w:r>
      <w:r w:rsidR="00484019" w:rsidRPr="00D3670A">
        <w:t xml:space="preserve">ng Australia’s contribution of </w:t>
      </w:r>
      <w:r w:rsidR="0056555B" w:rsidRPr="00D3670A">
        <w:t>$13 million</w:t>
      </w:r>
      <w:r w:rsidR="0056555B" w:rsidRPr="00C645CE">
        <w:rPr>
          <w:sz w:val="20"/>
          <w:vertAlign w:val="superscript"/>
        </w:rPr>
        <w:footnoteReference w:id="37"/>
      </w:r>
      <w:r w:rsidR="0056555B" w:rsidRPr="00D3670A">
        <w:t xml:space="preserve"> </w:t>
      </w:r>
    </w:p>
    <w:p w14:paraId="21F7AFD8" w14:textId="5E69C7DC" w:rsidR="0056555B" w:rsidRPr="00D3670A" w:rsidRDefault="00EF49E8" w:rsidP="001A2426">
      <w:pPr>
        <w:pStyle w:val="ListBullet"/>
      </w:pPr>
      <w:r>
        <w:t xml:space="preserve">Poverty Reduction Fund Phase II </w:t>
      </w:r>
      <w:r w:rsidR="002E4FD2" w:rsidRPr="00D3670A">
        <w:t>2012–2016</w:t>
      </w:r>
      <w:r w:rsidR="0056555B" w:rsidRPr="00D3670A">
        <w:t xml:space="preserve">, with a total budget of </w:t>
      </w:r>
      <w:r w:rsidR="001E7FD0" w:rsidRPr="00D3670A">
        <w:t>US</w:t>
      </w:r>
      <w:r w:rsidR="0093049A" w:rsidRPr="00D3670A">
        <w:t>D</w:t>
      </w:r>
      <w:r w:rsidR="0056555B" w:rsidRPr="00D3670A">
        <w:t>68.3 million</w:t>
      </w:r>
      <w:r w:rsidR="001E7FD0" w:rsidRPr="00D3670A">
        <w:t>,</w:t>
      </w:r>
      <w:r w:rsidR="0056555B" w:rsidRPr="00D3670A">
        <w:t xml:space="preserve"> includi</w:t>
      </w:r>
      <w:r w:rsidR="001E7FD0" w:rsidRPr="00D3670A">
        <w:t xml:space="preserve">ng Australia’s </w:t>
      </w:r>
      <w:r w:rsidR="0056555B" w:rsidRPr="00D3670A">
        <w:t xml:space="preserve">$20 million </w:t>
      </w:r>
      <w:r w:rsidR="00301D95" w:rsidRPr="00D3670A">
        <w:t>contribution</w:t>
      </w:r>
      <w:r w:rsidR="001E7FD0" w:rsidRPr="00D3670A">
        <w:t>.</w:t>
      </w:r>
      <w:r w:rsidR="0056555B" w:rsidRPr="00C645CE">
        <w:rPr>
          <w:sz w:val="20"/>
          <w:vertAlign w:val="superscript"/>
        </w:rPr>
        <w:footnoteReference w:id="38"/>
      </w:r>
    </w:p>
    <w:p w14:paraId="3621B235" w14:textId="16F76BCD" w:rsidR="006B1FCB" w:rsidRDefault="006E3DC9" w:rsidP="001A2426">
      <w:pPr>
        <w:pStyle w:val="BodyText"/>
      </w:pPr>
      <w:r>
        <w:t xml:space="preserve">Despite several years of delay, the </w:t>
      </w:r>
      <w:r w:rsidR="00EF49E8">
        <w:t xml:space="preserve">Northern Transport Network Improvement Project </w:t>
      </w:r>
      <w:r w:rsidRPr="00C40AC9">
        <w:t>is now on track</w:t>
      </w:r>
      <w:r w:rsidR="00C1611C">
        <w:t xml:space="preserve"> and 90</w:t>
      </w:r>
      <w:r w:rsidR="00D60795">
        <w:t xml:space="preserve"> </w:t>
      </w:r>
      <w:r w:rsidR="00C1611C">
        <w:t>per</w:t>
      </w:r>
      <w:r w:rsidR="00D60795">
        <w:t xml:space="preserve"> </w:t>
      </w:r>
      <w:r w:rsidR="00C1611C">
        <w:t>cent complete</w:t>
      </w:r>
      <w:r w:rsidR="00382650">
        <w:t>.</w:t>
      </w:r>
      <w:r w:rsidR="00B51DFB">
        <w:t xml:space="preserve"> </w:t>
      </w:r>
      <w:r w:rsidR="00382650">
        <w:t xml:space="preserve">The </w:t>
      </w:r>
      <w:r w:rsidR="006B1FCB">
        <w:t xml:space="preserve">82 kilometre </w:t>
      </w:r>
      <w:r w:rsidR="00382650">
        <w:t xml:space="preserve">section of the Australia-funded road </w:t>
      </w:r>
      <w:r w:rsidR="00382650" w:rsidRPr="00CA1AFD">
        <w:t xml:space="preserve">was completed ahead </w:t>
      </w:r>
      <w:r w:rsidR="00382650">
        <w:t xml:space="preserve">of </w:t>
      </w:r>
      <w:r w:rsidR="00382650" w:rsidRPr="006B1FCB">
        <w:t xml:space="preserve">schedule in </w:t>
      </w:r>
      <w:r w:rsidR="006B1FCB" w:rsidRPr="006B1FCB">
        <w:t>December 2012, with 58 kilometre</w:t>
      </w:r>
      <w:r w:rsidR="0093049A">
        <w:t>s</w:t>
      </w:r>
      <w:r w:rsidR="006B1FCB" w:rsidRPr="006B1FCB">
        <w:t xml:space="preserve"> </w:t>
      </w:r>
      <w:r w:rsidR="00D60795">
        <w:t xml:space="preserve">constructed </w:t>
      </w:r>
      <w:r w:rsidR="006B1FCB" w:rsidRPr="006B1FCB">
        <w:t>over</w:t>
      </w:r>
      <w:r w:rsidR="006B1FCB">
        <w:t xml:space="preserve"> the last 18 months</w:t>
      </w:r>
      <w:r w:rsidR="00D60795">
        <w:t>. S</w:t>
      </w:r>
      <w:r w:rsidR="00382650">
        <w:t>ignificant advances in the delay-plagued Korean-</w:t>
      </w:r>
      <w:r w:rsidR="00C1611C">
        <w:t>financed section in 2012</w:t>
      </w:r>
      <w:r w:rsidR="0093049A">
        <w:t>–</w:t>
      </w:r>
      <w:r w:rsidR="00C1611C">
        <w:t xml:space="preserve">13 </w:t>
      </w:r>
      <w:r w:rsidR="00382650">
        <w:t>mean th</w:t>
      </w:r>
      <w:r w:rsidR="00C1611C">
        <w:t>at the project is back on track</w:t>
      </w:r>
      <w:r w:rsidR="00382650">
        <w:t xml:space="preserve"> and </w:t>
      </w:r>
      <w:r w:rsidR="0056555B" w:rsidRPr="00C40AC9">
        <w:t>w</w:t>
      </w:r>
      <w:r w:rsidR="00382650">
        <w:t>ill be concluded by early 2014.</w:t>
      </w:r>
      <w:r w:rsidR="00C1611C">
        <w:t xml:space="preserve"> </w:t>
      </w:r>
      <w:r w:rsidR="00282831">
        <w:t>These advances can be in part</w:t>
      </w:r>
      <w:r w:rsidR="00C8164E">
        <w:t xml:space="preserve"> attributed to the significant </w:t>
      </w:r>
      <w:r w:rsidR="00282831">
        <w:t xml:space="preserve">efforts made by </w:t>
      </w:r>
      <w:r w:rsidR="00160FAE">
        <w:t xml:space="preserve">the Australian Government </w:t>
      </w:r>
      <w:r w:rsidR="00282831">
        <w:t>in raising</w:t>
      </w:r>
      <w:r w:rsidR="00C8164E">
        <w:t xml:space="preserve"> concerns directly with </w:t>
      </w:r>
      <w:r w:rsidR="00282831">
        <w:t xml:space="preserve">the </w:t>
      </w:r>
      <w:r w:rsidR="007C457E">
        <w:t xml:space="preserve">Republic of Korea’s international cooperation agencies </w:t>
      </w:r>
      <w:r w:rsidR="00C8164E">
        <w:t xml:space="preserve">at </w:t>
      </w:r>
      <w:r w:rsidR="00C8164E">
        <w:lastRenderedPageBreak/>
        <w:t>headquarter level.</w:t>
      </w:r>
      <w:r w:rsidR="00C8164E" w:rsidRPr="00C645CE">
        <w:rPr>
          <w:rStyle w:val="FootnoteReference"/>
          <w:sz w:val="20"/>
          <w:vertAlign w:val="superscript"/>
        </w:rPr>
        <w:footnoteReference w:id="39"/>
      </w:r>
      <w:r w:rsidR="00B51DFB">
        <w:t xml:space="preserve"> </w:t>
      </w:r>
      <w:r w:rsidR="006B1FCB" w:rsidRPr="00CA1AFD">
        <w:t xml:space="preserve">This </w:t>
      </w:r>
      <w:r w:rsidR="006B1FCB">
        <w:t xml:space="preserve">national </w:t>
      </w:r>
      <w:r w:rsidR="00EF49E8">
        <w:t>project</w:t>
      </w:r>
      <w:r w:rsidR="00EF49E8" w:rsidRPr="00CA1AFD">
        <w:t xml:space="preserve"> </w:t>
      </w:r>
      <w:r w:rsidR="006B1FCB" w:rsidRPr="00CA1AFD">
        <w:t>has benefited more than 8000 people (</w:t>
      </w:r>
      <w:r w:rsidR="0093049A">
        <w:t>half are</w:t>
      </w:r>
      <w:r w:rsidR="00784BE7">
        <w:t xml:space="preserve"> </w:t>
      </w:r>
      <w:r w:rsidR="0093049A">
        <w:t>women</w:t>
      </w:r>
      <w:r w:rsidR="006B1FCB" w:rsidRPr="00CA1AFD">
        <w:t>) who are living along the road.</w:t>
      </w:r>
      <w:r w:rsidR="001F1C89">
        <w:t xml:space="preserve"> Monitoring and supervision missions affirm the road’s </w:t>
      </w:r>
      <w:r w:rsidR="001F1C89" w:rsidRPr="00CA1AFD">
        <w:t xml:space="preserve">good quality. </w:t>
      </w:r>
      <w:r w:rsidR="00784BE7">
        <w:t xml:space="preserve">To complement this investment, around </w:t>
      </w:r>
      <w:r w:rsidR="0043229D">
        <w:t>56.7</w:t>
      </w:r>
      <w:r w:rsidR="00784BE7">
        <w:t xml:space="preserve"> </w:t>
      </w:r>
      <w:r w:rsidR="00784BE7" w:rsidRPr="00CA1AFD">
        <w:t>k</w:t>
      </w:r>
      <w:r w:rsidR="00784BE7">
        <w:t>ilo</w:t>
      </w:r>
      <w:r w:rsidR="00784BE7" w:rsidRPr="00CA1AFD">
        <w:t>m</w:t>
      </w:r>
      <w:r w:rsidR="00784BE7">
        <w:t>etres</w:t>
      </w:r>
      <w:r w:rsidR="00784BE7" w:rsidRPr="00CA1AFD">
        <w:t xml:space="preserve"> </w:t>
      </w:r>
      <w:r w:rsidR="00784BE7">
        <w:t xml:space="preserve">of </w:t>
      </w:r>
      <w:r w:rsidR="0056555B" w:rsidRPr="00CA1AFD">
        <w:t xml:space="preserve">rural feeder roads </w:t>
      </w:r>
      <w:r w:rsidR="00784BE7">
        <w:t xml:space="preserve">are being constructed to link rural communities to the national road. Construction of these </w:t>
      </w:r>
      <w:r w:rsidR="0093049A">
        <w:t>started in February 2013</w:t>
      </w:r>
      <w:r w:rsidR="00784BE7">
        <w:t>.</w:t>
      </w:r>
    </w:p>
    <w:p w14:paraId="45BE72B2" w14:textId="476B0A86" w:rsidR="0056555B" w:rsidRDefault="00D60795" w:rsidP="001A2426">
      <w:pPr>
        <w:pStyle w:val="BodyText"/>
      </w:pPr>
      <w:r>
        <w:t xml:space="preserve">An </w:t>
      </w:r>
      <w:r w:rsidR="0056555B">
        <w:t xml:space="preserve">Australian-supported </w:t>
      </w:r>
      <w:r w:rsidR="0056555B" w:rsidRPr="00CA1AFD">
        <w:t xml:space="preserve">HIV/AIDS Awareness and Human Trafficking Prevention Program </w:t>
      </w:r>
      <w:r>
        <w:t>has</w:t>
      </w:r>
      <w:r w:rsidR="00784BE7">
        <w:t xml:space="preserve"> been mobilised given the improved road access. Teams continue to work </w:t>
      </w:r>
      <w:r w:rsidR="00784BE7" w:rsidRPr="00CA1AFD">
        <w:t>among at least 42 communities (44</w:t>
      </w:r>
      <w:r w:rsidR="0093049A">
        <w:t xml:space="preserve"> </w:t>
      </w:r>
      <w:r w:rsidR="00784BE7" w:rsidRPr="00CA1AFD">
        <w:t>000 people</w:t>
      </w:r>
      <w:r w:rsidR="00784BE7">
        <w:t>) to raise awareness of these issues.</w:t>
      </w:r>
      <w:r w:rsidR="00B51DFB">
        <w:t xml:space="preserve"> </w:t>
      </w:r>
      <w:r w:rsidR="00784BE7">
        <w:t xml:space="preserve">Road </w:t>
      </w:r>
      <w:r w:rsidR="0093049A">
        <w:t xml:space="preserve">safety </w:t>
      </w:r>
      <w:r w:rsidR="0056555B" w:rsidRPr="00CA1AFD">
        <w:t xml:space="preserve">teams </w:t>
      </w:r>
      <w:r w:rsidR="0056555B">
        <w:t>were also mobilised</w:t>
      </w:r>
      <w:r w:rsidR="00784BE7">
        <w:t xml:space="preserve"> to </w:t>
      </w:r>
      <w:r w:rsidR="0056555B" w:rsidRPr="00CA1AFD">
        <w:t xml:space="preserve">provide technical support to the </w:t>
      </w:r>
      <w:r w:rsidR="001A66EA">
        <w:t xml:space="preserve">Lao Government’s </w:t>
      </w:r>
      <w:r w:rsidR="001A66EA" w:rsidRPr="001A66EA">
        <w:t xml:space="preserve">Ministry of Public Works and Transport </w:t>
      </w:r>
      <w:r w:rsidR="00EE22F0">
        <w:t xml:space="preserve">Department to </w:t>
      </w:r>
      <w:r w:rsidR="0093049A">
        <w:t>help</w:t>
      </w:r>
      <w:r w:rsidR="00EE22F0">
        <w:t xml:space="preserve"> implement</w:t>
      </w:r>
      <w:r w:rsidR="0093049A">
        <w:t xml:space="preserve"> </w:t>
      </w:r>
      <w:r w:rsidR="00EE22F0">
        <w:t>the National Road Safety Action P</w:t>
      </w:r>
      <w:r w:rsidR="0056555B" w:rsidRPr="00CA1AFD">
        <w:t>lan</w:t>
      </w:r>
      <w:r w:rsidR="002E4FD2">
        <w:t>,</w:t>
      </w:r>
      <w:r w:rsidR="0056555B" w:rsidRPr="00CA1AFD">
        <w:t xml:space="preserve"> including </w:t>
      </w:r>
      <w:r w:rsidR="002E4FD2">
        <w:t xml:space="preserve">a </w:t>
      </w:r>
      <w:r w:rsidR="0056555B" w:rsidRPr="00CA1AFD">
        <w:t>r</w:t>
      </w:r>
      <w:r w:rsidR="002E4FD2">
        <w:t>oad safety campaign and audit in the project areas.</w:t>
      </w:r>
    </w:p>
    <w:p w14:paraId="3642EF88" w14:textId="4A75E114" w:rsidR="00CE5A85" w:rsidRDefault="00EF49E8" w:rsidP="001A2426">
      <w:pPr>
        <w:pStyle w:val="BodyText"/>
      </w:pPr>
      <w:r>
        <w:t xml:space="preserve">The </w:t>
      </w:r>
      <w:r w:rsidRPr="00C21BC4">
        <w:t>Rural Electrification Program Phase 1</w:t>
      </w:r>
      <w:r w:rsidR="00C21BC4" w:rsidRPr="00C21BC4">
        <w:t xml:space="preserve"> </w:t>
      </w:r>
      <w:r w:rsidR="0056555B" w:rsidRPr="00C21BC4">
        <w:t>is</w:t>
      </w:r>
      <w:r w:rsidR="007F2E45">
        <w:t xml:space="preserve"> </w:t>
      </w:r>
      <w:r w:rsidR="0056555B" w:rsidRPr="00C21BC4">
        <w:t xml:space="preserve">nearing completion </w:t>
      </w:r>
      <w:r w:rsidR="0093049A">
        <w:t xml:space="preserve">and </w:t>
      </w:r>
      <w:r w:rsidR="00C25BE7">
        <w:t xml:space="preserve">it is expected to achieve its </w:t>
      </w:r>
      <w:r w:rsidR="0056555B" w:rsidRPr="00C21BC4">
        <w:t>major objectives</w:t>
      </w:r>
      <w:r w:rsidR="003D14D1">
        <w:t xml:space="preserve">. Australia’s support enabled an </w:t>
      </w:r>
      <w:r w:rsidR="0056555B" w:rsidRPr="009E01D4">
        <w:t xml:space="preserve">additional </w:t>
      </w:r>
      <w:r w:rsidR="00ED086F">
        <w:t>8993</w:t>
      </w:r>
      <w:r w:rsidR="0056555B" w:rsidRPr="009E01D4">
        <w:t xml:space="preserve"> households </w:t>
      </w:r>
      <w:r w:rsidR="003D14D1">
        <w:t xml:space="preserve">(including </w:t>
      </w:r>
      <w:r w:rsidR="003D14D1" w:rsidRPr="009E01D4">
        <w:t xml:space="preserve">2193 </w:t>
      </w:r>
      <w:r w:rsidR="00CE5A85">
        <w:t xml:space="preserve">on-grid) </w:t>
      </w:r>
      <w:r w:rsidR="003D14D1">
        <w:t>to gain</w:t>
      </w:r>
      <w:r w:rsidR="0056555B">
        <w:t xml:space="preserve"> </w:t>
      </w:r>
      <w:r w:rsidR="0056555B" w:rsidRPr="009E01D4">
        <w:t>access to the national electricity grid</w:t>
      </w:r>
      <w:r w:rsidR="00CE5A85">
        <w:t xml:space="preserve"> and </w:t>
      </w:r>
      <w:r w:rsidR="0093049A">
        <w:t xml:space="preserve">solar homes systems </w:t>
      </w:r>
      <w:r w:rsidR="00CE5A85">
        <w:t>in 2012</w:t>
      </w:r>
      <w:r w:rsidR="0093049A">
        <w:t>–</w:t>
      </w:r>
      <w:r w:rsidR="00CE5A85">
        <w:t>13.</w:t>
      </w:r>
      <w:r w:rsidR="00B51DFB">
        <w:t xml:space="preserve"> </w:t>
      </w:r>
      <w:r w:rsidR="00CE5A85">
        <w:t xml:space="preserve">Through this program to date, a total of </w:t>
      </w:r>
      <w:r w:rsidR="00A733A0" w:rsidRPr="00DD7649">
        <w:t>2</w:t>
      </w:r>
      <w:r w:rsidR="003824E7">
        <w:t>5</w:t>
      </w:r>
      <w:r w:rsidR="0093049A">
        <w:t xml:space="preserve"> </w:t>
      </w:r>
      <w:r w:rsidR="003824E7">
        <w:t>153</w:t>
      </w:r>
      <w:r w:rsidR="00CE5A85" w:rsidRPr="00DD7649">
        <w:t xml:space="preserve"> households h</w:t>
      </w:r>
      <w:r w:rsidR="00CE5A85">
        <w:t>ave been electrified</w:t>
      </w:r>
      <w:r w:rsidR="002555B6">
        <w:t xml:space="preserve"> </w:t>
      </w:r>
      <w:r w:rsidR="0093049A">
        <w:t xml:space="preserve">through the installation of </w:t>
      </w:r>
      <w:r w:rsidR="008F4E02">
        <w:t>20</w:t>
      </w:r>
      <w:r w:rsidR="00977F67" w:rsidRPr="00977F67">
        <w:t xml:space="preserve">03 </w:t>
      </w:r>
      <w:r w:rsidR="0093049A">
        <w:t>solar home systems</w:t>
      </w:r>
      <w:r w:rsidR="00CE5A85">
        <w:t xml:space="preserve">, </w:t>
      </w:r>
      <w:r w:rsidR="0093049A">
        <w:t xml:space="preserve">which </w:t>
      </w:r>
      <w:r w:rsidR="00CE5A85">
        <w:t>exceed</w:t>
      </w:r>
      <w:r w:rsidR="0093049A">
        <w:t xml:space="preserve">ed </w:t>
      </w:r>
      <w:r w:rsidR="00CE5A85">
        <w:t xml:space="preserve">the original target by </w:t>
      </w:r>
      <w:r w:rsidR="00A733A0" w:rsidRPr="00DD7649">
        <w:t>24</w:t>
      </w:r>
      <w:r w:rsidR="0093049A">
        <w:t xml:space="preserve"> </w:t>
      </w:r>
      <w:r w:rsidR="00A733A0" w:rsidRPr="00DD7649">
        <w:t>500</w:t>
      </w:r>
      <w:r w:rsidR="000A3C76">
        <w:t xml:space="preserve"> households. The</w:t>
      </w:r>
      <w:r w:rsidR="00CE5A85">
        <w:t xml:space="preserve"> delays in procuring solar </w:t>
      </w:r>
      <w:r w:rsidR="000A3C76">
        <w:t xml:space="preserve">panels </w:t>
      </w:r>
      <w:r w:rsidR="00CE5A85">
        <w:t>that were reported in 2011 have since been resolved through the assistance of an international procurement adviser.</w:t>
      </w:r>
    </w:p>
    <w:p w14:paraId="40EBF837" w14:textId="77777777" w:rsidR="0056555B" w:rsidRDefault="0056555B" w:rsidP="001A2426">
      <w:pPr>
        <w:pStyle w:val="BodyText"/>
      </w:pPr>
      <w:r>
        <w:t>An</w:t>
      </w:r>
      <w:r w:rsidRPr="009E01D4">
        <w:t xml:space="preserve"> </w:t>
      </w:r>
      <w:r>
        <w:t>impressive</w:t>
      </w:r>
      <w:r w:rsidRPr="009E01D4">
        <w:t xml:space="preserve"> reduction in overall system losses</w:t>
      </w:r>
      <w:r>
        <w:t xml:space="preserve"> </w:t>
      </w:r>
      <w:r w:rsidR="00CE5A85">
        <w:t>from the national electricity grid was achieved with assistance from the program</w:t>
      </w:r>
      <w:r w:rsidR="008A7213">
        <w:t xml:space="preserve">. Losses </w:t>
      </w:r>
      <w:r w:rsidRPr="009E01D4">
        <w:t>decreased from about 22</w:t>
      </w:r>
      <w:r>
        <w:t xml:space="preserve"> per cent </w:t>
      </w:r>
      <w:r w:rsidRPr="009E01D4">
        <w:t>in 2005 to 10.45</w:t>
      </w:r>
      <w:r w:rsidR="008A7213">
        <w:t xml:space="preserve"> per cent in 2012 due to improved</w:t>
      </w:r>
      <w:r w:rsidR="00CE5A85" w:rsidRPr="009E01D4">
        <w:t xml:space="preserve"> financial management </w:t>
      </w:r>
      <w:r w:rsidR="008A7213">
        <w:t xml:space="preserve">leading to enhanced </w:t>
      </w:r>
      <w:r w:rsidR="00CE5A85" w:rsidRPr="009E01D4">
        <w:t>sustainability of the power sector</w:t>
      </w:r>
      <w:r w:rsidR="00CE5A85">
        <w:t>.</w:t>
      </w:r>
    </w:p>
    <w:p w14:paraId="379E3E95" w14:textId="13C579C5" w:rsidR="0045423F" w:rsidRDefault="00C25BE7" w:rsidP="001A2426">
      <w:pPr>
        <w:pStyle w:val="BodyText"/>
      </w:pPr>
      <w:r>
        <w:t xml:space="preserve">The </w:t>
      </w:r>
      <w:r w:rsidRPr="00C25BE7">
        <w:t>Poverty Reduction Fund Phase II</w:t>
      </w:r>
      <w:r>
        <w:t xml:space="preserve"> </w:t>
      </w:r>
      <w:r w:rsidR="0045423F" w:rsidRPr="0045423F">
        <w:t>commenced in January 2012 and has ha</w:t>
      </w:r>
      <w:r w:rsidR="000A3C76">
        <w:t>d a slow start</w:t>
      </w:r>
      <w:r w:rsidR="0045423F" w:rsidRPr="0045423F">
        <w:t>. To date, only about 40 per cent of Australia’s first funding tranche of $5</w:t>
      </w:r>
      <w:r w:rsidR="0032369D">
        <w:t xml:space="preserve"> </w:t>
      </w:r>
      <w:r w:rsidR="0045423F" w:rsidRPr="0045423F">
        <w:t xml:space="preserve">million has been expensed due to a 12 month delay between the World Bank and Lao Government in finalising the </w:t>
      </w:r>
      <w:r w:rsidR="0032369D">
        <w:t>g</w:t>
      </w:r>
      <w:r w:rsidR="0032369D" w:rsidRPr="0045423F">
        <w:t xml:space="preserve">rant </w:t>
      </w:r>
      <w:r w:rsidR="0032369D">
        <w:t>a</w:t>
      </w:r>
      <w:r w:rsidR="0032369D" w:rsidRPr="0045423F">
        <w:t xml:space="preserve">greement </w:t>
      </w:r>
      <w:r w:rsidR="0045423F" w:rsidRPr="0045423F">
        <w:t>for Australia’s contribution.</w:t>
      </w:r>
      <w:r w:rsidR="00B51DFB">
        <w:t xml:space="preserve"> </w:t>
      </w:r>
      <w:r w:rsidR="003D69BA">
        <w:t xml:space="preserve">Program </w:t>
      </w:r>
      <w:r w:rsidR="003D69BA" w:rsidRPr="007A69EF">
        <w:t xml:space="preserve">implementation is </w:t>
      </w:r>
      <w:r w:rsidR="0060640E" w:rsidRPr="007A69EF">
        <w:t>six</w:t>
      </w:r>
      <w:r w:rsidR="003D69BA" w:rsidRPr="007A69EF">
        <w:t xml:space="preserve"> months</w:t>
      </w:r>
      <w:r w:rsidR="003D69BA">
        <w:t xml:space="preserve"> behind schedule.</w:t>
      </w:r>
      <w:r w:rsidR="0045423F" w:rsidRPr="0045423F">
        <w:t xml:space="preserve"> Work has commenced through the use of other funding sources however, and as of February 2013, 102 rural infrastructure projects have been completed benefiting more than 72</w:t>
      </w:r>
      <w:r w:rsidR="0032369D">
        <w:t xml:space="preserve"> </w:t>
      </w:r>
      <w:r w:rsidR="0045423F" w:rsidRPr="0045423F">
        <w:t xml:space="preserve">000 rural people (50 per cent </w:t>
      </w:r>
      <w:r w:rsidR="0032369D">
        <w:t>women</w:t>
      </w:r>
      <w:r w:rsidR="0032369D" w:rsidRPr="0045423F">
        <w:t xml:space="preserve"> </w:t>
      </w:r>
      <w:r w:rsidR="0045423F" w:rsidRPr="0045423F">
        <w:t>and 80 per cent from ethnic communities).</w:t>
      </w:r>
      <w:r w:rsidR="0045423F" w:rsidRPr="00C645CE">
        <w:rPr>
          <w:rStyle w:val="FootnoteReference"/>
          <w:sz w:val="20"/>
          <w:vertAlign w:val="superscript"/>
        </w:rPr>
        <w:footnoteReference w:id="40"/>
      </w:r>
      <w:r w:rsidR="007B0C81">
        <w:t xml:space="preserve"> </w:t>
      </w:r>
    </w:p>
    <w:p w14:paraId="4CD3A37C" w14:textId="2CEF4614" w:rsidR="00392F5F" w:rsidRDefault="001C09D2" w:rsidP="001A2426">
      <w:pPr>
        <w:pStyle w:val="BodyText"/>
      </w:pPr>
      <w:r w:rsidRPr="007A69EF">
        <w:t>T</w:t>
      </w:r>
      <w:r w:rsidR="0056555B" w:rsidRPr="007A69EF">
        <w:t xml:space="preserve">here is a risk that </w:t>
      </w:r>
      <w:r w:rsidR="00C25BE7">
        <w:t>the fund’s</w:t>
      </w:r>
      <w:r w:rsidR="00C25BE7" w:rsidRPr="007A69EF">
        <w:t xml:space="preserve"> </w:t>
      </w:r>
      <w:r w:rsidR="0056555B" w:rsidRPr="007A69EF">
        <w:t>activities may be carried out in communities intended f</w:t>
      </w:r>
      <w:r w:rsidR="00D058FE" w:rsidRPr="007A69EF">
        <w:t xml:space="preserve">or </w:t>
      </w:r>
      <w:r w:rsidR="00AB3647" w:rsidRPr="007A69EF">
        <w:t xml:space="preserve">village </w:t>
      </w:r>
      <w:r w:rsidR="00D058FE" w:rsidRPr="007A69EF">
        <w:t>consolidation</w:t>
      </w:r>
      <w:r w:rsidR="00AB3647" w:rsidRPr="007A69EF">
        <w:t>, which may lead to physical</w:t>
      </w:r>
      <w:r w:rsidR="00D058FE" w:rsidRPr="007A69EF">
        <w:t xml:space="preserve"> </w:t>
      </w:r>
      <w:r w:rsidR="007C457E">
        <w:t>re-settlement</w:t>
      </w:r>
      <w:r w:rsidR="0056555B" w:rsidRPr="007A69EF">
        <w:t xml:space="preserve">. </w:t>
      </w:r>
      <w:r w:rsidR="00160FAE">
        <w:t xml:space="preserve">The Australian Government </w:t>
      </w:r>
      <w:r w:rsidR="00D058FE" w:rsidRPr="007A69EF">
        <w:t>and other contributing donors have taken steps to mitigate this risk</w:t>
      </w:r>
      <w:r w:rsidR="006438A6" w:rsidRPr="007A69EF">
        <w:t>.</w:t>
      </w:r>
      <w:r w:rsidR="004B2AD2" w:rsidRPr="007A69EF">
        <w:t xml:space="preserve"> </w:t>
      </w:r>
      <w:r w:rsidR="00C25DE4" w:rsidRPr="007A69EF">
        <w:t>A</w:t>
      </w:r>
      <w:r w:rsidR="00D058FE" w:rsidRPr="007A69EF">
        <w:t xml:space="preserve"> review of Lao Gov</w:t>
      </w:r>
      <w:r w:rsidR="00C25DE4" w:rsidRPr="007A69EF">
        <w:t>ernment rural development plans was conducted in 2012</w:t>
      </w:r>
      <w:r w:rsidR="006438A6" w:rsidRPr="00C645CE">
        <w:rPr>
          <w:rStyle w:val="FootnoteReference"/>
          <w:sz w:val="20"/>
          <w:vertAlign w:val="superscript"/>
        </w:rPr>
        <w:footnoteReference w:id="41"/>
      </w:r>
      <w:r w:rsidR="00C25DE4" w:rsidRPr="007A69EF">
        <w:t xml:space="preserve"> to understand more about where village consolidation is likely to occur.</w:t>
      </w:r>
      <w:r w:rsidR="00B51DFB">
        <w:t xml:space="preserve"> </w:t>
      </w:r>
      <w:r w:rsidR="00C25DE4" w:rsidRPr="007A69EF">
        <w:t xml:space="preserve">Enhanced protocols have been established </w:t>
      </w:r>
      <w:r w:rsidR="00D058FE" w:rsidRPr="007A69EF">
        <w:t>for verifying target villages, backed</w:t>
      </w:r>
      <w:r w:rsidR="00C25DE4" w:rsidRPr="007A69EF">
        <w:t xml:space="preserve"> </w:t>
      </w:r>
      <w:r w:rsidR="006438A6" w:rsidRPr="007A69EF">
        <w:t xml:space="preserve">by additional technical review. </w:t>
      </w:r>
      <w:r w:rsidR="008A6327" w:rsidRPr="007A69EF">
        <w:t>P</w:t>
      </w:r>
      <w:r w:rsidR="00AB6C35" w:rsidRPr="007A69EF">
        <w:t>olicy dialogue</w:t>
      </w:r>
      <w:r w:rsidR="00C25DE4" w:rsidRPr="007A69EF">
        <w:t xml:space="preserve"> </w:t>
      </w:r>
      <w:r w:rsidR="008A6327" w:rsidRPr="007A69EF">
        <w:t>regarding safeguard</w:t>
      </w:r>
      <w:r w:rsidR="001157B5" w:rsidRPr="007A69EF">
        <w:t>s</w:t>
      </w:r>
      <w:r w:rsidR="008A6327" w:rsidRPr="007A69EF">
        <w:t xml:space="preserve"> concerns was undertaken, with mixed success.</w:t>
      </w:r>
    </w:p>
    <w:p w14:paraId="6E339F37" w14:textId="77777777" w:rsidR="00B67E01" w:rsidRPr="001A2426" w:rsidRDefault="00B67E01" w:rsidP="001A2426">
      <w:pPr>
        <w:pStyle w:val="Heading2"/>
      </w:pPr>
      <w:r w:rsidRPr="001A2426">
        <w:t>Strategy-wide initiatives</w:t>
      </w:r>
    </w:p>
    <w:p w14:paraId="4D6FF2A5" w14:textId="2A3A9B3E" w:rsidR="008A6327" w:rsidRPr="001C09D2" w:rsidRDefault="0056555B" w:rsidP="001A2426">
      <w:pPr>
        <w:pStyle w:val="BodyText"/>
      </w:pPr>
      <w:r w:rsidRPr="006E4F41">
        <w:rPr>
          <w:b/>
          <w:kern w:val="28"/>
          <w:szCs w:val="28"/>
        </w:rPr>
        <w:t>Australia-Laos Scholarship Program</w:t>
      </w:r>
      <w:r w:rsidR="00D058FE" w:rsidRPr="006E4F41">
        <w:rPr>
          <w:b/>
          <w:kern w:val="28"/>
          <w:szCs w:val="28"/>
        </w:rPr>
        <w:t>:</w:t>
      </w:r>
      <w:r w:rsidR="00261569" w:rsidRPr="006E4F41">
        <w:rPr>
          <w:b/>
          <w:kern w:val="28"/>
          <w:szCs w:val="28"/>
        </w:rPr>
        <w:t xml:space="preserve"> </w:t>
      </w:r>
      <w:r w:rsidR="00BB7272" w:rsidRPr="00D3670A">
        <w:rPr>
          <w:kern w:val="28"/>
          <w:szCs w:val="28"/>
        </w:rPr>
        <w:t>this program</w:t>
      </w:r>
      <w:r w:rsidR="00BB7272">
        <w:rPr>
          <w:b/>
          <w:color w:val="AD495D"/>
          <w:kern w:val="28"/>
          <w:szCs w:val="28"/>
        </w:rPr>
        <w:t xml:space="preserve"> </w:t>
      </w:r>
      <w:r w:rsidR="008A6327" w:rsidRPr="002C6B05">
        <w:t xml:space="preserve">was independently evaluated </w:t>
      </w:r>
      <w:r w:rsidR="00AC3CBB">
        <w:t xml:space="preserve">in 2012 </w:t>
      </w:r>
      <w:r w:rsidR="008A6327" w:rsidRPr="002C6B05">
        <w:t>and</w:t>
      </w:r>
      <w:r w:rsidR="008A6327">
        <w:rPr>
          <w:kern w:val="28"/>
          <w:szCs w:val="28"/>
        </w:rPr>
        <w:t xml:space="preserve"> found to be relevant and effective</w:t>
      </w:r>
      <w:r w:rsidR="00AC3CBB">
        <w:rPr>
          <w:kern w:val="28"/>
          <w:szCs w:val="28"/>
        </w:rPr>
        <w:t>.</w:t>
      </w:r>
      <w:r w:rsidR="008A6327">
        <w:rPr>
          <w:kern w:val="28"/>
          <w:szCs w:val="28"/>
        </w:rPr>
        <w:t xml:space="preserve"> </w:t>
      </w:r>
      <w:r w:rsidR="00BB7272">
        <w:t>F</w:t>
      </w:r>
      <w:r w:rsidR="0023072E">
        <w:t>orty-</w:t>
      </w:r>
      <w:r w:rsidR="008A6327">
        <w:t>seven scholarships</w:t>
      </w:r>
      <w:r w:rsidR="00BB7272">
        <w:t xml:space="preserve"> were awarded</w:t>
      </w:r>
      <w:r w:rsidR="008A6327">
        <w:t xml:space="preserve"> </w:t>
      </w:r>
      <w:r w:rsidR="0023072E">
        <w:t xml:space="preserve">in 2012, </w:t>
      </w:r>
      <w:r w:rsidR="0023072E">
        <w:lastRenderedPageBreak/>
        <w:t>including two prestigious Australian Leadership Awards Scholarships</w:t>
      </w:r>
      <w:r w:rsidR="00BB7272">
        <w:t>.</w:t>
      </w:r>
      <w:r w:rsidR="0018642E" w:rsidRPr="00C645CE">
        <w:rPr>
          <w:rStyle w:val="FootnoteReference"/>
          <w:sz w:val="20"/>
          <w:vertAlign w:val="superscript"/>
        </w:rPr>
        <w:footnoteReference w:id="42"/>
      </w:r>
      <w:r w:rsidR="00BB7272">
        <w:t xml:space="preserve"> The program</w:t>
      </w:r>
      <w:r w:rsidR="00AC3CBB">
        <w:t xml:space="preserve"> </w:t>
      </w:r>
      <w:r w:rsidR="0023072E">
        <w:t xml:space="preserve">achieved the 75 per cent target of 20 scholarships being </w:t>
      </w:r>
      <w:r w:rsidR="0023072E" w:rsidRPr="002C6B05">
        <w:t xml:space="preserve">awarded to </w:t>
      </w:r>
      <w:r w:rsidR="00C25BE7">
        <w:t>applicants</w:t>
      </w:r>
      <w:r w:rsidR="00C25BE7" w:rsidRPr="002C6B05">
        <w:t xml:space="preserve"> </w:t>
      </w:r>
      <w:r w:rsidR="003E6AE8" w:rsidRPr="002C6B05">
        <w:t xml:space="preserve">from the </w:t>
      </w:r>
      <w:r w:rsidR="0023072E" w:rsidRPr="002C6B05">
        <w:t>public sector.</w:t>
      </w:r>
      <w:r w:rsidR="001C09D2">
        <w:t xml:space="preserve"> </w:t>
      </w:r>
      <w:r w:rsidR="008A6327" w:rsidRPr="002C6B05">
        <w:t>Lao</w:t>
      </w:r>
      <w:r w:rsidR="00BB7272">
        <w:t>–</w:t>
      </w:r>
      <w:r w:rsidR="008A6327" w:rsidRPr="002C6B05">
        <w:t>Australia National Scholarships</w:t>
      </w:r>
      <w:r w:rsidR="008A6327">
        <w:t xml:space="preserve"> were </w:t>
      </w:r>
      <w:r w:rsidR="00AC3CBB">
        <w:t xml:space="preserve">also </w:t>
      </w:r>
      <w:r w:rsidR="008A6327">
        <w:t xml:space="preserve">awarded to </w:t>
      </w:r>
      <w:r w:rsidR="008A6327">
        <w:rPr>
          <w:kern w:val="28"/>
          <w:szCs w:val="28"/>
        </w:rPr>
        <w:t>a second cohort of 70 students (80.3 per cent from ethnic groups) in 2012.</w:t>
      </w:r>
      <w:r w:rsidR="00B51DFB">
        <w:rPr>
          <w:kern w:val="28"/>
          <w:szCs w:val="28"/>
        </w:rPr>
        <w:t xml:space="preserve"> </w:t>
      </w:r>
    </w:p>
    <w:p w14:paraId="5ABC92E9" w14:textId="25EA32B9" w:rsidR="00CA1148" w:rsidRDefault="00E84B8E" w:rsidP="001A2426">
      <w:pPr>
        <w:pStyle w:val="BodyText"/>
        <w:rPr>
          <w:kern w:val="28"/>
          <w:szCs w:val="28"/>
        </w:rPr>
      </w:pPr>
      <w:r>
        <w:rPr>
          <w:kern w:val="28"/>
          <w:szCs w:val="28"/>
        </w:rPr>
        <w:t>Although there were more male applica</w:t>
      </w:r>
      <w:r w:rsidR="00BB7272">
        <w:rPr>
          <w:kern w:val="28"/>
          <w:szCs w:val="28"/>
        </w:rPr>
        <w:t>n</w:t>
      </w:r>
      <w:r>
        <w:rPr>
          <w:kern w:val="28"/>
          <w:szCs w:val="28"/>
        </w:rPr>
        <w:t xml:space="preserve">ts </w:t>
      </w:r>
      <w:r w:rsidR="00AC3CBB">
        <w:rPr>
          <w:kern w:val="28"/>
          <w:szCs w:val="28"/>
        </w:rPr>
        <w:t xml:space="preserve">for Australia Awards </w:t>
      </w:r>
      <w:r>
        <w:rPr>
          <w:kern w:val="28"/>
          <w:szCs w:val="28"/>
        </w:rPr>
        <w:t xml:space="preserve">in 2012 (64 </w:t>
      </w:r>
      <w:r w:rsidR="00983017">
        <w:rPr>
          <w:kern w:val="28"/>
          <w:szCs w:val="28"/>
        </w:rPr>
        <w:t>per cent</w:t>
      </w:r>
      <w:r>
        <w:rPr>
          <w:kern w:val="28"/>
          <w:szCs w:val="28"/>
        </w:rPr>
        <w:t xml:space="preserve"> overall), the final selection of awardees achieved gender balance with 50</w:t>
      </w:r>
      <w:r w:rsidR="00F330CB">
        <w:rPr>
          <w:kern w:val="28"/>
          <w:szCs w:val="28"/>
        </w:rPr>
        <w:t xml:space="preserve"> </w:t>
      </w:r>
      <w:r w:rsidR="00983017">
        <w:rPr>
          <w:kern w:val="28"/>
          <w:szCs w:val="28"/>
        </w:rPr>
        <w:t>per cent</w:t>
      </w:r>
      <w:r>
        <w:rPr>
          <w:kern w:val="28"/>
          <w:szCs w:val="28"/>
        </w:rPr>
        <w:t xml:space="preserve"> of scholarships awarded to women.</w:t>
      </w:r>
      <w:r w:rsidR="00AB3647">
        <w:t xml:space="preserve"> </w:t>
      </w:r>
      <w:r w:rsidR="00CA1148" w:rsidRPr="007A69EF">
        <w:t xml:space="preserve">For </w:t>
      </w:r>
      <w:r w:rsidR="00CA1148" w:rsidRPr="007A69EF">
        <w:rPr>
          <w:kern w:val="28"/>
          <w:szCs w:val="28"/>
        </w:rPr>
        <w:t xml:space="preserve">Australia Awards Fellowships, a total of 32 placements were provided </w:t>
      </w:r>
      <w:r w:rsidR="00DA1BB9" w:rsidRPr="007A69EF">
        <w:rPr>
          <w:kern w:val="28"/>
          <w:szCs w:val="28"/>
        </w:rPr>
        <w:t>in 2012</w:t>
      </w:r>
      <w:r w:rsidR="00BB7272">
        <w:rPr>
          <w:kern w:val="28"/>
          <w:szCs w:val="28"/>
        </w:rPr>
        <w:t>–</w:t>
      </w:r>
      <w:r w:rsidR="00DA1BB9" w:rsidRPr="007A69EF">
        <w:rPr>
          <w:kern w:val="28"/>
          <w:szCs w:val="28"/>
        </w:rPr>
        <w:t xml:space="preserve">13 </w:t>
      </w:r>
      <w:r w:rsidR="00CA1148" w:rsidRPr="007A69EF">
        <w:rPr>
          <w:kern w:val="28"/>
          <w:szCs w:val="28"/>
        </w:rPr>
        <w:t>for Lao nationals to participate in leadership capacity development programs in the area</w:t>
      </w:r>
      <w:r w:rsidR="00BB7272">
        <w:rPr>
          <w:kern w:val="28"/>
          <w:szCs w:val="28"/>
        </w:rPr>
        <w:t>s</w:t>
      </w:r>
      <w:r w:rsidR="00CA1148" w:rsidRPr="007A69EF">
        <w:rPr>
          <w:kern w:val="28"/>
          <w:szCs w:val="28"/>
        </w:rPr>
        <w:t xml:space="preserve"> of governance, economic growth, disability and development, health and environment.</w:t>
      </w:r>
    </w:p>
    <w:p w14:paraId="76789C12" w14:textId="023E790D" w:rsidR="00D058FE" w:rsidRPr="005605E6" w:rsidRDefault="0089170A" w:rsidP="001A2426">
      <w:pPr>
        <w:pStyle w:val="BodyText"/>
      </w:pPr>
      <w:r>
        <w:t xml:space="preserve">Work continued in 2012 for the preparation </w:t>
      </w:r>
      <w:r w:rsidR="008A6327">
        <w:t xml:space="preserve">of the Laos-Australia Institute. </w:t>
      </w:r>
      <w:r w:rsidR="00C25BE7">
        <w:t xml:space="preserve">Former </w:t>
      </w:r>
      <w:r w:rsidRPr="00B43F2D">
        <w:t xml:space="preserve">Prime Minister </w:t>
      </w:r>
      <w:r w:rsidR="00BB7272">
        <w:t xml:space="preserve">Julia </w:t>
      </w:r>
      <w:r w:rsidRPr="00B43F2D">
        <w:t>Gillard announced the resultant $20</w:t>
      </w:r>
      <w:r w:rsidR="00C51405">
        <w:t xml:space="preserve"> </w:t>
      </w:r>
      <w:r w:rsidRPr="00B43F2D">
        <w:t xml:space="preserve">million </w:t>
      </w:r>
      <w:r w:rsidR="00BB7272" w:rsidRPr="00B43F2D">
        <w:t>four</w:t>
      </w:r>
      <w:r w:rsidR="00BB7272">
        <w:t>-</w:t>
      </w:r>
      <w:r w:rsidRPr="00B43F2D">
        <w:t>year (2013</w:t>
      </w:r>
      <w:r w:rsidR="00BB7272">
        <w:t>–</w:t>
      </w:r>
      <w:r w:rsidRPr="00B43F2D">
        <w:t xml:space="preserve">2017) </w:t>
      </w:r>
      <w:r w:rsidR="008A6327">
        <w:t xml:space="preserve">program </w:t>
      </w:r>
      <w:r w:rsidR="000A3C76">
        <w:t xml:space="preserve">during her visit to Laos </w:t>
      </w:r>
      <w:r w:rsidR="005C0C78">
        <w:t xml:space="preserve">for ASEM </w:t>
      </w:r>
      <w:r w:rsidR="000A3C76">
        <w:t>in November 2012</w:t>
      </w:r>
      <w:r w:rsidRPr="00B43F2D">
        <w:t>.</w:t>
      </w:r>
      <w:r w:rsidR="0048008E" w:rsidRPr="00B43F2D">
        <w:t xml:space="preserve"> </w:t>
      </w:r>
      <w:r w:rsidR="00B43F2D">
        <w:t xml:space="preserve">The </w:t>
      </w:r>
      <w:r w:rsidR="00BB7272">
        <w:t>i</w:t>
      </w:r>
      <w:r w:rsidR="00BB7272" w:rsidRPr="00B43F2D">
        <w:t>nstitute</w:t>
      </w:r>
      <w:r w:rsidR="00BB7272">
        <w:t xml:space="preserve"> </w:t>
      </w:r>
      <w:r w:rsidR="00B43F2D">
        <w:t xml:space="preserve">is currently being </w:t>
      </w:r>
      <w:r w:rsidR="0048008E" w:rsidRPr="00B43F2D">
        <w:t>tender</w:t>
      </w:r>
      <w:r w:rsidR="00DC4CFD">
        <w:t xml:space="preserve">ed, and the </w:t>
      </w:r>
      <w:r w:rsidR="0048008E">
        <w:t xml:space="preserve">managing contractor </w:t>
      </w:r>
      <w:r w:rsidR="00B43F2D">
        <w:t>is expected to be</w:t>
      </w:r>
      <w:r w:rsidR="00BB7272">
        <w:t>gin work</w:t>
      </w:r>
      <w:r w:rsidR="00B43F2D">
        <w:t xml:space="preserve"> in November 2013.</w:t>
      </w:r>
    </w:p>
    <w:p w14:paraId="0C0849B1" w14:textId="1E7AA0E2" w:rsidR="00572011" w:rsidRPr="006E4F41" w:rsidRDefault="0056555B" w:rsidP="001A2426">
      <w:pPr>
        <w:pStyle w:val="BodyText"/>
        <w:rPr>
          <w:kern w:val="28"/>
          <w:szCs w:val="28"/>
        </w:rPr>
      </w:pPr>
      <w:r w:rsidRPr="006E4F41">
        <w:rPr>
          <w:b/>
          <w:kern w:val="28"/>
          <w:szCs w:val="28"/>
        </w:rPr>
        <w:t xml:space="preserve">Public Financial Management Strengthening Program: </w:t>
      </w:r>
      <w:r w:rsidR="00804DF0" w:rsidRPr="006E4F41">
        <w:t xml:space="preserve">there was mixed progress </w:t>
      </w:r>
      <w:r w:rsidR="00562537" w:rsidRPr="006E4F41">
        <w:t xml:space="preserve">over the last 18 months in </w:t>
      </w:r>
      <w:r w:rsidR="00572011" w:rsidRPr="006E4F41">
        <w:t>improving management o</w:t>
      </w:r>
      <w:r w:rsidR="00804DF0" w:rsidRPr="006E4F41">
        <w:t>f public finance</w:t>
      </w:r>
      <w:r w:rsidR="00C25BE7" w:rsidRPr="006E4F41">
        <w:t>,</w:t>
      </w:r>
      <w:r w:rsidR="00804DF0" w:rsidRPr="006E4F41">
        <w:t xml:space="preserve"> due to human capacity constraints and </w:t>
      </w:r>
      <w:r w:rsidR="00485715" w:rsidRPr="006E4F41">
        <w:t>considerable energ</w:t>
      </w:r>
      <w:r w:rsidR="00C25BE7" w:rsidRPr="006E4F41">
        <w:t>y</w:t>
      </w:r>
      <w:r w:rsidR="00485715" w:rsidRPr="006E4F41">
        <w:t xml:space="preserve"> being diverted to focus on the implementation </w:t>
      </w:r>
      <w:r w:rsidR="00485715" w:rsidRPr="006E4F41">
        <w:rPr>
          <w:kern w:val="28"/>
          <w:szCs w:val="28"/>
        </w:rPr>
        <w:t xml:space="preserve">of the Lao Government’s </w:t>
      </w:r>
      <w:r w:rsidR="00BB7272" w:rsidRPr="006E4F41">
        <w:rPr>
          <w:kern w:val="28"/>
          <w:szCs w:val="28"/>
        </w:rPr>
        <w:t xml:space="preserve">decentralisation </w:t>
      </w:r>
      <w:r w:rsidR="00176438" w:rsidRPr="006E4F41">
        <w:rPr>
          <w:kern w:val="28"/>
          <w:szCs w:val="28"/>
        </w:rPr>
        <w:t xml:space="preserve">or Three Builds </w:t>
      </w:r>
      <w:r w:rsidR="00BB7272" w:rsidRPr="006E4F41">
        <w:rPr>
          <w:kern w:val="28"/>
          <w:szCs w:val="28"/>
        </w:rPr>
        <w:t>policy</w:t>
      </w:r>
      <w:r w:rsidR="00176438" w:rsidRPr="006E4F41">
        <w:rPr>
          <w:kern w:val="28"/>
          <w:szCs w:val="28"/>
        </w:rPr>
        <w:t>.</w:t>
      </w:r>
    </w:p>
    <w:p w14:paraId="34FFB530" w14:textId="24952A83" w:rsidR="00ED66CA" w:rsidRDefault="00AC3CBB" w:rsidP="001A2426">
      <w:pPr>
        <w:pStyle w:val="BodyText"/>
        <w:rPr>
          <w:kern w:val="28"/>
          <w:szCs w:val="28"/>
        </w:rPr>
      </w:pPr>
      <w:r w:rsidRPr="000B0746">
        <w:rPr>
          <w:kern w:val="28"/>
          <w:szCs w:val="28"/>
        </w:rPr>
        <w:t>Key progress</w:t>
      </w:r>
      <w:r w:rsidR="003D782A" w:rsidRPr="000B0746">
        <w:rPr>
          <w:kern w:val="28"/>
          <w:szCs w:val="28"/>
        </w:rPr>
        <w:t xml:space="preserve"> include</w:t>
      </w:r>
      <w:r w:rsidRPr="000B0746">
        <w:rPr>
          <w:kern w:val="28"/>
          <w:szCs w:val="28"/>
        </w:rPr>
        <w:t>d</w:t>
      </w:r>
      <w:r w:rsidR="003D782A" w:rsidRPr="000B0746">
        <w:rPr>
          <w:kern w:val="28"/>
          <w:szCs w:val="28"/>
        </w:rPr>
        <w:t xml:space="preserve"> enhanc</w:t>
      </w:r>
      <w:r w:rsidR="00B749AF">
        <w:rPr>
          <w:kern w:val="28"/>
          <w:szCs w:val="28"/>
        </w:rPr>
        <w:t xml:space="preserve">ing the </w:t>
      </w:r>
      <w:r w:rsidR="00572011" w:rsidRPr="000B0746">
        <w:rPr>
          <w:kern w:val="28"/>
          <w:szCs w:val="28"/>
        </w:rPr>
        <w:t xml:space="preserve">timing and content of the </w:t>
      </w:r>
      <w:r w:rsidR="00ED66CA" w:rsidRPr="000B0746">
        <w:rPr>
          <w:kern w:val="28"/>
          <w:szCs w:val="28"/>
        </w:rPr>
        <w:t>2012</w:t>
      </w:r>
      <w:r w:rsidR="00B749AF">
        <w:rPr>
          <w:kern w:val="28"/>
          <w:szCs w:val="28"/>
        </w:rPr>
        <w:t>–</w:t>
      </w:r>
      <w:r w:rsidR="00ED66CA" w:rsidRPr="000B0746">
        <w:rPr>
          <w:kern w:val="28"/>
          <w:szCs w:val="28"/>
        </w:rPr>
        <w:t xml:space="preserve">13 </w:t>
      </w:r>
      <w:proofErr w:type="gramStart"/>
      <w:r w:rsidR="00B749AF" w:rsidRPr="000B0746">
        <w:rPr>
          <w:kern w:val="28"/>
          <w:szCs w:val="28"/>
        </w:rPr>
        <w:t>budget</w:t>
      </w:r>
      <w:proofErr w:type="gramEnd"/>
      <w:r w:rsidR="00B749AF" w:rsidRPr="000B0746">
        <w:rPr>
          <w:kern w:val="28"/>
          <w:szCs w:val="28"/>
        </w:rPr>
        <w:t xml:space="preserve"> c</w:t>
      </w:r>
      <w:r w:rsidR="00572011" w:rsidRPr="000B0746">
        <w:rPr>
          <w:kern w:val="28"/>
          <w:szCs w:val="28"/>
        </w:rPr>
        <w:t>ircu</w:t>
      </w:r>
      <w:r w:rsidR="00D81A64" w:rsidRPr="000B0746">
        <w:rPr>
          <w:kern w:val="28"/>
          <w:szCs w:val="28"/>
        </w:rPr>
        <w:t>lar</w:t>
      </w:r>
      <w:r w:rsidR="00D81A64">
        <w:t xml:space="preserve"> to </w:t>
      </w:r>
      <w:r w:rsidR="00B749AF">
        <w:t xml:space="preserve">enable ministries and provinces to </w:t>
      </w:r>
      <w:r w:rsidR="00572011" w:rsidRPr="00572011">
        <w:t>prepar</w:t>
      </w:r>
      <w:r w:rsidR="00B749AF">
        <w:t>e for</w:t>
      </w:r>
      <w:r w:rsidR="00B749AF" w:rsidRPr="00572011">
        <w:t xml:space="preserve"> </w:t>
      </w:r>
      <w:r w:rsidR="003D782A">
        <w:t xml:space="preserve">the national </w:t>
      </w:r>
      <w:r w:rsidR="00572011" w:rsidRPr="00572011">
        <w:t>budg</w:t>
      </w:r>
      <w:r w:rsidR="00D81A64">
        <w:t>et</w:t>
      </w:r>
      <w:r w:rsidR="00B749AF">
        <w:t xml:space="preserve">, and </w:t>
      </w:r>
      <w:r w:rsidR="00D81A64">
        <w:t>i</w:t>
      </w:r>
      <w:r w:rsidR="003D782A">
        <w:t>mprov</w:t>
      </w:r>
      <w:r w:rsidR="00B749AF">
        <w:t xml:space="preserve">ing </w:t>
      </w:r>
      <w:r w:rsidR="003D782A" w:rsidRPr="00572011">
        <w:t>the quality of debt records</w:t>
      </w:r>
      <w:r>
        <w:t xml:space="preserve"> </w:t>
      </w:r>
      <w:r w:rsidR="00B749AF">
        <w:t xml:space="preserve">which </w:t>
      </w:r>
      <w:r w:rsidR="003D782A">
        <w:t xml:space="preserve">helped facilitate </w:t>
      </w:r>
      <w:r w:rsidR="00B749AF">
        <w:t xml:space="preserve">better </w:t>
      </w:r>
      <w:r w:rsidR="003D782A">
        <w:t>management of external debt.</w:t>
      </w:r>
      <w:r w:rsidR="00AE5B59">
        <w:t xml:space="preserve"> </w:t>
      </w:r>
      <w:r>
        <w:t>Treasury reforms</w:t>
      </w:r>
      <w:r w:rsidR="00B749AF">
        <w:t xml:space="preserve"> were also undertaken</w:t>
      </w:r>
      <w:r>
        <w:t xml:space="preserve">, </w:t>
      </w:r>
      <w:r w:rsidR="00B749AF">
        <w:t xml:space="preserve">including </w:t>
      </w:r>
      <w:r w:rsidR="00AE5B59">
        <w:t>ongoing c</w:t>
      </w:r>
      <w:r w:rsidR="00572011" w:rsidRPr="00572011">
        <w:t xml:space="preserve">onsolidation of all revenue accounts into </w:t>
      </w:r>
      <w:r w:rsidR="00AE5B59">
        <w:t xml:space="preserve">a </w:t>
      </w:r>
      <w:r w:rsidR="00B749AF">
        <w:t xml:space="preserve">single </w:t>
      </w:r>
      <w:r w:rsidR="00572011" w:rsidRPr="00572011">
        <w:t>treasu</w:t>
      </w:r>
      <w:r w:rsidR="00AE5B59">
        <w:t xml:space="preserve">ry account </w:t>
      </w:r>
      <w:r w:rsidR="00572011" w:rsidRPr="00572011">
        <w:t>to ensure better financial controls</w:t>
      </w:r>
      <w:r w:rsidR="00B749AF">
        <w:t>,</w:t>
      </w:r>
      <w:r w:rsidR="00572011" w:rsidRPr="00572011">
        <w:t xml:space="preserve"> </w:t>
      </w:r>
      <w:r w:rsidR="00572011" w:rsidRPr="000B0746">
        <w:rPr>
          <w:kern w:val="28"/>
          <w:szCs w:val="28"/>
        </w:rPr>
        <w:t>accountability and transparency in th</w:t>
      </w:r>
      <w:r w:rsidR="00AE5B59" w:rsidRPr="000B0746">
        <w:rPr>
          <w:kern w:val="28"/>
          <w:szCs w:val="28"/>
        </w:rPr>
        <w:t xml:space="preserve">e use of public money. </w:t>
      </w:r>
    </w:p>
    <w:p w14:paraId="50D6BA85" w14:textId="262764AE" w:rsidR="00571029" w:rsidRPr="000B0746" w:rsidRDefault="00571029" w:rsidP="001A2426">
      <w:pPr>
        <w:pStyle w:val="BodyText"/>
        <w:rPr>
          <w:kern w:val="28"/>
          <w:szCs w:val="28"/>
        </w:rPr>
      </w:pPr>
      <w:r w:rsidRPr="007A69EF">
        <w:rPr>
          <w:kern w:val="28"/>
          <w:szCs w:val="28"/>
        </w:rPr>
        <w:t xml:space="preserve">This program is due to finish in September 2013. World Bank has completed the design for a successor </w:t>
      </w:r>
      <w:proofErr w:type="gramStart"/>
      <w:r w:rsidRPr="007A69EF">
        <w:rPr>
          <w:kern w:val="28"/>
          <w:szCs w:val="28"/>
        </w:rPr>
        <w:t>program</w:t>
      </w:r>
      <w:r w:rsidR="00B749AF">
        <w:rPr>
          <w:kern w:val="28"/>
          <w:szCs w:val="28"/>
        </w:rPr>
        <w:t>,</w:t>
      </w:r>
      <w:proofErr w:type="gramEnd"/>
      <w:r w:rsidR="00B749AF" w:rsidRPr="007A69EF">
        <w:rPr>
          <w:kern w:val="28"/>
          <w:szCs w:val="28"/>
        </w:rPr>
        <w:t xml:space="preserve"> </w:t>
      </w:r>
      <w:r w:rsidRPr="007A69EF">
        <w:rPr>
          <w:kern w:val="28"/>
          <w:szCs w:val="28"/>
        </w:rPr>
        <w:t>however there are ongoing delays in negotiating this program with the Lao Government.</w:t>
      </w:r>
      <w:r w:rsidR="00B51DFB">
        <w:rPr>
          <w:kern w:val="28"/>
          <w:szCs w:val="28"/>
        </w:rPr>
        <w:t xml:space="preserve"> </w:t>
      </w:r>
      <w:r w:rsidRPr="007A69EF">
        <w:rPr>
          <w:kern w:val="28"/>
          <w:szCs w:val="28"/>
        </w:rPr>
        <w:t xml:space="preserve">The Lao Country Program will investigate options for sector-specific </w:t>
      </w:r>
      <w:r w:rsidR="00B749AF">
        <w:rPr>
          <w:kern w:val="28"/>
          <w:szCs w:val="28"/>
        </w:rPr>
        <w:t>public financial management</w:t>
      </w:r>
      <w:r w:rsidR="00B749AF" w:rsidRPr="007A69EF">
        <w:rPr>
          <w:kern w:val="28"/>
          <w:szCs w:val="28"/>
        </w:rPr>
        <w:t xml:space="preserve"> </w:t>
      </w:r>
      <w:r w:rsidRPr="007A69EF">
        <w:rPr>
          <w:kern w:val="28"/>
          <w:szCs w:val="28"/>
        </w:rPr>
        <w:t>support, such as to the education sector</w:t>
      </w:r>
      <w:r w:rsidR="00B749AF">
        <w:rPr>
          <w:kern w:val="28"/>
          <w:szCs w:val="28"/>
        </w:rPr>
        <w:t>,</w:t>
      </w:r>
      <w:r w:rsidR="00C51405" w:rsidRPr="007A69EF">
        <w:rPr>
          <w:kern w:val="28"/>
          <w:szCs w:val="28"/>
        </w:rPr>
        <w:t xml:space="preserve"> outside the World Bank initiative.</w:t>
      </w:r>
    </w:p>
    <w:p w14:paraId="58BE501D" w14:textId="77777777" w:rsidR="00DC7C09" w:rsidRDefault="0056555B" w:rsidP="001A2426">
      <w:pPr>
        <w:pStyle w:val="BodyText"/>
      </w:pPr>
      <w:r w:rsidRPr="006E4F41">
        <w:rPr>
          <w:b/>
          <w:kern w:val="28"/>
          <w:szCs w:val="28"/>
        </w:rPr>
        <w:t>Humanitarian assistance:</w:t>
      </w:r>
      <w:r w:rsidRPr="006E4F41">
        <w:t xml:space="preserve"> Laos avoided severe flooding during the 2012 monsoon season, which meant more opportunity for recovery from the considerabl</w:t>
      </w:r>
      <w:r w:rsidR="00AA0289" w:rsidRPr="006E4F41">
        <w:t xml:space="preserve">e after </w:t>
      </w:r>
      <w:r w:rsidR="001227F7" w:rsidRPr="006E4F41">
        <w:t xml:space="preserve">effects </w:t>
      </w:r>
      <w:r w:rsidRPr="006E4F41">
        <w:t>of tropical storms that hit Laos in 2011</w:t>
      </w:r>
      <w:r>
        <w:t>.</w:t>
      </w:r>
    </w:p>
    <w:p w14:paraId="18145389" w14:textId="47E47D20" w:rsidR="008910ED" w:rsidRDefault="00AA0289" w:rsidP="001A2426">
      <w:pPr>
        <w:pStyle w:val="BodyText"/>
      </w:pPr>
      <w:r>
        <w:t>Australia’s 2011 $1</w:t>
      </w:r>
      <w:r w:rsidR="00C51405">
        <w:t xml:space="preserve"> </w:t>
      </w:r>
      <w:r>
        <w:t xml:space="preserve">million </w:t>
      </w:r>
      <w:r w:rsidR="001227F7">
        <w:t xml:space="preserve">flood recovery assistance activities were </w:t>
      </w:r>
      <w:r w:rsidR="000A2F94">
        <w:t xml:space="preserve">concluded successfully in 2012. The three international </w:t>
      </w:r>
      <w:r w:rsidR="00B749AF">
        <w:t xml:space="preserve">non-government organisations that </w:t>
      </w:r>
      <w:r w:rsidR="000A2F94">
        <w:t>deliv</w:t>
      </w:r>
      <w:r>
        <w:t>ered this assistance</w:t>
      </w:r>
      <w:r w:rsidR="00B749AF">
        <w:t>––</w:t>
      </w:r>
      <w:r w:rsidR="000A2F94">
        <w:t>Save the Children, World Vision and Oxfam</w:t>
      </w:r>
      <w:r w:rsidR="00B749AF">
        <w:t>––</w:t>
      </w:r>
      <w:r w:rsidR="000A2F94">
        <w:t>reached</w:t>
      </w:r>
      <w:r w:rsidR="001227F7">
        <w:t xml:space="preserve"> a</w:t>
      </w:r>
      <w:r w:rsidR="000A2F94">
        <w:t>round 100</w:t>
      </w:r>
      <w:r w:rsidR="00B749AF">
        <w:t xml:space="preserve"> </w:t>
      </w:r>
      <w:r w:rsidR="000A2F94">
        <w:t>000 vulnerable people including 54</w:t>
      </w:r>
      <w:r w:rsidR="00B749AF">
        <w:t xml:space="preserve"> </w:t>
      </w:r>
      <w:r w:rsidR="000A2F94">
        <w:t>000 women</w:t>
      </w:r>
      <w:r>
        <w:t>,</w:t>
      </w:r>
      <w:r w:rsidR="000A2F94">
        <w:t xml:space="preserve"> exceeding the original total beneficiary target by 58</w:t>
      </w:r>
      <w:r w:rsidR="00B749AF">
        <w:t xml:space="preserve"> </w:t>
      </w:r>
      <w:r w:rsidR="000A2F94">
        <w:t xml:space="preserve">000 people. </w:t>
      </w:r>
      <w:r>
        <w:t>As a result, a</w:t>
      </w:r>
      <w:r w:rsidR="000A2F94">
        <w:t xml:space="preserve"> total of 9747 households (53</w:t>
      </w:r>
      <w:r w:rsidR="00B749AF">
        <w:t xml:space="preserve"> </w:t>
      </w:r>
      <w:r w:rsidR="000A2F94">
        <w:t>438 people, including 26</w:t>
      </w:r>
      <w:r w:rsidR="00B749AF">
        <w:t xml:space="preserve"> </w:t>
      </w:r>
      <w:r w:rsidR="00DC7C09">
        <w:t>735 women) were able to rebuild</w:t>
      </w:r>
      <w:r w:rsidR="000A2F94">
        <w:t xml:space="preserve"> their livelihoods </w:t>
      </w:r>
      <w:r w:rsidR="00B749AF">
        <w:t xml:space="preserve">by repairing </w:t>
      </w:r>
      <w:r w:rsidR="000A2F94">
        <w:t>and constructin</w:t>
      </w:r>
      <w:r w:rsidR="00B749AF">
        <w:t>g</w:t>
      </w:r>
      <w:r w:rsidR="000A2F94">
        <w:t xml:space="preserve"> weirs, clear</w:t>
      </w:r>
      <w:r w:rsidR="00B749AF">
        <w:t xml:space="preserve">ing </w:t>
      </w:r>
      <w:r w:rsidR="000A2F94">
        <w:t xml:space="preserve">mud from paddy fields and re-stocking fish ponds. </w:t>
      </w:r>
      <w:r w:rsidR="00C616EE">
        <w:t xml:space="preserve">Around 9000 </w:t>
      </w:r>
      <w:r w:rsidR="000A2F94">
        <w:t xml:space="preserve">households (5125 people, including 2878 women) benefited from nine repaired irrigation systems enabling them to </w:t>
      </w:r>
      <w:r w:rsidR="00B749AF">
        <w:t xml:space="preserve">start </w:t>
      </w:r>
      <w:r w:rsidR="000A2F94">
        <w:t xml:space="preserve">planting </w:t>
      </w:r>
      <w:r w:rsidR="00B749AF">
        <w:t xml:space="preserve">rice </w:t>
      </w:r>
      <w:r w:rsidR="000A2F94">
        <w:t>in early 2012.</w:t>
      </w:r>
      <w:r w:rsidR="00C616EE">
        <w:t xml:space="preserve"> More than 4800 households (24</w:t>
      </w:r>
      <w:r w:rsidR="00B749AF">
        <w:t xml:space="preserve"> </w:t>
      </w:r>
      <w:r w:rsidR="00C616EE">
        <w:t>622 people, including 11</w:t>
      </w:r>
      <w:r w:rsidR="00B749AF">
        <w:t xml:space="preserve"> </w:t>
      </w:r>
      <w:r w:rsidR="00C616EE">
        <w:t xml:space="preserve">708 women) </w:t>
      </w:r>
      <w:r>
        <w:t xml:space="preserve">received agricultural seeds </w:t>
      </w:r>
      <w:r w:rsidR="00C616EE">
        <w:t>or tools for planting</w:t>
      </w:r>
      <w:r w:rsidR="00B749AF">
        <w:t xml:space="preserve">, </w:t>
      </w:r>
      <w:r w:rsidR="00C616EE">
        <w:t>and more than 3900 households (23</w:t>
      </w:r>
      <w:r w:rsidR="00B749AF">
        <w:t xml:space="preserve"> </w:t>
      </w:r>
      <w:r w:rsidR="00C616EE">
        <w:t>171 people, including 11</w:t>
      </w:r>
      <w:r w:rsidR="00B749AF">
        <w:t xml:space="preserve"> </w:t>
      </w:r>
      <w:r w:rsidR="00C616EE">
        <w:t xml:space="preserve">871 women) received assistance </w:t>
      </w:r>
      <w:r w:rsidR="00B749AF">
        <w:t xml:space="preserve">by </w:t>
      </w:r>
      <w:r w:rsidR="00C616EE">
        <w:t>participatin</w:t>
      </w:r>
      <w:r w:rsidR="00B749AF">
        <w:t>g</w:t>
      </w:r>
      <w:r w:rsidR="00C616EE">
        <w:t xml:space="preserve"> in </w:t>
      </w:r>
      <w:r w:rsidR="00C25BE7">
        <w:t>cash for work and food for wor</w:t>
      </w:r>
      <w:r w:rsidR="00C616EE">
        <w:t>k activities.</w:t>
      </w:r>
    </w:p>
    <w:p w14:paraId="5ED570EE" w14:textId="7635EB92" w:rsidR="00DC7C09" w:rsidRDefault="00DC7C09" w:rsidP="001A2426">
      <w:pPr>
        <w:pStyle w:val="BodyText"/>
      </w:pPr>
      <w:r>
        <w:t xml:space="preserve">While many communities made good progress in recovering from the 2011 floods and landslides, communities in </w:t>
      </w:r>
      <w:proofErr w:type="spellStart"/>
      <w:r>
        <w:t>Khammuane</w:t>
      </w:r>
      <w:proofErr w:type="spellEnd"/>
      <w:r>
        <w:t xml:space="preserve"> Province</w:t>
      </w:r>
      <w:r w:rsidR="008910ED">
        <w:t>,</w:t>
      </w:r>
      <w:r>
        <w:t xml:space="preserve"> </w:t>
      </w:r>
      <w:r w:rsidR="008910ED">
        <w:t xml:space="preserve">one of the most severely flood affected in </w:t>
      </w:r>
      <w:r w:rsidR="008910ED">
        <w:lastRenderedPageBreak/>
        <w:t xml:space="preserve">2011, continued to struggle. An </w:t>
      </w:r>
      <w:r w:rsidR="00B749AF">
        <w:t xml:space="preserve">emergency food security assessment </w:t>
      </w:r>
      <w:r w:rsidR="008910ED">
        <w:t xml:space="preserve">was conducted in the province by </w:t>
      </w:r>
      <w:r w:rsidR="00B749AF">
        <w:t xml:space="preserve">the World Food Programme </w:t>
      </w:r>
      <w:r w:rsidR="008910ED">
        <w:t>at the Lao Government’s request in early 2012. This identified 39</w:t>
      </w:r>
      <w:r w:rsidR="00B749AF">
        <w:t xml:space="preserve"> </w:t>
      </w:r>
      <w:r w:rsidR="008910ED">
        <w:t>000 moderately to severely food insecure people in 80 villages who required urgent assistance until the wet season harvest in November 2012. Australia contributed $300</w:t>
      </w:r>
      <w:r w:rsidR="001A2426">
        <w:t> </w:t>
      </w:r>
      <w:r w:rsidR="007A189F">
        <w:t>000</w:t>
      </w:r>
      <w:r w:rsidR="008910ED">
        <w:t xml:space="preserve"> towards this.</w:t>
      </w:r>
    </w:p>
    <w:p w14:paraId="3D5A4336" w14:textId="47475493" w:rsidR="008910ED" w:rsidRPr="008910ED" w:rsidRDefault="00AC3CBB" w:rsidP="001A2426">
      <w:pPr>
        <w:pStyle w:val="BodyText"/>
      </w:pPr>
      <w:r>
        <w:t xml:space="preserve">A further </w:t>
      </w:r>
      <w:r w:rsidR="00A26EC4">
        <w:t>$2.5 million</w:t>
      </w:r>
      <w:r w:rsidR="00A26EC4" w:rsidRPr="00C645CE">
        <w:rPr>
          <w:rStyle w:val="FootnoteReference"/>
          <w:sz w:val="20"/>
          <w:vertAlign w:val="superscript"/>
        </w:rPr>
        <w:footnoteReference w:id="43"/>
      </w:r>
      <w:r w:rsidR="00A26EC4">
        <w:t xml:space="preserve"> was provided in late 2012 to </w:t>
      </w:r>
      <w:r w:rsidR="00B749AF">
        <w:t xml:space="preserve">the World Food Programme </w:t>
      </w:r>
      <w:r w:rsidR="00A26EC4">
        <w:t>and Sav</w:t>
      </w:r>
      <w:r w:rsidR="00AF76D3">
        <w:t xml:space="preserve">e the Children to implement </w:t>
      </w:r>
      <w:r w:rsidR="00B749AF">
        <w:t xml:space="preserve">the two-year </w:t>
      </w:r>
      <w:r w:rsidR="00A26EC4">
        <w:t xml:space="preserve">Strengthening Disaster Risk Management Systems and Capabilities </w:t>
      </w:r>
      <w:r w:rsidR="00B749AF">
        <w:t>initiative</w:t>
      </w:r>
      <w:r>
        <w:t>. Th</w:t>
      </w:r>
      <w:r w:rsidR="00A26EC4">
        <w:t xml:space="preserve">is </w:t>
      </w:r>
      <w:r w:rsidR="00B749AF">
        <w:t xml:space="preserve">is </w:t>
      </w:r>
      <w:r w:rsidR="00A26EC4">
        <w:t>working at national and sub-national levels to assist Laos improve its emergency p</w:t>
      </w:r>
      <w:r w:rsidR="000B0746">
        <w:t>reparedness response</w:t>
      </w:r>
      <w:r w:rsidR="00B749AF">
        <w:t>s and w</w:t>
      </w:r>
      <w:r w:rsidR="00E21885">
        <w:t xml:space="preserve">hile the program is </w:t>
      </w:r>
      <w:r w:rsidR="00B749AF">
        <w:t xml:space="preserve">still </w:t>
      </w:r>
      <w:r w:rsidR="00E21885">
        <w:t>in its inception phase</w:t>
      </w:r>
      <w:r w:rsidR="002B4B17">
        <w:t>,</w:t>
      </w:r>
      <w:r w:rsidR="00E21885" w:rsidRPr="00C645CE">
        <w:rPr>
          <w:rStyle w:val="FootnoteReference"/>
          <w:sz w:val="20"/>
          <w:vertAlign w:val="superscript"/>
        </w:rPr>
        <w:footnoteReference w:id="44"/>
      </w:r>
      <w:r w:rsidR="002B4B17">
        <w:t xml:space="preserve"> significant preparatory work ha</w:t>
      </w:r>
      <w:r w:rsidR="000B0746">
        <w:t>s been undertaken.</w:t>
      </w:r>
    </w:p>
    <w:p w14:paraId="4AD145E9" w14:textId="1684780D" w:rsidR="00CD6ED4" w:rsidRDefault="00CD6ED4" w:rsidP="001A2426">
      <w:pPr>
        <w:pStyle w:val="Heading1"/>
      </w:pPr>
      <w:r>
        <w:t xml:space="preserve">Program </w:t>
      </w:r>
      <w:r w:rsidR="00B749AF">
        <w:t>quality</w:t>
      </w:r>
    </w:p>
    <w:p w14:paraId="5973C692" w14:textId="77777777" w:rsidR="00180B19" w:rsidRPr="001A2426" w:rsidRDefault="00180B19" w:rsidP="001A2426">
      <w:pPr>
        <w:pStyle w:val="Heading2"/>
      </w:pPr>
      <w:r w:rsidRPr="001A2426">
        <w:t>Quality at Implementation ratings</w:t>
      </w:r>
    </w:p>
    <w:p w14:paraId="4995C174" w14:textId="62F4A654" w:rsidR="00150198" w:rsidRDefault="00B73485" w:rsidP="001A2426">
      <w:pPr>
        <w:pStyle w:val="BodyText"/>
      </w:pPr>
      <w:r>
        <w:t>A summary table of Q</w:t>
      </w:r>
      <w:r w:rsidR="00886053" w:rsidRPr="00886053">
        <w:t xml:space="preserve">uality </w:t>
      </w:r>
      <w:r>
        <w:t xml:space="preserve">at Implementation </w:t>
      </w:r>
      <w:r w:rsidR="00886053" w:rsidRPr="00886053">
        <w:t xml:space="preserve">ratings for the Lao </w:t>
      </w:r>
      <w:r>
        <w:t xml:space="preserve">Country Program </w:t>
      </w:r>
      <w:r w:rsidR="00886053" w:rsidRPr="00886053">
        <w:t>2012</w:t>
      </w:r>
      <w:r w:rsidR="00B749AF">
        <w:t>–</w:t>
      </w:r>
      <w:r>
        <w:t>13</w:t>
      </w:r>
      <w:r w:rsidR="000A3C76">
        <w:t xml:space="preserve"> is</w:t>
      </w:r>
      <w:r w:rsidR="00886053" w:rsidRPr="00886053">
        <w:t xml:space="preserve"> provided </w:t>
      </w:r>
      <w:r w:rsidR="00B749AF">
        <w:t>at</w:t>
      </w:r>
      <w:r w:rsidR="00B749AF" w:rsidRPr="00886053">
        <w:t xml:space="preserve"> </w:t>
      </w:r>
      <w:r w:rsidR="00886053" w:rsidRPr="00D3670A">
        <w:t>Annex B</w:t>
      </w:r>
      <w:r w:rsidR="00886053" w:rsidRPr="00886053">
        <w:t>.</w:t>
      </w:r>
      <w:r w:rsidR="00B51DFB">
        <w:t xml:space="preserve"> </w:t>
      </w:r>
      <w:r>
        <w:t>The table also provides a comparis</w:t>
      </w:r>
      <w:r w:rsidR="00C24217">
        <w:t xml:space="preserve">on </w:t>
      </w:r>
      <w:r>
        <w:t>with 2011 ratings.</w:t>
      </w:r>
      <w:r w:rsidR="00B51DFB">
        <w:t xml:space="preserve"> </w:t>
      </w:r>
      <w:r w:rsidR="001926ED">
        <w:t>Overall</w:t>
      </w:r>
      <w:r w:rsidR="00886053" w:rsidRPr="00886053">
        <w:t xml:space="preserve"> program quality at implementatio</w:t>
      </w:r>
      <w:r w:rsidR="00ED4A27">
        <w:t xml:space="preserve">n </w:t>
      </w:r>
      <w:r w:rsidR="00B749AF">
        <w:t xml:space="preserve">improved </w:t>
      </w:r>
      <w:r w:rsidR="00ED4A27">
        <w:t>in 2012</w:t>
      </w:r>
      <w:r w:rsidR="00B749AF">
        <w:t>–</w:t>
      </w:r>
      <w:r>
        <w:t>13</w:t>
      </w:r>
      <w:r w:rsidR="00ED4A27">
        <w:t xml:space="preserve"> </w:t>
      </w:r>
      <w:r w:rsidR="00B749AF">
        <w:t>over</w:t>
      </w:r>
      <w:r w:rsidR="00ED4A27">
        <w:t xml:space="preserve"> 2011</w:t>
      </w:r>
      <w:r w:rsidR="00886053" w:rsidRPr="00886053">
        <w:t xml:space="preserve">. Across </w:t>
      </w:r>
      <w:r w:rsidR="00D66F73">
        <w:t>10</w:t>
      </w:r>
      <w:r w:rsidR="00D66F73" w:rsidRPr="00886053">
        <w:t xml:space="preserve"> </w:t>
      </w:r>
      <w:r w:rsidR="00886053" w:rsidRPr="00886053">
        <w:t>monitorable in</w:t>
      </w:r>
      <w:r w:rsidR="00ED4A27">
        <w:t xml:space="preserve">itiatives, </w:t>
      </w:r>
      <w:r w:rsidR="00224CDD">
        <w:t>half</w:t>
      </w:r>
      <w:r w:rsidR="001926ED">
        <w:t xml:space="preserve"> are</w:t>
      </w:r>
      <w:r w:rsidR="00886053" w:rsidRPr="00886053">
        <w:t xml:space="preserve"> rated go</w:t>
      </w:r>
      <w:r w:rsidR="00ED4A27">
        <w:t>od quality compared to 30</w:t>
      </w:r>
      <w:r w:rsidR="000A3C76">
        <w:t xml:space="preserve"> </w:t>
      </w:r>
      <w:r w:rsidR="00ED4A27">
        <w:t>per</w:t>
      </w:r>
      <w:r w:rsidR="000A3C76">
        <w:t xml:space="preserve"> </w:t>
      </w:r>
      <w:r w:rsidR="00ED4A27">
        <w:t>cent in 2011</w:t>
      </w:r>
      <w:r w:rsidR="00150198">
        <w:t xml:space="preserve">. Forty </w:t>
      </w:r>
      <w:r w:rsidR="00983017">
        <w:t>per cent</w:t>
      </w:r>
      <w:r w:rsidR="001926ED">
        <w:t xml:space="preserve"> </w:t>
      </w:r>
      <w:r w:rsidR="00150198">
        <w:t xml:space="preserve">of </w:t>
      </w:r>
      <w:r w:rsidR="001926ED">
        <w:t>initiatives are</w:t>
      </w:r>
      <w:r w:rsidR="00886053" w:rsidRPr="00886053">
        <w:t xml:space="preserve"> rated as satisfactory</w:t>
      </w:r>
      <w:r w:rsidR="001926ED">
        <w:t xml:space="preserve">, compared </w:t>
      </w:r>
      <w:r w:rsidR="001926ED" w:rsidRPr="003265EE">
        <w:t xml:space="preserve">with </w:t>
      </w:r>
      <w:r w:rsidR="00657346" w:rsidRPr="003265EE">
        <w:t>60</w:t>
      </w:r>
      <w:r w:rsidR="001926ED" w:rsidRPr="003265EE">
        <w:t xml:space="preserve"> </w:t>
      </w:r>
      <w:r w:rsidR="00983017" w:rsidRPr="003265EE">
        <w:t>per cent</w:t>
      </w:r>
      <w:r w:rsidR="00657346" w:rsidRPr="003265EE">
        <w:t xml:space="preserve"> in</w:t>
      </w:r>
      <w:r w:rsidR="00657346">
        <w:t xml:space="preserve"> 2011</w:t>
      </w:r>
      <w:r w:rsidR="00B749AF">
        <w:t xml:space="preserve">, </w:t>
      </w:r>
      <w:r w:rsidR="00657346">
        <w:t xml:space="preserve">and </w:t>
      </w:r>
      <w:r w:rsidR="00224CDD">
        <w:t>10</w:t>
      </w:r>
      <w:r w:rsidR="00B749AF">
        <w:t xml:space="preserve"> </w:t>
      </w:r>
      <w:r w:rsidR="00983017">
        <w:t>per cent</w:t>
      </w:r>
      <w:r w:rsidR="00886053" w:rsidRPr="00886053">
        <w:t xml:space="preserve"> </w:t>
      </w:r>
      <w:r w:rsidR="00150198">
        <w:t xml:space="preserve">are rated less than satisfactory, </w:t>
      </w:r>
      <w:r w:rsidR="00657346">
        <w:t>the same as in 2011.</w:t>
      </w:r>
    </w:p>
    <w:p w14:paraId="112B66FF" w14:textId="514126F1" w:rsidR="00C24217" w:rsidRDefault="00C24217" w:rsidP="001A2426">
      <w:pPr>
        <w:pStyle w:val="BodyText"/>
      </w:pPr>
      <w:r>
        <w:t xml:space="preserve">Ratings against all criteria, with the exception of relevance, remained </w:t>
      </w:r>
      <w:r w:rsidRPr="00886053">
        <w:t xml:space="preserve">relatively stable. </w:t>
      </w:r>
      <w:r>
        <w:t>There were improvements in effectiveness and efficiency across the program.</w:t>
      </w:r>
      <w:r w:rsidR="00B51DFB">
        <w:t xml:space="preserve"> </w:t>
      </w:r>
      <w:r w:rsidRPr="00886053">
        <w:t>One initiative</w:t>
      </w:r>
      <w:r>
        <w:t>, the Northern Transport Network Improvement Program,</w:t>
      </w:r>
      <w:r w:rsidRPr="00886053">
        <w:t xml:space="preserve"> has been </w:t>
      </w:r>
      <w:r>
        <w:t>re</w:t>
      </w:r>
      <w:r w:rsidRPr="00886053">
        <w:t>move</w:t>
      </w:r>
      <w:r>
        <w:t xml:space="preserve">d from the </w:t>
      </w:r>
      <w:r w:rsidR="00224CDD">
        <w:t>l</w:t>
      </w:r>
      <w:r w:rsidR="00224CDD" w:rsidRPr="00886053">
        <w:t>ist</w:t>
      </w:r>
      <w:r w:rsidR="00224CDD">
        <w:t xml:space="preserve"> of </w:t>
      </w:r>
      <w:r w:rsidR="00B749AF">
        <w:t>i</w:t>
      </w:r>
      <w:r w:rsidR="00B749AF" w:rsidRPr="00886053">
        <w:t>nitiative</w:t>
      </w:r>
      <w:r w:rsidR="00B749AF">
        <w:t xml:space="preserve">s requiring </w:t>
      </w:r>
      <w:r w:rsidR="00224CDD">
        <w:t xml:space="preserve">progress </w:t>
      </w:r>
      <w:r>
        <w:t>due to significan</w:t>
      </w:r>
      <w:r w:rsidR="002C4B52">
        <w:t>t improvements in</w:t>
      </w:r>
      <w:r>
        <w:t xml:space="preserve"> effectiveness and efficiency.</w:t>
      </w:r>
      <w:r w:rsidR="00B51DFB">
        <w:t xml:space="preserve"> </w:t>
      </w:r>
      <w:r>
        <w:t xml:space="preserve">The </w:t>
      </w:r>
      <w:r w:rsidR="00B749AF" w:rsidRPr="00B749AF">
        <w:rPr>
          <w:lang w:val="en-US"/>
        </w:rPr>
        <w:t xml:space="preserve">Education for All: Fast Track Initiative </w:t>
      </w:r>
      <w:r>
        <w:t>also increased its efficiency rating to adequate</w:t>
      </w:r>
      <w:r w:rsidR="00B749AF">
        <w:t xml:space="preserve"> </w:t>
      </w:r>
      <w:r>
        <w:t xml:space="preserve">due to considerable efforts by the Lao Government </w:t>
      </w:r>
      <w:r w:rsidR="00B749AF">
        <w:t xml:space="preserve">to </w:t>
      </w:r>
      <w:r>
        <w:t>improv</w:t>
      </w:r>
      <w:r w:rsidR="00B749AF">
        <w:t xml:space="preserve">e </w:t>
      </w:r>
      <w:r>
        <w:t>program expenditure.</w:t>
      </w:r>
      <w:r w:rsidR="002C4B52">
        <w:t xml:space="preserve"> Efficiency and effectiveness ratings for the Poverty Reduction Fund Phase 2 were rated less than adequate due to significant delays in implementation.</w:t>
      </w:r>
    </w:p>
    <w:p w14:paraId="491AEEAC" w14:textId="4B7FBF9F" w:rsidR="00626783" w:rsidRPr="001A2426" w:rsidRDefault="00626783" w:rsidP="001A2426">
      <w:pPr>
        <w:pStyle w:val="Heading2"/>
      </w:pPr>
      <w:r w:rsidRPr="001A2426">
        <w:t xml:space="preserve">Inclusive </w:t>
      </w:r>
      <w:r w:rsidR="006B2FF1" w:rsidRPr="001A2426">
        <w:t>development</w:t>
      </w:r>
    </w:p>
    <w:p w14:paraId="29431281" w14:textId="2AB95774" w:rsidR="00626783" w:rsidRPr="001A2426" w:rsidRDefault="00626783" w:rsidP="001A2426">
      <w:pPr>
        <w:pStyle w:val="BodyText"/>
      </w:pPr>
      <w:r w:rsidRPr="001A2426">
        <w:t>In 2012</w:t>
      </w:r>
      <w:r w:rsidR="006B2FF1" w:rsidRPr="001A2426">
        <w:t>–</w:t>
      </w:r>
      <w:r w:rsidRPr="001A2426">
        <w:t>13, several independent evaluations and reviews were prepared for Laos Country Program initiatives (</w:t>
      </w:r>
      <w:r w:rsidR="006B2FF1" w:rsidRPr="001A2426">
        <w:t>see</w:t>
      </w:r>
      <w:r w:rsidRPr="001A2426">
        <w:t xml:space="preserve"> Annex C, Table 1). This work produced a rich range of data, impact analysis and lessons</w:t>
      </w:r>
      <w:r w:rsidR="006B2FF1" w:rsidRPr="001A2426">
        <w:t>,</w:t>
      </w:r>
      <w:r w:rsidRPr="001A2426">
        <w:t xml:space="preserve"> which</w:t>
      </w:r>
      <w:r w:rsidR="00A06F2D" w:rsidRPr="001A2426">
        <w:t>, among other things,</w:t>
      </w:r>
      <w:r w:rsidRPr="001A2426">
        <w:t xml:space="preserve"> enhanced the Laos Country Program </w:t>
      </w:r>
      <w:r w:rsidR="006B2FF1" w:rsidRPr="001A2426">
        <w:t xml:space="preserve">team’s </w:t>
      </w:r>
      <w:r w:rsidRPr="001A2426">
        <w:t xml:space="preserve">ability to </w:t>
      </w:r>
      <w:proofErr w:type="gramStart"/>
      <w:r w:rsidR="00A06F2D" w:rsidRPr="001A2426">
        <w:t>better</w:t>
      </w:r>
      <w:proofErr w:type="gramEnd"/>
      <w:r w:rsidR="00A06F2D" w:rsidRPr="001A2426">
        <w:t xml:space="preserve"> understand inclusive development </w:t>
      </w:r>
      <w:r w:rsidR="008700F7" w:rsidRPr="001A2426">
        <w:t xml:space="preserve">issues </w:t>
      </w:r>
      <w:r w:rsidR="00200B1D" w:rsidRPr="001A2426">
        <w:t>and identify opportunities for further integration of the</w:t>
      </w:r>
      <w:r w:rsidR="008700F7" w:rsidRPr="001A2426">
        <w:t>se into current and future aid activities.</w:t>
      </w:r>
    </w:p>
    <w:p w14:paraId="0D29A66C" w14:textId="77777777" w:rsidR="00CD6ED4" w:rsidRPr="001A2426" w:rsidRDefault="00955164" w:rsidP="001A2426">
      <w:pPr>
        <w:pStyle w:val="Heading2"/>
      </w:pPr>
      <w:r w:rsidRPr="001A2426">
        <w:t>Gender</w:t>
      </w:r>
    </w:p>
    <w:p w14:paraId="11E2429F" w14:textId="7D502D2A" w:rsidR="007B0C81" w:rsidRDefault="00160FAE" w:rsidP="001A2426">
      <w:pPr>
        <w:pStyle w:val="BodyText"/>
      </w:pPr>
      <w:r>
        <w:t>The Office</w:t>
      </w:r>
      <w:r w:rsidR="00F114D4">
        <w:t xml:space="preserve"> of Development Effectiveness </w:t>
      </w:r>
      <w:r w:rsidR="00200B1D">
        <w:t>conducted an evaluation of the Laos Country Program in December 2012 as part of a</w:t>
      </w:r>
      <w:r>
        <w:t xml:space="preserve"> larger</w:t>
      </w:r>
      <w:r w:rsidR="00200B1D">
        <w:t xml:space="preserve"> </w:t>
      </w:r>
      <w:r w:rsidR="006B2FF1">
        <w:t xml:space="preserve">review </w:t>
      </w:r>
      <w:r w:rsidR="00F114D4">
        <w:t xml:space="preserve">of </w:t>
      </w:r>
      <w:r w:rsidR="00200B1D">
        <w:t>women’s economic empowerment</w:t>
      </w:r>
      <w:r w:rsidR="00F114D4">
        <w:t xml:space="preserve">. </w:t>
      </w:r>
      <w:r w:rsidR="00381443">
        <w:t>F</w:t>
      </w:r>
      <w:r w:rsidR="00F114D4">
        <w:t>ive main initiative</w:t>
      </w:r>
      <w:r w:rsidR="00381443">
        <w:t xml:space="preserve">s were </w:t>
      </w:r>
      <w:r w:rsidR="00381443" w:rsidRPr="007A69EF">
        <w:t xml:space="preserve">examined. </w:t>
      </w:r>
      <w:r w:rsidR="00381443" w:rsidRPr="00643DE3">
        <w:t xml:space="preserve">Initial </w:t>
      </w:r>
      <w:r w:rsidR="00D3670A" w:rsidRPr="00643DE3">
        <w:t xml:space="preserve">informal </w:t>
      </w:r>
      <w:r w:rsidR="00381443" w:rsidRPr="00643DE3">
        <w:t>feedback</w:t>
      </w:r>
      <w:r w:rsidR="00381443" w:rsidRPr="007A69EF">
        <w:t xml:space="preserve"> from the evaluation team indicate</w:t>
      </w:r>
      <w:r w:rsidR="006B2FF1">
        <w:t>s</w:t>
      </w:r>
      <w:r w:rsidR="00381443">
        <w:t xml:space="preserve"> that the </w:t>
      </w:r>
      <w:r w:rsidR="00F114D4">
        <w:t xml:space="preserve">Laos Country Program has a good gender focus in its strategy and </w:t>
      </w:r>
      <w:r w:rsidR="00F114D4">
        <w:lastRenderedPageBreak/>
        <w:t>program</w:t>
      </w:r>
      <w:r w:rsidR="00FC39B1">
        <w:t>m</w:t>
      </w:r>
      <w:r w:rsidR="00F114D4">
        <w:t>ing</w:t>
      </w:r>
      <w:r w:rsidR="006B2FF1">
        <w:t>,</w:t>
      </w:r>
      <w:r w:rsidR="006B2FF1" w:rsidRPr="00C645CE">
        <w:rPr>
          <w:rStyle w:val="FootnoteReference"/>
          <w:sz w:val="20"/>
          <w:vertAlign w:val="superscript"/>
        </w:rPr>
        <w:footnoteReference w:id="45"/>
      </w:r>
      <w:r w:rsidR="006B2FF1">
        <w:t xml:space="preserve"> and that </w:t>
      </w:r>
      <w:r w:rsidR="00D158EB">
        <w:t>support to</w:t>
      </w:r>
      <w:r w:rsidR="00200B1D">
        <w:t xml:space="preserve"> education, trade, investment and rural development </w:t>
      </w:r>
      <w:r w:rsidR="00D158EB" w:rsidRPr="00200B1D">
        <w:t>ha</w:t>
      </w:r>
      <w:r w:rsidR="00D158EB">
        <w:t>s</w:t>
      </w:r>
      <w:r w:rsidR="00D158EB" w:rsidRPr="00200B1D">
        <w:t xml:space="preserve"> </w:t>
      </w:r>
      <w:r w:rsidR="00200B1D" w:rsidRPr="00200B1D">
        <w:t xml:space="preserve">the potential to positively influence women’s economic capacity, outcomes, and, </w:t>
      </w:r>
      <w:r w:rsidR="00834477">
        <w:t>in the long term, empowerment.</w:t>
      </w:r>
      <w:r w:rsidR="001C09D2">
        <w:t xml:space="preserve"> </w:t>
      </w:r>
      <w:r w:rsidR="006B46BA">
        <w:t>Violence against women emerged as an issue of concern and an area where future support may be warranted.</w:t>
      </w:r>
    </w:p>
    <w:p w14:paraId="302288E2" w14:textId="61F7A1CE" w:rsidR="00C70B76" w:rsidRPr="007A69EF" w:rsidRDefault="005F593D" w:rsidP="001A2426">
      <w:pPr>
        <w:pStyle w:val="BodyText"/>
      </w:pPr>
      <w:r w:rsidRPr="007A69EF">
        <w:t>Across the Laos Country Program there</w:t>
      </w:r>
      <w:r w:rsidR="00C70B76" w:rsidRPr="007A69EF">
        <w:t xml:space="preserve"> was mixed performance </w:t>
      </w:r>
      <w:r w:rsidRPr="007A69EF">
        <w:t xml:space="preserve">in the area of </w:t>
      </w:r>
      <w:r w:rsidR="00C70B76" w:rsidRPr="007A69EF">
        <w:t>gender equality</w:t>
      </w:r>
      <w:r w:rsidRPr="007A69EF">
        <w:t>. T</w:t>
      </w:r>
      <w:r w:rsidR="00C70B76" w:rsidRPr="007A69EF">
        <w:t>hree initiatives show</w:t>
      </w:r>
      <w:r w:rsidRPr="007A69EF">
        <w:t>ed</w:t>
      </w:r>
      <w:r w:rsidR="00C70B76" w:rsidRPr="007A69EF">
        <w:t xml:space="preserve"> improvements in this area, particular</w:t>
      </w:r>
      <w:r w:rsidR="00DA3F34" w:rsidRPr="007A69EF">
        <w:t xml:space="preserve">ly </w:t>
      </w:r>
      <w:r w:rsidR="00C70B76" w:rsidRPr="007A69EF">
        <w:t>under rural development</w:t>
      </w:r>
      <w:r w:rsidR="003A1DA3" w:rsidRPr="007A69EF">
        <w:t xml:space="preserve"> </w:t>
      </w:r>
      <w:r w:rsidR="00D97C81" w:rsidRPr="007A69EF">
        <w:t>(</w:t>
      </w:r>
      <w:r w:rsidR="006B2FF1">
        <w:t xml:space="preserve">the </w:t>
      </w:r>
      <w:r w:rsidR="006B2FF1" w:rsidRPr="006B2FF1">
        <w:rPr>
          <w:lang w:val="en-US"/>
        </w:rPr>
        <w:t>Laos</w:t>
      </w:r>
      <w:r w:rsidR="00643DE3">
        <w:rPr>
          <w:lang w:val="en-US"/>
        </w:rPr>
        <w:t>–</w:t>
      </w:r>
      <w:r w:rsidR="006B2FF1" w:rsidRPr="006B2FF1">
        <w:rPr>
          <w:lang w:val="en-US"/>
        </w:rPr>
        <w:t>Australia NGO Cooperation Agreement</w:t>
      </w:r>
      <w:r w:rsidR="006B2FF1">
        <w:rPr>
          <w:lang w:val="en-US"/>
        </w:rPr>
        <w:t xml:space="preserve"> program</w:t>
      </w:r>
      <w:r w:rsidR="00D97C81" w:rsidRPr="007A69EF">
        <w:t xml:space="preserve">, </w:t>
      </w:r>
      <w:r w:rsidR="006B2FF1" w:rsidRPr="006B2FF1">
        <w:rPr>
          <w:lang w:val="en-US"/>
        </w:rPr>
        <w:t xml:space="preserve">Northern Transport Network Improvement Project </w:t>
      </w:r>
      <w:r w:rsidR="00D97C81" w:rsidRPr="007A69EF">
        <w:t xml:space="preserve">and </w:t>
      </w:r>
      <w:r w:rsidR="006B2FF1" w:rsidRPr="006B2FF1">
        <w:rPr>
          <w:lang w:val="en-US"/>
        </w:rPr>
        <w:t>Rural Electrification Program Phase 1</w:t>
      </w:r>
      <w:r w:rsidR="00D97C81" w:rsidRPr="007A69EF">
        <w:t>)</w:t>
      </w:r>
      <w:r w:rsidR="006B2FF1">
        <w:t xml:space="preserve">, </w:t>
      </w:r>
      <w:r w:rsidRPr="007A69EF">
        <w:t>however there was</w:t>
      </w:r>
      <w:r w:rsidR="00C70B76" w:rsidRPr="007A69EF">
        <w:t xml:space="preserve"> some decline in </w:t>
      </w:r>
      <w:r w:rsidRPr="007A69EF">
        <w:t xml:space="preserve">performance </w:t>
      </w:r>
      <w:r w:rsidR="00C70B76" w:rsidRPr="007A69EF">
        <w:t>for trade and investment and education</w:t>
      </w:r>
      <w:r w:rsidR="006B2FF1">
        <w:t xml:space="preserve">, including with the </w:t>
      </w:r>
      <w:r w:rsidR="006B2FF1" w:rsidRPr="006B2FF1">
        <w:rPr>
          <w:lang w:val="en-US"/>
        </w:rPr>
        <w:t>Education for All: Fast Track Initiative</w:t>
      </w:r>
      <w:r w:rsidR="00D97C81" w:rsidRPr="007A69EF">
        <w:t xml:space="preserve"> </w:t>
      </w:r>
      <w:r w:rsidRPr="007A69EF">
        <w:t>and</w:t>
      </w:r>
      <w:r w:rsidR="006B2FF1">
        <w:t xml:space="preserve"> </w:t>
      </w:r>
      <w:r w:rsidR="006B2FF1" w:rsidRPr="006B2FF1">
        <w:rPr>
          <w:lang w:val="en-US"/>
        </w:rPr>
        <w:t>Trade Development Facility</w:t>
      </w:r>
      <w:r w:rsidR="00C70B76" w:rsidRPr="007A69EF">
        <w:t xml:space="preserve">. </w:t>
      </w:r>
      <w:r w:rsidR="00D97C81" w:rsidRPr="007A69EF">
        <w:t>T</w:t>
      </w:r>
      <w:r w:rsidR="00C70B76" w:rsidRPr="007A69EF">
        <w:t>he decline in</w:t>
      </w:r>
      <w:r w:rsidRPr="007A69EF">
        <w:t xml:space="preserve"> progress in gender equity </w:t>
      </w:r>
      <w:r w:rsidR="00C70B76" w:rsidRPr="007A69EF">
        <w:t xml:space="preserve">for the </w:t>
      </w:r>
      <w:r w:rsidR="006B2FF1" w:rsidRPr="006B2FF1">
        <w:rPr>
          <w:lang w:val="en-US"/>
        </w:rPr>
        <w:t>Education for All: Fast Track Initiative</w:t>
      </w:r>
      <w:r w:rsidR="006B2FF1" w:rsidRPr="007A69EF">
        <w:t xml:space="preserve"> </w:t>
      </w:r>
      <w:r w:rsidR="00C70B76" w:rsidRPr="007A69EF">
        <w:t xml:space="preserve">was </w:t>
      </w:r>
      <w:r w:rsidRPr="007A69EF">
        <w:t>identified</w:t>
      </w:r>
      <w:r w:rsidR="00C70B76" w:rsidRPr="007A69EF">
        <w:t xml:space="preserve"> </w:t>
      </w:r>
      <w:r w:rsidR="006B2FF1">
        <w:t>through</w:t>
      </w:r>
      <w:r w:rsidR="006B2FF1" w:rsidRPr="007A69EF">
        <w:t xml:space="preserve"> </w:t>
      </w:r>
      <w:r w:rsidR="00C70B76" w:rsidRPr="007A69EF">
        <w:t xml:space="preserve">the program’s </w:t>
      </w:r>
      <w:r w:rsidR="00D158EB" w:rsidRPr="007A69EF">
        <w:t>mid</w:t>
      </w:r>
      <w:r w:rsidR="00D158EB">
        <w:t>-</w:t>
      </w:r>
      <w:r w:rsidR="006B2FF1" w:rsidRPr="007A69EF">
        <w:t>term review</w:t>
      </w:r>
      <w:r w:rsidR="00C70B76" w:rsidRPr="007A69EF">
        <w:t>, which highlighted the need for a comprehensive program-wide gender framework to ensure that program interventions are adequately addressing and monitoring progress towards gender equalit</w:t>
      </w:r>
      <w:r w:rsidRPr="007A69EF">
        <w:t xml:space="preserve">y. For </w:t>
      </w:r>
      <w:r w:rsidR="006B2FF1">
        <w:t xml:space="preserve">the </w:t>
      </w:r>
      <w:r w:rsidR="006B2FF1" w:rsidRPr="006B2FF1">
        <w:rPr>
          <w:lang w:val="en-US"/>
        </w:rPr>
        <w:t>Trade Development Facility</w:t>
      </w:r>
      <w:r w:rsidR="006B2FF1">
        <w:rPr>
          <w:lang w:val="en-US"/>
        </w:rPr>
        <w:t>,</w:t>
      </w:r>
      <w:r w:rsidR="006B2FF1" w:rsidRPr="007A69EF">
        <w:t xml:space="preserve"> </w:t>
      </w:r>
      <w:r w:rsidRPr="007A69EF">
        <w:t xml:space="preserve">the slight decline in progress </w:t>
      </w:r>
      <w:r w:rsidR="00C70B76" w:rsidRPr="007A69EF">
        <w:t>was linked to a more limited production of analytical work on gender due to the program winding down.</w:t>
      </w:r>
    </w:p>
    <w:p w14:paraId="37EA05A4" w14:textId="5A660E74" w:rsidR="00955164" w:rsidRPr="001A2426" w:rsidRDefault="00955164" w:rsidP="001A2426">
      <w:pPr>
        <w:pStyle w:val="Heading2"/>
      </w:pPr>
      <w:r w:rsidRPr="001A2426">
        <w:t xml:space="preserve">Disability </w:t>
      </w:r>
      <w:r w:rsidR="006B2FF1" w:rsidRPr="001A2426">
        <w:t>inclusive development</w:t>
      </w:r>
    </w:p>
    <w:p w14:paraId="27E73F9E" w14:textId="665144D9" w:rsidR="004E5B63" w:rsidRDefault="004E5B63" w:rsidP="001A2426">
      <w:pPr>
        <w:pStyle w:val="BodyText"/>
      </w:pPr>
      <w:r>
        <w:t>The Laos Country Program sustained a strong focus on disability inclusive development in 2012</w:t>
      </w:r>
      <w:r w:rsidR="006B2FF1">
        <w:t>–</w:t>
      </w:r>
      <w:r>
        <w:t xml:space="preserve">13. Disability inclusive education activities, undertaken by Catholic Relief Services, commenced in </w:t>
      </w:r>
      <w:r w:rsidRPr="00FC34DD">
        <w:t>2012.</w:t>
      </w:r>
      <w:r w:rsidRPr="00C645CE">
        <w:rPr>
          <w:rStyle w:val="FootnoteReference"/>
          <w:sz w:val="20"/>
          <w:vertAlign w:val="superscript"/>
        </w:rPr>
        <w:footnoteReference w:id="46"/>
      </w:r>
      <w:r w:rsidR="00B51DFB">
        <w:t xml:space="preserve"> </w:t>
      </w:r>
      <w:r>
        <w:t xml:space="preserve">The </w:t>
      </w:r>
      <w:r w:rsidR="006B2FF1">
        <w:t xml:space="preserve">memorandum of understanding </w:t>
      </w:r>
      <w:r>
        <w:t xml:space="preserve">for this initiative was not finalised until </w:t>
      </w:r>
      <w:r w:rsidRPr="00D3670A">
        <w:t>late 2012,</w:t>
      </w:r>
      <w:r>
        <w:t xml:space="preserve"> </w:t>
      </w:r>
      <w:r w:rsidR="006B2FF1">
        <w:t>which</w:t>
      </w:r>
      <w:r>
        <w:t xml:space="preserve"> delay</w:t>
      </w:r>
      <w:r w:rsidR="006B2FF1">
        <w:t xml:space="preserve">ed </w:t>
      </w:r>
      <w:r>
        <w:t>implementation, but significant preparatory work was undertaken in early 2013.</w:t>
      </w:r>
      <w:r w:rsidR="00B51DFB">
        <w:t xml:space="preserve"> </w:t>
      </w:r>
    </w:p>
    <w:p w14:paraId="6D805E79" w14:textId="10F72A38" w:rsidR="008700F7" w:rsidRPr="00D3670A" w:rsidRDefault="008700F7" w:rsidP="001A2426">
      <w:pPr>
        <w:pStyle w:val="BodyText"/>
        <w:rPr>
          <w:lang w:val="en-US"/>
        </w:rPr>
      </w:pPr>
      <w:r>
        <w:t xml:space="preserve">The Cooperative for Orthotic and Prosthetic Enterprise, partly funded by Australia, treated more than </w:t>
      </w:r>
      <w:r w:rsidRPr="00AC1CD2">
        <w:t>8</w:t>
      </w:r>
      <w:r>
        <w:t>00</w:t>
      </w:r>
      <w:r w:rsidRPr="00AC1CD2">
        <w:t xml:space="preserve"> patients</w:t>
      </w:r>
      <w:r w:rsidR="001E3E14" w:rsidRPr="001E3E14">
        <w:t xml:space="preserve"> </w:t>
      </w:r>
      <w:r w:rsidR="001E3E14">
        <w:t>in 2012–13</w:t>
      </w:r>
      <w:r>
        <w:t xml:space="preserve">, </w:t>
      </w:r>
      <w:r w:rsidRPr="00AC1CD2">
        <w:t xml:space="preserve">205 of </w:t>
      </w:r>
      <w:r w:rsidR="001E3E14">
        <w:t>who</w:t>
      </w:r>
      <w:r w:rsidR="001E3E14" w:rsidRPr="00AC1CD2">
        <w:t xml:space="preserve"> </w:t>
      </w:r>
      <w:r w:rsidRPr="00AC1CD2">
        <w:t xml:space="preserve">were </w:t>
      </w:r>
      <w:r w:rsidR="001E3E14" w:rsidRPr="001E3E14">
        <w:rPr>
          <w:lang w:val="en-US"/>
        </w:rPr>
        <w:t xml:space="preserve">unexploded ordnance </w:t>
      </w:r>
      <w:r>
        <w:t xml:space="preserve">accident </w:t>
      </w:r>
      <w:r w:rsidRPr="00AC1CD2">
        <w:t xml:space="preserve">survivors. </w:t>
      </w:r>
      <w:r w:rsidR="001E3E14">
        <w:t>The initiative</w:t>
      </w:r>
      <w:r w:rsidR="001E3E14" w:rsidRPr="00AC1CD2">
        <w:t xml:space="preserve"> </w:t>
      </w:r>
      <w:r w:rsidRPr="00AC1CD2">
        <w:t>also continued to build the clinical capacity of the national physical rehabilitation team</w:t>
      </w:r>
      <w:r>
        <w:t>, p</w:t>
      </w:r>
      <w:r w:rsidRPr="00AC1CD2">
        <w:t>rovid</w:t>
      </w:r>
      <w:r>
        <w:t>ing</w:t>
      </w:r>
      <w:r w:rsidRPr="00AC1CD2">
        <w:t xml:space="preserve"> over 700 hours of training for 68 staff from the five </w:t>
      </w:r>
      <w:r w:rsidRPr="002758F2">
        <w:t xml:space="preserve">rehabilitation </w:t>
      </w:r>
      <w:r>
        <w:t>centres across the country.</w:t>
      </w:r>
    </w:p>
    <w:p w14:paraId="70B52C22" w14:textId="7424AEFE" w:rsidR="004E5B63" w:rsidRPr="008700F7" w:rsidRDefault="004E5B63" w:rsidP="001A2426">
      <w:pPr>
        <w:pStyle w:val="BodyText"/>
      </w:pPr>
      <w:r>
        <w:rPr>
          <w:kern w:val="28"/>
          <w:szCs w:val="28"/>
        </w:rPr>
        <w:t>For the first time in the current Laos</w:t>
      </w:r>
      <w:r w:rsidR="001E3E14">
        <w:rPr>
          <w:kern w:val="28"/>
          <w:szCs w:val="28"/>
        </w:rPr>
        <w:t>–</w:t>
      </w:r>
      <w:r>
        <w:rPr>
          <w:kern w:val="28"/>
          <w:szCs w:val="28"/>
        </w:rPr>
        <w:t>Australia Scholarships Program, the 2012 cohort included two scholars with disabilit</w:t>
      </w:r>
      <w:r w:rsidR="001E3E14">
        <w:rPr>
          <w:kern w:val="28"/>
          <w:szCs w:val="28"/>
        </w:rPr>
        <w:t xml:space="preserve">y. </w:t>
      </w:r>
      <w:r>
        <w:rPr>
          <w:kern w:val="28"/>
          <w:szCs w:val="28"/>
        </w:rPr>
        <w:t xml:space="preserve">Considerable efforts were made by the Laos Country Program to ensure sufficient support in readying these students for study in Australia. </w:t>
      </w:r>
      <w:r w:rsidR="00016BF7">
        <w:rPr>
          <w:kern w:val="28"/>
          <w:szCs w:val="28"/>
        </w:rPr>
        <w:t xml:space="preserve">There were significant delays </w:t>
      </w:r>
      <w:r w:rsidR="00CF5077">
        <w:rPr>
          <w:kern w:val="28"/>
          <w:szCs w:val="28"/>
        </w:rPr>
        <w:t>in mobilising one high-needs student due to weaknesses in</w:t>
      </w:r>
      <w:r w:rsidR="00643EFF">
        <w:rPr>
          <w:kern w:val="28"/>
          <w:szCs w:val="28"/>
        </w:rPr>
        <w:t xml:space="preserve"> </w:t>
      </w:r>
      <w:r w:rsidR="00160FAE">
        <w:rPr>
          <w:kern w:val="28"/>
          <w:szCs w:val="28"/>
        </w:rPr>
        <w:t>the Australian Government</w:t>
      </w:r>
      <w:r w:rsidR="00CF5077">
        <w:rPr>
          <w:kern w:val="28"/>
          <w:szCs w:val="28"/>
        </w:rPr>
        <w:t xml:space="preserve">’s disability support processes that are currently not able to </w:t>
      </w:r>
      <w:r w:rsidR="00CF5077" w:rsidRPr="008700F7">
        <w:t xml:space="preserve">meet expectations outlined in </w:t>
      </w:r>
      <w:r w:rsidR="00160FAE">
        <w:t>DFAT</w:t>
      </w:r>
      <w:r w:rsidR="00CF5077" w:rsidRPr="008700F7">
        <w:t xml:space="preserve">’s </w:t>
      </w:r>
      <w:r w:rsidR="00846C16" w:rsidRPr="008700F7">
        <w:t>Development</w:t>
      </w:r>
      <w:r w:rsidR="00CF5077" w:rsidRPr="008700F7">
        <w:t xml:space="preserve"> for All policy.</w:t>
      </w:r>
      <w:r w:rsidR="008700F7" w:rsidRPr="008700F7">
        <w:t xml:space="preserve"> </w:t>
      </w:r>
    </w:p>
    <w:p w14:paraId="716B0F02" w14:textId="3E5A49B3" w:rsidR="00FB22AA" w:rsidRDefault="008700F7" w:rsidP="001A2426">
      <w:pPr>
        <w:pStyle w:val="BodyText"/>
      </w:pPr>
      <w:r w:rsidRPr="008700F7">
        <w:t>Further w</w:t>
      </w:r>
      <w:r w:rsidR="00FB22AA" w:rsidRPr="008700F7">
        <w:t xml:space="preserve">ork to enhance </w:t>
      </w:r>
      <w:r w:rsidR="00F114D4" w:rsidRPr="008700F7">
        <w:t>understanding of disability in Laos, particularly in relation to</w:t>
      </w:r>
      <w:r w:rsidR="00F114D4">
        <w:t xml:space="preserve"> the education sector</w:t>
      </w:r>
      <w:r w:rsidR="00FB22AA">
        <w:t>, was conducted</w:t>
      </w:r>
      <w:r>
        <w:t xml:space="preserve"> in 2012</w:t>
      </w:r>
      <w:r w:rsidR="00F114D4">
        <w:t xml:space="preserve">. A comprehensive </w:t>
      </w:r>
      <w:r w:rsidR="001E3E14">
        <w:t xml:space="preserve">situational analysis on disability inclusive education </w:t>
      </w:r>
      <w:r w:rsidR="00F114D4">
        <w:t>provided a greater understanding of the different barriers faced by children with disabilit</w:t>
      </w:r>
      <w:r w:rsidR="00FB22AA">
        <w:t xml:space="preserve">y in accessing basic education. This analysis also </w:t>
      </w:r>
      <w:r w:rsidR="00F114D4">
        <w:t>provided recommendations for how these barriers can be address</w:t>
      </w:r>
      <w:r w:rsidR="001E3E14">
        <w:t>ed</w:t>
      </w:r>
      <w:r w:rsidR="00F114D4">
        <w:t xml:space="preserve"> through future </w:t>
      </w:r>
      <w:r w:rsidR="00160FAE">
        <w:t>DFAT</w:t>
      </w:r>
      <w:r w:rsidR="00F114D4">
        <w:t xml:space="preserve"> investments in the sector.</w:t>
      </w:r>
      <w:r w:rsidR="00FB22AA">
        <w:t xml:space="preserve"> </w:t>
      </w:r>
      <w:r w:rsidR="001E3E14">
        <w:t xml:space="preserve">It </w:t>
      </w:r>
      <w:r w:rsidR="00FB22AA">
        <w:t xml:space="preserve">has directly informed the preparation of the </w:t>
      </w:r>
      <w:r w:rsidR="001E3E14">
        <w:t>education sector delivery strategy</w:t>
      </w:r>
      <w:r w:rsidR="004E5B63">
        <w:t>, and will be an important reference during the design of the new education program.</w:t>
      </w:r>
    </w:p>
    <w:p w14:paraId="332BA6E7" w14:textId="7FD1F5B3" w:rsidR="00241E1F" w:rsidRPr="001A2426" w:rsidRDefault="00241E1F" w:rsidP="001A2426">
      <w:pPr>
        <w:pStyle w:val="Heading2"/>
      </w:pPr>
      <w:r w:rsidRPr="001A2426">
        <w:lastRenderedPageBreak/>
        <w:t>Partnerships</w:t>
      </w:r>
      <w:r w:rsidR="00A74EDC" w:rsidRPr="001A2426">
        <w:t xml:space="preserve"> </w:t>
      </w:r>
    </w:p>
    <w:p w14:paraId="2CAECA67" w14:textId="161ED221" w:rsidR="00456BAF" w:rsidRPr="00456BAF" w:rsidRDefault="00456BAF" w:rsidP="001A2426">
      <w:pPr>
        <w:pStyle w:val="BodyText"/>
      </w:pPr>
      <w:r w:rsidRPr="00456BAF">
        <w:t>The World Bank is our largest single partner delivering an estimated 29 per cent of bilateral aid funds to implement aid activities in 2012</w:t>
      </w:r>
      <w:r w:rsidR="00BA1C9E">
        <w:t>–</w:t>
      </w:r>
      <w:r w:rsidRPr="00456BAF">
        <w:t xml:space="preserve">13. This represents a 24 per cent decrease on the 2011 figure, and reflects a risk mitigation approach taken by the country program, </w:t>
      </w:r>
      <w:r w:rsidR="00BA1C9E">
        <w:t xml:space="preserve">which was </w:t>
      </w:r>
      <w:r w:rsidRPr="00456BAF">
        <w:t xml:space="preserve">established in the 2011 </w:t>
      </w:r>
      <w:r w:rsidR="00BA1C9E">
        <w:t xml:space="preserve">Annual Program Performance Review. This will </w:t>
      </w:r>
      <w:r w:rsidR="00777814">
        <w:t xml:space="preserve">minimise over exposure to </w:t>
      </w:r>
      <w:r w:rsidR="00936B9C">
        <w:t xml:space="preserve">a single partner </w:t>
      </w:r>
      <w:r w:rsidR="00777814">
        <w:t xml:space="preserve">and </w:t>
      </w:r>
      <w:r w:rsidR="00BA1C9E">
        <w:t>enable</w:t>
      </w:r>
      <w:r w:rsidRPr="00456BAF">
        <w:t xml:space="preserve"> a more equitable balance </w:t>
      </w:r>
      <w:r w:rsidR="00BA1C9E">
        <w:t xml:space="preserve">to be achieved </w:t>
      </w:r>
      <w:r w:rsidRPr="00456BAF">
        <w:t>between delivery partners and the proportion of Australian aid they deliver.</w:t>
      </w:r>
    </w:p>
    <w:p w14:paraId="4897AD21" w14:textId="6D9D7DB3" w:rsidR="00456BAF" w:rsidRPr="00456BAF" w:rsidRDefault="00456BAF" w:rsidP="001A2426">
      <w:pPr>
        <w:pStyle w:val="BodyText"/>
      </w:pPr>
      <w:r>
        <w:t>In addition to the</w:t>
      </w:r>
      <w:r w:rsidR="00241E1F" w:rsidRPr="00456BAF">
        <w:t xml:space="preserve"> sector-specific interventions</w:t>
      </w:r>
      <w:r>
        <w:t xml:space="preserve"> that the World Bank delivers</w:t>
      </w:r>
      <w:r w:rsidR="00241E1F" w:rsidRPr="00456BAF">
        <w:t xml:space="preserve">, </w:t>
      </w:r>
      <w:r w:rsidR="00160FAE">
        <w:t xml:space="preserve">DFAT </w:t>
      </w:r>
      <w:r w:rsidR="00241E1F" w:rsidRPr="00456BAF">
        <w:t>will be seeking to benefit</w:t>
      </w:r>
      <w:r>
        <w:t xml:space="preserve"> from the </w:t>
      </w:r>
      <w:r w:rsidR="00BA1C9E">
        <w:t>b</w:t>
      </w:r>
      <w:r w:rsidR="00BA1C9E" w:rsidRPr="00456BAF">
        <w:t xml:space="preserve">ank’s </w:t>
      </w:r>
      <w:r w:rsidR="00241E1F" w:rsidRPr="00456BAF">
        <w:t>comparative advantage in human development data analysis, particularly in the areas of poverty and vulnerability</w:t>
      </w:r>
      <w:r w:rsidR="00BA1C9E">
        <w:t xml:space="preserve">. This is </w:t>
      </w:r>
      <w:r w:rsidR="00241E1F" w:rsidRPr="00456BAF">
        <w:t xml:space="preserve">an outcome of </w:t>
      </w:r>
      <w:r w:rsidR="00160FAE">
        <w:t>Australian Government</w:t>
      </w:r>
      <w:r w:rsidR="00D158EB">
        <w:t>–</w:t>
      </w:r>
      <w:r w:rsidR="00241E1F" w:rsidRPr="00456BAF">
        <w:t xml:space="preserve">World Bank High Level Consultations that will help inform work under our education and rural development programs. </w:t>
      </w:r>
      <w:r w:rsidR="00942EC0">
        <w:t>An</w:t>
      </w:r>
      <w:r>
        <w:t xml:space="preserve"> </w:t>
      </w:r>
      <w:r w:rsidRPr="00456BAF">
        <w:t>issue of concern in relation to World Bank implementation of Australia’s aid activities is the use of trust funds. With 28 per cent ($9.7</w:t>
      </w:r>
      <w:r w:rsidR="00BA1C9E">
        <w:t xml:space="preserve"> </w:t>
      </w:r>
      <w:r w:rsidRPr="00456BAF">
        <w:t>million) of Australian aid funding to Laos allocated to World Bank trust funds in 2012</w:t>
      </w:r>
      <w:r w:rsidR="00BA1C9E">
        <w:t>–</w:t>
      </w:r>
      <w:r w:rsidRPr="00456BAF">
        <w:t xml:space="preserve">13 alone, delays in disbursing these have led to significant </w:t>
      </w:r>
      <w:r>
        <w:t>delays in implementation.</w:t>
      </w:r>
    </w:p>
    <w:p w14:paraId="7DD9B169" w14:textId="7A3FBBA5" w:rsidR="00456BAF" w:rsidRPr="00942EC0" w:rsidRDefault="00456BAF" w:rsidP="001A2426">
      <w:pPr>
        <w:pStyle w:val="BodyText"/>
      </w:pPr>
      <w:r w:rsidRPr="00456BAF">
        <w:t xml:space="preserve">United </w:t>
      </w:r>
      <w:r w:rsidR="00942EC0">
        <w:t xml:space="preserve">Nation agencies, namely the </w:t>
      </w:r>
      <w:r w:rsidR="00BA1C9E" w:rsidRPr="00456BAF">
        <w:t xml:space="preserve">United </w:t>
      </w:r>
      <w:r w:rsidR="00BA1C9E">
        <w:t>Nations Development Programme</w:t>
      </w:r>
      <w:r w:rsidRPr="00456BAF">
        <w:t>, th</w:t>
      </w:r>
      <w:r w:rsidR="00942EC0">
        <w:t xml:space="preserve">e </w:t>
      </w:r>
      <w:r w:rsidR="00BA1C9E" w:rsidRPr="00456BAF">
        <w:t xml:space="preserve">United </w:t>
      </w:r>
      <w:r w:rsidR="00BA1C9E">
        <w:t>Nations Children’s Fund</w:t>
      </w:r>
      <w:r w:rsidR="00942EC0">
        <w:t xml:space="preserve">, </w:t>
      </w:r>
      <w:r w:rsidR="00BA1C9E">
        <w:t xml:space="preserve">World Food Programme </w:t>
      </w:r>
      <w:r w:rsidR="00942EC0">
        <w:t xml:space="preserve">and the </w:t>
      </w:r>
      <w:r w:rsidR="00BA1C9E" w:rsidRPr="00456BAF">
        <w:t xml:space="preserve">United </w:t>
      </w:r>
      <w:r w:rsidR="00BA1C9E">
        <w:t>Nations Capital Development Fund</w:t>
      </w:r>
      <w:r w:rsidRPr="00456BAF">
        <w:t xml:space="preserve">, have a collective share of 30 per cent of the </w:t>
      </w:r>
      <w:r w:rsidR="00936B9C">
        <w:t xml:space="preserve">Australian </w:t>
      </w:r>
      <w:r w:rsidRPr="00456BAF">
        <w:t xml:space="preserve">aid budget. </w:t>
      </w:r>
      <w:r w:rsidR="00304BAB">
        <w:t>Each of these agencies has</w:t>
      </w:r>
      <w:r w:rsidR="00942EC0">
        <w:t xml:space="preserve"> extensive experience in the areas where our partnership is focused. </w:t>
      </w:r>
      <w:r w:rsidRPr="00942EC0">
        <w:rPr>
          <w:rFonts w:eastAsia="SimSun"/>
        </w:rPr>
        <w:t xml:space="preserve">There is a degree of inflexibility to </w:t>
      </w:r>
      <w:r w:rsidR="00BA1C9E">
        <w:rPr>
          <w:rFonts w:eastAsia="SimSun"/>
        </w:rPr>
        <w:t>United Nations</w:t>
      </w:r>
      <w:r w:rsidR="00BA1C9E" w:rsidRPr="00942EC0">
        <w:rPr>
          <w:rFonts w:eastAsia="SimSun"/>
        </w:rPr>
        <w:t xml:space="preserve"> </w:t>
      </w:r>
      <w:r w:rsidRPr="00942EC0">
        <w:rPr>
          <w:rFonts w:eastAsia="SimSun"/>
        </w:rPr>
        <w:t>contracting and delivery processes that is of con</w:t>
      </w:r>
      <w:r w:rsidR="00550233" w:rsidRPr="00942EC0">
        <w:rPr>
          <w:rFonts w:eastAsia="SimSun"/>
        </w:rPr>
        <w:t>cern</w:t>
      </w:r>
      <w:r w:rsidRPr="00942EC0">
        <w:rPr>
          <w:rFonts w:eastAsia="SimSun"/>
        </w:rPr>
        <w:t>. During negotiation of several agency agreements in 2012</w:t>
      </w:r>
      <w:r w:rsidR="00BA1C9E">
        <w:rPr>
          <w:rFonts w:eastAsia="SimSun"/>
        </w:rPr>
        <w:t>–</w:t>
      </w:r>
      <w:r w:rsidRPr="00942EC0">
        <w:rPr>
          <w:rFonts w:eastAsia="SimSun"/>
        </w:rPr>
        <w:t>13</w:t>
      </w:r>
      <w:r w:rsidR="00BA1C9E">
        <w:rPr>
          <w:rFonts w:eastAsia="SimSun"/>
        </w:rPr>
        <w:t>,</w:t>
      </w:r>
      <w:r w:rsidRPr="00942EC0">
        <w:rPr>
          <w:rFonts w:eastAsia="SimSun"/>
        </w:rPr>
        <w:t xml:space="preserve"> it became apparent that contract templates did not adequately cover </w:t>
      </w:r>
      <w:r w:rsidR="00160FAE">
        <w:rPr>
          <w:rFonts w:eastAsia="SimSun"/>
        </w:rPr>
        <w:t>Australian Government</w:t>
      </w:r>
      <w:r w:rsidRPr="00942EC0">
        <w:rPr>
          <w:rFonts w:eastAsia="SimSun"/>
        </w:rPr>
        <w:t xml:space="preserve"> fiduciary risk and safeguards requirements. The </w:t>
      </w:r>
      <w:r w:rsidR="00BA1C9E">
        <w:rPr>
          <w:rFonts w:eastAsia="SimSun"/>
        </w:rPr>
        <w:t xml:space="preserve">United Nations’ </w:t>
      </w:r>
      <w:r w:rsidRPr="00942EC0">
        <w:rPr>
          <w:rFonts w:eastAsia="SimSun"/>
        </w:rPr>
        <w:t xml:space="preserve">apparent limited flexibility in changing these agreement templates to meet emerging needs from donors is an issue that will require assistance from </w:t>
      </w:r>
      <w:r w:rsidR="00160FAE">
        <w:rPr>
          <w:rFonts w:eastAsia="SimSun"/>
        </w:rPr>
        <w:t>DFAT</w:t>
      </w:r>
      <w:r w:rsidRPr="00942EC0">
        <w:rPr>
          <w:rFonts w:eastAsia="SimSun"/>
        </w:rPr>
        <w:t xml:space="preserve"> Canberra </w:t>
      </w:r>
      <w:r w:rsidR="00C51405">
        <w:rPr>
          <w:rFonts w:eastAsia="SimSun"/>
        </w:rPr>
        <w:t xml:space="preserve">and New York </w:t>
      </w:r>
      <w:r w:rsidRPr="00942EC0">
        <w:rPr>
          <w:rFonts w:eastAsia="SimSun"/>
        </w:rPr>
        <w:t xml:space="preserve">to address. This inflexibility extends to designing programs to respond to development and donor needs. </w:t>
      </w:r>
    </w:p>
    <w:p w14:paraId="237814F6" w14:textId="0AD948C6" w:rsidR="00942EC0" w:rsidRPr="00205361" w:rsidRDefault="00550233" w:rsidP="001A2426">
      <w:pPr>
        <w:pStyle w:val="BodyText"/>
      </w:pPr>
      <w:r>
        <w:t>I</w:t>
      </w:r>
      <w:r w:rsidR="00456BAF" w:rsidRPr="00550233">
        <w:t>nternatio</w:t>
      </w:r>
      <w:r>
        <w:t xml:space="preserve">nal </w:t>
      </w:r>
      <w:r w:rsidR="00BA1C9E">
        <w:rPr>
          <w:rFonts w:eastAsia="SimSun"/>
        </w:rPr>
        <w:t>non-government organisations</w:t>
      </w:r>
      <w:r w:rsidR="00BA1C9E" w:rsidRPr="00942EC0">
        <w:rPr>
          <w:rFonts w:eastAsia="SimSun"/>
        </w:rPr>
        <w:t xml:space="preserve"> </w:t>
      </w:r>
      <w:r w:rsidR="00456BAF" w:rsidRPr="00550233">
        <w:t xml:space="preserve">(the majority of which are Australian) are responsible for implementing around </w:t>
      </w:r>
      <w:r w:rsidR="00BA1C9E">
        <w:t>nine</w:t>
      </w:r>
      <w:r w:rsidR="00BA1C9E" w:rsidRPr="00550233">
        <w:t xml:space="preserve"> </w:t>
      </w:r>
      <w:r w:rsidR="00456BAF" w:rsidRPr="00550233">
        <w:t>per cent</w:t>
      </w:r>
      <w:r>
        <w:t xml:space="preserve"> of bilateral aid funds to Laos</w:t>
      </w:r>
      <w:r w:rsidR="00304BAB">
        <w:t>.</w:t>
      </w:r>
      <w:r w:rsidR="00B51DFB">
        <w:t xml:space="preserve"> </w:t>
      </w:r>
      <w:r w:rsidR="00304BAB">
        <w:t xml:space="preserve">International </w:t>
      </w:r>
      <w:r w:rsidR="00BA1C9E">
        <w:rPr>
          <w:rFonts w:eastAsia="SimSun"/>
        </w:rPr>
        <w:t>non-government organisations</w:t>
      </w:r>
      <w:r w:rsidR="00BA1C9E" w:rsidRPr="00942EC0">
        <w:rPr>
          <w:rFonts w:eastAsia="SimSun"/>
        </w:rPr>
        <w:t xml:space="preserve"> </w:t>
      </w:r>
      <w:r w:rsidR="00304BAB" w:rsidRPr="002F3E6C">
        <w:t>face a tight operating environment in Laos, particularly in ne</w:t>
      </w:r>
      <w:r w:rsidR="00304BAB">
        <w:t xml:space="preserve">gotiating </w:t>
      </w:r>
      <w:r w:rsidR="00BA1C9E">
        <w:t xml:space="preserve">memorandums of understanding </w:t>
      </w:r>
      <w:r w:rsidR="00304BAB">
        <w:t>with government. Nevertheless t</w:t>
      </w:r>
      <w:r w:rsidR="00304BAB" w:rsidRPr="002F3E6C">
        <w:t xml:space="preserve">he operating space that </w:t>
      </w:r>
      <w:r w:rsidR="00304BAB">
        <w:t xml:space="preserve">civil society occupies was </w:t>
      </w:r>
      <w:r w:rsidR="00304BAB" w:rsidRPr="002F3E6C">
        <w:t>maintained</w:t>
      </w:r>
      <w:r w:rsidR="00304BAB">
        <w:t xml:space="preserve"> in 2012</w:t>
      </w:r>
      <w:r w:rsidR="00BA1C9E">
        <w:t>–</w:t>
      </w:r>
      <w:r w:rsidR="00304BAB">
        <w:t>13</w:t>
      </w:r>
      <w:r w:rsidR="00304BAB" w:rsidRPr="002F3E6C">
        <w:t xml:space="preserve">. In some sectors, such as education, policy dialogue opportunities have broadened for civil society, evidenced by some international </w:t>
      </w:r>
      <w:r w:rsidR="00671820">
        <w:rPr>
          <w:rFonts w:eastAsia="SimSun"/>
        </w:rPr>
        <w:t>non-government organisations</w:t>
      </w:r>
      <w:r w:rsidR="00671820" w:rsidRPr="00942EC0">
        <w:rPr>
          <w:rFonts w:eastAsia="SimSun"/>
        </w:rPr>
        <w:t xml:space="preserve"> </w:t>
      </w:r>
      <w:r w:rsidR="00304BAB" w:rsidRPr="002F3E6C">
        <w:t>being invited by government to co-chair technical working groups</w:t>
      </w:r>
      <w:r w:rsidR="00671820">
        <w:t>,</w:t>
      </w:r>
      <w:r w:rsidR="00671820" w:rsidRPr="002F3E6C">
        <w:t xml:space="preserve"> </w:t>
      </w:r>
      <w:r w:rsidR="00304BAB" w:rsidRPr="002F3E6C">
        <w:t xml:space="preserve">and to co-chair an annual government-led civil society forum (for international and local </w:t>
      </w:r>
      <w:r w:rsidR="00671820">
        <w:rPr>
          <w:rFonts w:eastAsia="SimSun"/>
        </w:rPr>
        <w:t>non-government organisations</w:t>
      </w:r>
      <w:r w:rsidR="00304BAB" w:rsidRPr="002F3E6C">
        <w:t>).</w:t>
      </w:r>
    </w:p>
    <w:p w14:paraId="50C8F91C" w14:textId="15DA4D9C" w:rsidR="00241E1F" w:rsidRDefault="00241E1F" w:rsidP="001A2426">
      <w:pPr>
        <w:pStyle w:val="BodyText"/>
      </w:pPr>
      <w:r w:rsidRPr="002F3E6C">
        <w:t xml:space="preserve">Other government agencies </w:t>
      </w:r>
      <w:r w:rsidR="00671820">
        <w:t xml:space="preserve">also </w:t>
      </w:r>
      <w:r w:rsidRPr="002F3E6C">
        <w:t xml:space="preserve">contributed to the delivery of Australian aid </w:t>
      </w:r>
      <w:r w:rsidR="00304BAB">
        <w:t>to Laos in 2012</w:t>
      </w:r>
      <w:r w:rsidR="00671820">
        <w:t>–</w:t>
      </w:r>
      <w:r w:rsidR="00304BAB">
        <w:t>13.</w:t>
      </w:r>
      <w:r w:rsidR="00B51DFB">
        <w:t xml:space="preserve"> </w:t>
      </w:r>
      <w:r w:rsidR="00304BAB">
        <w:t xml:space="preserve">The </w:t>
      </w:r>
      <w:r w:rsidR="00671820">
        <w:t>Department of Foreign Affairs and Trade</w:t>
      </w:r>
      <w:r w:rsidR="00671820" w:rsidRPr="002F3E6C">
        <w:t xml:space="preserve"> </w:t>
      </w:r>
      <w:r w:rsidRPr="002F3E6C">
        <w:t xml:space="preserve">delivered small value </w:t>
      </w:r>
      <w:r w:rsidR="00671820">
        <w:t>official development assistance</w:t>
      </w:r>
      <w:r w:rsidR="00671820" w:rsidRPr="002F3E6C">
        <w:t xml:space="preserve"> </w:t>
      </w:r>
      <w:r w:rsidRPr="002F3E6C">
        <w:t>eligible activities through the Direct Aid Program and through the South East Asia Discretionary Development Fund.</w:t>
      </w:r>
      <w:r w:rsidRPr="00C645CE">
        <w:rPr>
          <w:rStyle w:val="FootnoteReference"/>
          <w:sz w:val="20"/>
          <w:vertAlign w:val="superscript"/>
        </w:rPr>
        <w:footnoteReference w:id="47"/>
      </w:r>
      <w:r w:rsidR="00B51DFB">
        <w:t xml:space="preserve"> </w:t>
      </w:r>
      <w:r w:rsidR="00C808D6">
        <w:t>T</w:t>
      </w:r>
      <w:r w:rsidRPr="00C808D6">
        <w:t>he Australian Centre for International Agricultur</w:t>
      </w:r>
      <w:r w:rsidR="00C808D6">
        <w:t>al Research in Laos</w:t>
      </w:r>
      <w:r w:rsidRPr="00C808D6">
        <w:t xml:space="preserve"> delivered </w:t>
      </w:r>
      <w:r w:rsidR="00C808D6">
        <w:t>a</w:t>
      </w:r>
      <w:r w:rsidRPr="00C808D6">
        <w:t xml:space="preserve"> research</w:t>
      </w:r>
      <w:r w:rsidR="00C3689F">
        <w:t xml:space="preserve"> program estimated at $5.3</w:t>
      </w:r>
      <w:r w:rsidRPr="00C808D6">
        <w:t xml:space="preserve"> million in 2012</w:t>
      </w:r>
      <w:r w:rsidR="00671820">
        <w:t>–</w:t>
      </w:r>
      <w:r w:rsidRPr="00C808D6">
        <w:t>13 that focused on improving rural household livelihoods and food security.</w:t>
      </w:r>
      <w:r w:rsidRPr="00C645CE">
        <w:rPr>
          <w:sz w:val="20"/>
          <w:vertAlign w:val="superscript"/>
        </w:rPr>
        <w:footnoteReference w:id="48"/>
      </w:r>
    </w:p>
    <w:p w14:paraId="4909758C" w14:textId="5D79E6A2" w:rsidR="00304BAB" w:rsidRPr="00F7197F" w:rsidRDefault="00304BAB" w:rsidP="001A2426">
      <w:pPr>
        <w:pStyle w:val="BodyText"/>
        <w:rPr>
          <w:rFonts w:eastAsia="SimSun"/>
        </w:rPr>
      </w:pPr>
      <w:r w:rsidRPr="00F7197F">
        <w:rPr>
          <w:rFonts w:eastAsia="SimSun"/>
        </w:rPr>
        <w:t xml:space="preserve">The need to more firmly </w:t>
      </w:r>
      <w:r>
        <w:rPr>
          <w:rFonts w:eastAsia="SimSun"/>
        </w:rPr>
        <w:t>establish direct relationships with non-</w:t>
      </w:r>
      <w:r w:rsidR="00F014D9">
        <w:rPr>
          <w:rFonts w:eastAsia="SimSun"/>
        </w:rPr>
        <w:t>OECD</w:t>
      </w:r>
      <w:r>
        <w:rPr>
          <w:rFonts w:eastAsia="SimSun"/>
        </w:rPr>
        <w:t xml:space="preserve"> </w:t>
      </w:r>
      <w:r w:rsidR="00FC39B1">
        <w:rPr>
          <w:rFonts w:eastAsia="SimSun"/>
        </w:rPr>
        <w:t xml:space="preserve">member </w:t>
      </w:r>
      <w:r w:rsidRPr="00F7197F">
        <w:rPr>
          <w:rFonts w:eastAsia="SimSun"/>
        </w:rPr>
        <w:t>donors</w:t>
      </w:r>
      <w:r>
        <w:rPr>
          <w:rFonts w:eastAsia="SimSun"/>
        </w:rPr>
        <w:t xml:space="preserve"> in L</w:t>
      </w:r>
      <w:r w:rsidR="00777814">
        <w:rPr>
          <w:rFonts w:eastAsia="SimSun"/>
        </w:rPr>
        <w:t>aos remains a priority. Non-OECD member</w:t>
      </w:r>
      <w:r>
        <w:rPr>
          <w:rFonts w:eastAsia="SimSun"/>
        </w:rPr>
        <w:t xml:space="preserve"> donor investments in the country continue to </w:t>
      </w:r>
      <w:r>
        <w:rPr>
          <w:rFonts w:eastAsia="SimSun"/>
        </w:rPr>
        <w:lastRenderedPageBreak/>
        <w:t xml:space="preserve">grow, and therefore the need for Australia to foster effective relationships with these donors must intensify. Further efforts need to be made </w:t>
      </w:r>
      <w:r w:rsidR="00777814">
        <w:rPr>
          <w:rFonts w:eastAsia="SimSun"/>
        </w:rPr>
        <w:t>to understand more about non-OECD</w:t>
      </w:r>
      <w:r>
        <w:rPr>
          <w:rFonts w:eastAsia="SimSun"/>
        </w:rPr>
        <w:t xml:space="preserve"> </w:t>
      </w:r>
      <w:r w:rsidR="00777814">
        <w:rPr>
          <w:rFonts w:eastAsia="SimSun"/>
        </w:rPr>
        <w:t xml:space="preserve">member </w:t>
      </w:r>
      <w:r>
        <w:rPr>
          <w:rFonts w:eastAsia="SimSun"/>
        </w:rPr>
        <w:t xml:space="preserve">donor investments and to leverage opportunities for the Australian aid program. In education for example, a planned investment loan from China for </w:t>
      </w:r>
      <w:r w:rsidR="00671820">
        <w:rPr>
          <w:rFonts w:eastAsia="SimSun"/>
        </w:rPr>
        <w:t xml:space="preserve">information and communications technology </w:t>
      </w:r>
      <w:r>
        <w:rPr>
          <w:rFonts w:eastAsia="SimSun"/>
        </w:rPr>
        <w:t xml:space="preserve">hardware in Lao </w:t>
      </w:r>
      <w:r w:rsidR="00671820">
        <w:rPr>
          <w:rFonts w:eastAsia="SimSun"/>
        </w:rPr>
        <w:t>teacher education institut</w:t>
      </w:r>
      <w:r>
        <w:rPr>
          <w:rFonts w:eastAsia="SimSun"/>
        </w:rPr>
        <w:t>es presents a potential opportunity for linking teacher education professional development support planned by Australia to this infrastructure investment.</w:t>
      </w:r>
    </w:p>
    <w:p w14:paraId="0AEF558D" w14:textId="242A4421" w:rsidR="00550233" w:rsidRPr="001A2426" w:rsidRDefault="00304BAB" w:rsidP="001A2426">
      <w:pPr>
        <w:pStyle w:val="Heading2"/>
      </w:pPr>
      <w:r w:rsidRPr="001A2426">
        <w:t xml:space="preserve">Aid </w:t>
      </w:r>
      <w:r w:rsidR="00BA1C9E" w:rsidRPr="001A2426">
        <w:t>effectiveness</w:t>
      </w:r>
    </w:p>
    <w:p w14:paraId="1AB1C5F6" w14:textId="153B3B13" w:rsidR="00FD1ECD" w:rsidRPr="00C3689F" w:rsidRDefault="00380864" w:rsidP="001A2426">
      <w:pPr>
        <w:pStyle w:val="BodyText"/>
      </w:pPr>
      <w:r w:rsidRPr="00304BAB">
        <w:t>At an operational level, 43 per cent (or $15</w:t>
      </w:r>
      <w:r w:rsidR="00671820">
        <w:t xml:space="preserve"> </w:t>
      </w:r>
      <w:r w:rsidRPr="00304BAB">
        <w:t>million) of program funds were allocated to pooled funding mechanisms (trust funds) with the World Ban</w:t>
      </w:r>
      <w:r w:rsidR="00C3689F">
        <w:t>k and U</w:t>
      </w:r>
      <w:r w:rsidR="00671820">
        <w:t xml:space="preserve">nited </w:t>
      </w:r>
      <w:r w:rsidR="00C3689F">
        <w:t>N</w:t>
      </w:r>
      <w:r w:rsidR="00671820">
        <w:t>ations</w:t>
      </w:r>
      <w:r w:rsidR="00C3689F">
        <w:t xml:space="preserve"> agencies</w:t>
      </w:r>
      <w:r w:rsidR="00671820">
        <w:t xml:space="preserve">, </w:t>
      </w:r>
      <w:r w:rsidR="00C3689F">
        <w:t>and</w:t>
      </w:r>
      <w:r w:rsidRPr="00304BAB">
        <w:t xml:space="preserve"> a delegated cooperation agreement with the German </w:t>
      </w:r>
      <w:r w:rsidR="00BF7FB0" w:rsidRPr="0061274A">
        <w:t>Association for International Cooperation</w:t>
      </w:r>
      <w:r w:rsidR="00F90F57">
        <w:t xml:space="preserve"> </w:t>
      </w:r>
      <w:r w:rsidRPr="00304BAB">
        <w:t xml:space="preserve">was finalised to </w:t>
      </w:r>
      <w:r w:rsidR="00671820">
        <w:t>help</w:t>
      </w:r>
      <w:r w:rsidRPr="00304BAB">
        <w:t xml:space="preserve"> the rural poor access finance.</w:t>
      </w:r>
      <w:r w:rsidRPr="00C645CE">
        <w:rPr>
          <w:sz w:val="20"/>
          <w:szCs w:val="20"/>
          <w:vertAlign w:val="superscript"/>
        </w:rPr>
        <w:footnoteReference w:id="49"/>
      </w:r>
      <w:r w:rsidR="00B51DFB">
        <w:rPr>
          <w:sz w:val="20"/>
          <w:szCs w:val="20"/>
          <w:vertAlign w:val="superscript"/>
        </w:rPr>
        <w:t xml:space="preserve"> </w:t>
      </w:r>
      <w:r w:rsidR="00FD1ECD" w:rsidRPr="00C3689F">
        <w:t xml:space="preserve">Australia engaged in aid effectiveness discussions, with a focus </w:t>
      </w:r>
      <w:r w:rsidR="00525F07">
        <w:t>on MDG</w:t>
      </w:r>
      <w:r w:rsidR="00FD1ECD" w:rsidRPr="00C3689F">
        <w:t xml:space="preserve"> attainment, as part of the </w:t>
      </w:r>
      <w:r w:rsidR="00671820">
        <w:t>r</w:t>
      </w:r>
      <w:r w:rsidR="00671820" w:rsidRPr="00C3689F">
        <w:t xml:space="preserve">ound </w:t>
      </w:r>
      <w:r w:rsidR="00671820">
        <w:t>t</w:t>
      </w:r>
      <w:r w:rsidR="00671820" w:rsidRPr="00C3689F">
        <w:t xml:space="preserve">able </w:t>
      </w:r>
      <w:r w:rsidR="00FD1ECD" w:rsidRPr="00C3689F">
        <w:t>process in 2012 and continued this participation in 2013.</w:t>
      </w:r>
      <w:r w:rsidR="00FD1ECD" w:rsidRPr="00C645CE">
        <w:rPr>
          <w:sz w:val="20"/>
          <w:szCs w:val="20"/>
          <w:vertAlign w:val="superscript"/>
        </w:rPr>
        <w:footnoteReference w:id="50"/>
      </w:r>
      <w:r w:rsidR="00B51DFB">
        <w:rPr>
          <w:sz w:val="20"/>
          <w:szCs w:val="20"/>
          <w:vertAlign w:val="superscript"/>
        </w:rPr>
        <w:t xml:space="preserve"> </w:t>
      </w:r>
      <w:r w:rsidR="00525F07">
        <w:t xml:space="preserve">Involvement in these discussions has led to a stronger more collective focus and advocacy on the need for increased </w:t>
      </w:r>
      <w:r w:rsidR="00D20409">
        <w:t xml:space="preserve">government </w:t>
      </w:r>
      <w:r w:rsidR="00525F07">
        <w:t xml:space="preserve">budget allocations to </w:t>
      </w:r>
      <w:r w:rsidR="00D20409">
        <w:t>social sectors, and for the mobilisation of both government and development partner resources to address malnutrition.</w:t>
      </w:r>
    </w:p>
    <w:p w14:paraId="310429A3" w14:textId="63EB1003" w:rsidR="00EF2E2D" w:rsidRPr="00671820" w:rsidRDefault="00EF2E2D" w:rsidP="001A2426">
      <w:pPr>
        <w:pStyle w:val="BodyText"/>
        <w:rPr>
          <w:sz w:val="20"/>
          <w:szCs w:val="20"/>
          <w:vertAlign w:val="superscript"/>
        </w:rPr>
      </w:pPr>
      <w:r w:rsidRPr="00671820">
        <w:t>Po</w:t>
      </w:r>
      <w:r w:rsidR="00C3689F" w:rsidRPr="00671820">
        <w:t>licy dialogue was</w:t>
      </w:r>
      <w:r w:rsidRPr="00671820">
        <w:t xml:space="preserve"> enhanced by several high level visits to Laos during 2012</w:t>
      </w:r>
      <w:r w:rsidR="00671820" w:rsidRPr="00671820">
        <w:t>–</w:t>
      </w:r>
      <w:r w:rsidRPr="00671820">
        <w:t xml:space="preserve">13. </w:t>
      </w:r>
      <w:r w:rsidR="008A1150" w:rsidRPr="00671820">
        <w:t>Th</w:t>
      </w:r>
      <w:r w:rsidR="006620E6" w:rsidRPr="00671820">
        <w:t>ese visits were sparked by Laos</w:t>
      </w:r>
      <w:r w:rsidR="008A1150" w:rsidRPr="00671820">
        <w:t xml:space="preserve"> taking on a more prominent</w:t>
      </w:r>
      <w:r w:rsidR="006620E6" w:rsidRPr="00671820">
        <w:t xml:space="preserve"> leadership role within the international community, as evidenced by </w:t>
      </w:r>
      <w:r w:rsidR="00671820" w:rsidRPr="00671820">
        <w:t xml:space="preserve">the country acting as </w:t>
      </w:r>
      <w:r w:rsidR="006620E6" w:rsidRPr="00671820">
        <w:t xml:space="preserve">host </w:t>
      </w:r>
      <w:r w:rsidR="00671820" w:rsidRPr="00671820">
        <w:t>for the Asia–Europe meeting (</w:t>
      </w:r>
      <w:r w:rsidR="006620E6" w:rsidRPr="00671820">
        <w:t>ASEM</w:t>
      </w:r>
      <w:r w:rsidR="00671820" w:rsidRPr="00671820">
        <w:t>)</w:t>
      </w:r>
      <w:r w:rsidR="006620E6" w:rsidRPr="00671820">
        <w:t xml:space="preserve">. Visits included </w:t>
      </w:r>
      <w:r w:rsidR="00671820" w:rsidRPr="00671820">
        <w:t xml:space="preserve">former </w:t>
      </w:r>
      <w:r w:rsidRPr="00671820">
        <w:t>Australian Prime Minister</w:t>
      </w:r>
      <w:r w:rsidR="00671820" w:rsidRPr="00671820">
        <w:t>, Julia Gillard</w:t>
      </w:r>
      <w:r w:rsidRPr="00671820">
        <w:t>, who announced two major new investments in rural development and human resource development</w:t>
      </w:r>
      <w:r w:rsidR="00671820" w:rsidRPr="00671820">
        <w:t xml:space="preserve">, </w:t>
      </w:r>
      <w:r w:rsidRPr="00671820">
        <w:t xml:space="preserve">the Minister of Foreign Affairs, </w:t>
      </w:r>
      <w:r w:rsidR="00671820" w:rsidRPr="00671820">
        <w:t xml:space="preserve">Senator Bob Carr, </w:t>
      </w:r>
      <w:r w:rsidRPr="00671820">
        <w:t xml:space="preserve">who advocated for </w:t>
      </w:r>
      <w:r w:rsidR="00671820" w:rsidRPr="00671820">
        <w:rPr>
          <w:lang w:val="en-US"/>
        </w:rPr>
        <w:t>unexploded ordnance</w:t>
      </w:r>
      <w:r w:rsidR="00671820">
        <w:rPr>
          <w:lang w:val="en-US"/>
        </w:rPr>
        <w:t xml:space="preserve"> </w:t>
      </w:r>
      <w:r w:rsidRPr="00671820">
        <w:t>action</w:t>
      </w:r>
      <w:r w:rsidR="00671820">
        <w:t>,</w:t>
      </w:r>
      <w:r w:rsidR="00671820" w:rsidRPr="00671820">
        <w:t xml:space="preserve"> </w:t>
      </w:r>
      <w:r w:rsidRPr="00671820">
        <w:t>two</w:t>
      </w:r>
      <w:r w:rsidR="00777814" w:rsidRPr="00671820">
        <w:t xml:space="preserve"> parliamentary delegations, which</w:t>
      </w:r>
      <w:r w:rsidRPr="00671820">
        <w:t xml:space="preserve"> focused on issues of regional and Laos-specific importance such as education</w:t>
      </w:r>
      <w:r w:rsidR="00671820">
        <w:t xml:space="preserve">, </w:t>
      </w:r>
      <w:r w:rsidRPr="00671820">
        <w:t xml:space="preserve">and a visit from </w:t>
      </w:r>
      <w:r w:rsidR="00671820">
        <w:t xml:space="preserve">Mr Simon </w:t>
      </w:r>
      <w:proofErr w:type="spellStart"/>
      <w:r w:rsidR="00671820">
        <w:t>Crean</w:t>
      </w:r>
      <w:proofErr w:type="spellEnd"/>
      <w:r w:rsidR="00671820">
        <w:t xml:space="preserve"> MP</w:t>
      </w:r>
      <w:r w:rsidRPr="00671820">
        <w:t>, also with an education focus.</w:t>
      </w:r>
      <w:r w:rsidRPr="00C645CE">
        <w:rPr>
          <w:sz w:val="20"/>
          <w:szCs w:val="20"/>
          <w:vertAlign w:val="superscript"/>
        </w:rPr>
        <w:footnoteReference w:id="51"/>
      </w:r>
    </w:p>
    <w:p w14:paraId="07BE1FB2" w14:textId="17C04260" w:rsidR="00180B19" w:rsidRPr="001A2426" w:rsidRDefault="00180B19" w:rsidP="001A2426">
      <w:pPr>
        <w:pStyle w:val="Heading1"/>
      </w:pPr>
      <w:r w:rsidRPr="001A2426">
        <w:t xml:space="preserve">Management </w:t>
      </w:r>
      <w:r w:rsidR="00BA1C9E" w:rsidRPr="001A2426">
        <w:t>consequences</w:t>
      </w:r>
      <w:r w:rsidR="00BF7FB0" w:rsidRPr="001A2426">
        <w:t xml:space="preserve"> </w:t>
      </w:r>
    </w:p>
    <w:p w14:paraId="23D29C19" w14:textId="56C96ECF" w:rsidR="00AE6F16" w:rsidRDefault="00E307E3" w:rsidP="001A2426">
      <w:pPr>
        <w:pStyle w:val="BodyText"/>
      </w:pPr>
      <w:r w:rsidRPr="00551CD0">
        <w:t xml:space="preserve">Progress in addressing the previous year’s management consequences </w:t>
      </w:r>
      <w:r w:rsidR="00AE6F16">
        <w:t>is</w:t>
      </w:r>
      <w:r w:rsidRPr="00551CD0">
        <w:t xml:space="preserve"> outlined </w:t>
      </w:r>
      <w:r w:rsidR="00BE6FFE">
        <w:t>at</w:t>
      </w:r>
      <w:r w:rsidR="00BE6FFE" w:rsidRPr="00551CD0">
        <w:t xml:space="preserve"> </w:t>
      </w:r>
      <w:r w:rsidRPr="00D3670A">
        <w:t>Annex A</w:t>
      </w:r>
      <w:r w:rsidRPr="00551CD0">
        <w:t>. The m</w:t>
      </w:r>
      <w:r w:rsidR="00B02A9A" w:rsidRPr="00551CD0">
        <w:t xml:space="preserve">anagement consequences for the Laos Country Program </w:t>
      </w:r>
      <w:r w:rsidRPr="00551CD0">
        <w:t>for 2012</w:t>
      </w:r>
      <w:r w:rsidR="00BE6FFE">
        <w:t>–</w:t>
      </w:r>
      <w:r w:rsidRPr="00551CD0">
        <w:t>13 fall under five main</w:t>
      </w:r>
      <w:r w:rsidR="00B02A9A" w:rsidRPr="00551CD0">
        <w:t xml:space="preserve"> areas: </w:t>
      </w:r>
      <w:r w:rsidRPr="00551CD0">
        <w:t xml:space="preserve">country strategy framework, </w:t>
      </w:r>
      <w:r w:rsidR="00B02A9A" w:rsidRPr="00551CD0">
        <w:t xml:space="preserve">public financial management, </w:t>
      </w:r>
      <w:r w:rsidR="007C457E">
        <w:t>re-settlement</w:t>
      </w:r>
      <w:r w:rsidRPr="00551CD0">
        <w:t xml:space="preserve">, partnerships and </w:t>
      </w:r>
      <w:r w:rsidRPr="007A69EF">
        <w:t>staffing.</w:t>
      </w:r>
      <w:r w:rsidR="001C6130" w:rsidRPr="007A69EF">
        <w:t xml:space="preserve"> </w:t>
      </w:r>
      <w:r w:rsidR="00AE6F16" w:rsidRPr="007A69EF">
        <w:t>Further management consequences have been identified for each of the six strategy objectives.</w:t>
      </w:r>
      <w:r w:rsidR="00B51DFB">
        <w:t xml:space="preserve"> </w:t>
      </w:r>
    </w:p>
    <w:p w14:paraId="61BB39E8" w14:textId="577CD53C" w:rsidR="00B02A9A" w:rsidRPr="00551CD0" w:rsidRDefault="001C6130" w:rsidP="001A2426">
      <w:pPr>
        <w:pStyle w:val="BodyText"/>
      </w:pPr>
      <w:r>
        <w:t>In 2013</w:t>
      </w:r>
      <w:r w:rsidR="00BE6FFE">
        <w:t>–</w:t>
      </w:r>
      <w:r>
        <w:t xml:space="preserve">14, the </w:t>
      </w:r>
      <w:r w:rsidR="00BE6FFE">
        <w:t xml:space="preserve">following outcomes will be achieved for the </w:t>
      </w:r>
      <w:r>
        <w:t>Laos Country Progra</w:t>
      </w:r>
      <w:r w:rsidR="00BE6FFE">
        <w:t>m.</w:t>
      </w:r>
    </w:p>
    <w:p w14:paraId="66A9566A" w14:textId="76D224E8" w:rsidR="00B02A9A" w:rsidRPr="001A2426" w:rsidRDefault="00DB02F2" w:rsidP="001A2426">
      <w:pPr>
        <w:pStyle w:val="Heading2"/>
      </w:pPr>
      <w:r w:rsidRPr="001A2426">
        <w:t xml:space="preserve">Country </w:t>
      </w:r>
      <w:r w:rsidR="00BA1C9E" w:rsidRPr="001A2426">
        <w:t>strategy framework</w:t>
      </w:r>
    </w:p>
    <w:p w14:paraId="0965183F" w14:textId="76DEDABA" w:rsidR="001E7DCC" w:rsidRDefault="00CA737A" w:rsidP="001A2426">
      <w:pPr>
        <w:pStyle w:val="ListBullet"/>
      </w:pPr>
      <w:r>
        <w:t xml:space="preserve">Prepare a </w:t>
      </w:r>
      <w:r w:rsidR="00DF6B96" w:rsidRPr="00CA737A">
        <w:t>new Australia</w:t>
      </w:r>
      <w:r w:rsidR="00BE6FFE">
        <w:t>–</w:t>
      </w:r>
      <w:r w:rsidR="00DF6B96" w:rsidRPr="00CA737A">
        <w:t>Laos Development Cooperation Strate</w:t>
      </w:r>
      <w:r>
        <w:t xml:space="preserve">gy, and in so doing re-evaluate priority sectors and their </w:t>
      </w:r>
      <w:r w:rsidR="001E7DCC" w:rsidRPr="00CA737A">
        <w:t xml:space="preserve">relative contribution </w:t>
      </w:r>
      <w:r>
        <w:t xml:space="preserve">to </w:t>
      </w:r>
      <w:r w:rsidR="001E7DCC" w:rsidRPr="00CA737A">
        <w:t>povert</w:t>
      </w:r>
      <w:r w:rsidR="00551CD0" w:rsidRPr="00CA737A">
        <w:t>y reduction.</w:t>
      </w:r>
    </w:p>
    <w:p w14:paraId="065FE668" w14:textId="0D675AE7" w:rsidR="00F014D9" w:rsidRPr="00C52E7E" w:rsidRDefault="00CA737A" w:rsidP="001A2426">
      <w:pPr>
        <w:pStyle w:val="ListBullet"/>
        <w:rPr>
          <w:i/>
        </w:rPr>
      </w:pPr>
      <w:r w:rsidRPr="00CA737A">
        <w:lastRenderedPageBreak/>
        <w:t xml:space="preserve">Seek to better address cross-cutting issues, such as </w:t>
      </w:r>
      <w:r>
        <w:t>nutrition and re-settlement</w:t>
      </w:r>
      <w:r w:rsidRPr="00CA737A">
        <w:t>, in the strategy,</w:t>
      </w:r>
      <w:r w:rsidR="00BE6FFE">
        <w:t xml:space="preserve"> which is</w:t>
      </w:r>
      <w:r w:rsidRPr="00CA737A">
        <w:t xml:space="preserve"> </w:t>
      </w:r>
      <w:r w:rsidR="001E7DCC" w:rsidRPr="00CA737A">
        <w:t>important for achiev</w:t>
      </w:r>
      <w:r w:rsidR="00BE6FFE">
        <w:t xml:space="preserve">ing the </w:t>
      </w:r>
      <w:r w:rsidR="000A3C76" w:rsidRPr="00CA737A">
        <w:t>MDG</w:t>
      </w:r>
      <w:r w:rsidR="00551CD0" w:rsidRPr="00CA737A">
        <w:t>s</w:t>
      </w:r>
      <w:r w:rsidR="00D44E5D" w:rsidRPr="00CA737A">
        <w:t xml:space="preserve"> and the effectiveness of the </w:t>
      </w:r>
      <w:r w:rsidR="001E7DCC" w:rsidRPr="00CA737A">
        <w:t>A</w:t>
      </w:r>
      <w:r>
        <w:t xml:space="preserve">ustralian aid program to Laos. </w:t>
      </w:r>
    </w:p>
    <w:p w14:paraId="2816DC21" w14:textId="7DB41A57" w:rsidR="00F014D9" w:rsidRPr="007A69EF" w:rsidRDefault="00F014D9" w:rsidP="001A2426">
      <w:pPr>
        <w:pStyle w:val="ListBullet"/>
        <w:rPr>
          <w:i/>
        </w:rPr>
      </w:pPr>
      <w:r w:rsidRPr="007A69EF">
        <w:t xml:space="preserve">The Lao Program’s </w:t>
      </w:r>
      <w:r w:rsidR="007209FC" w:rsidRPr="007A69EF">
        <w:t>rural development team will work closely with the education team</w:t>
      </w:r>
      <w:r w:rsidRPr="007A69EF">
        <w:t xml:space="preserve"> to implement activities that address cross-cutting issues, such as nutrition, through future program investments.</w:t>
      </w:r>
    </w:p>
    <w:p w14:paraId="1007A83F" w14:textId="6065E751" w:rsidR="00B02A9A" w:rsidRPr="009B15A6" w:rsidRDefault="00DB02F2" w:rsidP="009B15A6">
      <w:pPr>
        <w:pStyle w:val="Heading2"/>
      </w:pPr>
      <w:r w:rsidRPr="009B15A6">
        <w:t xml:space="preserve">Public </w:t>
      </w:r>
      <w:r w:rsidR="00BA1C9E" w:rsidRPr="009B15A6">
        <w:t>financial m</w:t>
      </w:r>
      <w:r w:rsidRPr="009B15A6">
        <w:t>anagement</w:t>
      </w:r>
    </w:p>
    <w:p w14:paraId="10CE2C97" w14:textId="1CDEDD06" w:rsidR="001C6130" w:rsidRDefault="00CA737A" w:rsidP="009B15A6">
      <w:pPr>
        <w:pStyle w:val="ListBullet"/>
      </w:pPr>
      <w:r>
        <w:t>Seek to g</w:t>
      </w:r>
      <w:r w:rsidR="001C6130">
        <w:t xml:space="preserve">ain </w:t>
      </w:r>
      <w:r w:rsidR="00122D02" w:rsidRPr="001C6130">
        <w:t>a</w:t>
      </w:r>
      <w:r w:rsidR="005E6889" w:rsidRPr="001C6130">
        <w:t xml:space="preserve"> better understanding of Laos</w:t>
      </w:r>
      <w:r w:rsidR="00FC39B1">
        <w:t>’</w:t>
      </w:r>
      <w:r w:rsidR="005E6889" w:rsidRPr="001C6130">
        <w:t xml:space="preserve"> public financial management syst</w:t>
      </w:r>
      <w:r>
        <w:t>em</w:t>
      </w:r>
      <w:r w:rsidR="00122D02" w:rsidRPr="001C6130">
        <w:t xml:space="preserve"> </w:t>
      </w:r>
      <w:r w:rsidR="001C6130">
        <w:t>to better manage risks</w:t>
      </w:r>
      <w:r>
        <w:t xml:space="preserve"> in relation to aid investments.</w:t>
      </w:r>
    </w:p>
    <w:p w14:paraId="50915D11" w14:textId="7B48E718" w:rsidR="0075784B" w:rsidRPr="007A69EF" w:rsidRDefault="0075784B" w:rsidP="009B15A6">
      <w:pPr>
        <w:pStyle w:val="ListBullet"/>
      </w:pPr>
      <w:r w:rsidRPr="007A69EF">
        <w:t xml:space="preserve">Identify sector-specific </w:t>
      </w:r>
      <w:r w:rsidR="007209FC">
        <w:t>public financial management</w:t>
      </w:r>
      <w:r w:rsidR="007209FC" w:rsidRPr="007A69EF">
        <w:t xml:space="preserve"> </w:t>
      </w:r>
      <w:r w:rsidRPr="007A69EF">
        <w:t xml:space="preserve">investment options, </w:t>
      </w:r>
      <w:r w:rsidR="001E6C8E" w:rsidRPr="007A69EF">
        <w:t xml:space="preserve">specifically for </w:t>
      </w:r>
      <w:r w:rsidRPr="007A69EF">
        <w:t>the education sector</w:t>
      </w:r>
      <w:r w:rsidR="007209FC">
        <w:t>,</w:t>
      </w:r>
      <w:r w:rsidRPr="007A69EF">
        <w:t xml:space="preserve"> through the investment design process.</w:t>
      </w:r>
    </w:p>
    <w:p w14:paraId="73AC4890" w14:textId="08ACCCCD" w:rsidR="00B02A9A" w:rsidRPr="009B15A6" w:rsidRDefault="007C457E" w:rsidP="009B15A6">
      <w:pPr>
        <w:pStyle w:val="Heading2"/>
      </w:pPr>
      <w:r>
        <w:t>Re-settlement</w:t>
      </w:r>
    </w:p>
    <w:p w14:paraId="3368B207" w14:textId="68398087" w:rsidR="00CA737A" w:rsidRDefault="00CA737A" w:rsidP="009B15A6">
      <w:pPr>
        <w:pStyle w:val="ListBullet"/>
        <w:rPr>
          <w:rFonts w:eastAsia="SimSun"/>
        </w:rPr>
      </w:pPr>
      <w:r>
        <w:rPr>
          <w:rFonts w:eastAsia="SimSun"/>
        </w:rPr>
        <w:t xml:space="preserve">Develop an enhanced understanding </w:t>
      </w:r>
      <w:r w:rsidR="00C51405">
        <w:rPr>
          <w:rFonts w:eastAsia="SimSun"/>
        </w:rPr>
        <w:t xml:space="preserve">of </w:t>
      </w:r>
      <w:r w:rsidR="007C457E">
        <w:rPr>
          <w:rFonts w:eastAsia="SimSun"/>
        </w:rPr>
        <w:t>re-settlement</w:t>
      </w:r>
      <w:r w:rsidR="0045423F" w:rsidRPr="0045423F">
        <w:rPr>
          <w:rFonts w:eastAsia="SimSun"/>
        </w:rPr>
        <w:t xml:space="preserve"> in Laos </w:t>
      </w:r>
      <w:r>
        <w:rPr>
          <w:rFonts w:eastAsia="SimSun"/>
        </w:rPr>
        <w:t xml:space="preserve">by </w:t>
      </w:r>
      <w:r w:rsidR="00C51405">
        <w:rPr>
          <w:rFonts w:eastAsia="SimSun"/>
        </w:rPr>
        <w:t xml:space="preserve">commissioning a </w:t>
      </w:r>
      <w:r>
        <w:rPr>
          <w:rFonts w:eastAsia="SimSun"/>
        </w:rPr>
        <w:t xml:space="preserve">program-wide analysis to better manage this risk </w:t>
      </w:r>
      <w:r w:rsidR="007209FC">
        <w:rPr>
          <w:rFonts w:eastAsia="SimSun"/>
        </w:rPr>
        <w:t>for</w:t>
      </w:r>
      <w:r>
        <w:rPr>
          <w:rFonts w:eastAsia="SimSun"/>
        </w:rPr>
        <w:t xml:space="preserve"> current and future programs.</w:t>
      </w:r>
    </w:p>
    <w:p w14:paraId="528277CE" w14:textId="7A0E9788" w:rsidR="00CA737A" w:rsidRPr="007A69EF" w:rsidRDefault="00CA737A" w:rsidP="009B15A6">
      <w:pPr>
        <w:pStyle w:val="ListBullet"/>
        <w:rPr>
          <w:rFonts w:eastAsia="SimSun"/>
        </w:rPr>
      </w:pPr>
      <w:r w:rsidRPr="007A69EF">
        <w:rPr>
          <w:rFonts w:eastAsia="SimSun"/>
        </w:rPr>
        <w:t xml:space="preserve">Develop a consistent approach to managing risks associated with </w:t>
      </w:r>
      <w:r w:rsidR="007C457E">
        <w:rPr>
          <w:rFonts w:eastAsia="SimSun"/>
        </w:rPr>
        <w:t>re-settlement</w:t>
      </w:r>
      <w:r w:rsidRPr="007A69EF">
        <w:rPr>
          <w:rFonts w:eastAsia="SimSun"/>
        </w:rPr>
        <w:t xml:space="preserve"> for aid program activities in Laos, informed by </w:t>
      </w:r>
      <w:r w:rsidR="00160FAE">
        <w:rPr>
          <w:rFonts w:eastAsia="SimSun"/>
        </w:rPr>
        <w:t xml:space="preserve">DFAT </w:t>
      </w:r>
      <w:r w:rsidR="007C457E">
        <w:rPr>
          <w:rFonts w:eastAsia="SimSun"/>
        </w:rPr>
        <w:t>re-settlement</w:t>
      </w:r>
      <w:r w:rsidRPr="007A69EF">
        <w:rPr>
          <w:rFonts w:eastAsia="SimSun"/>
        </w:rPr>
        <w:t xml:space="preserve"> guidelines and field-level realities.</w:t>
      </w:r>
      <w:r w:rsidR="00C51405" w:rsidRPr="007A69EF">
        <w:rPr>
          <w:rFonts w:eastAsia="SimSun"/>
        </w:rPr>
        <w:t xml:space="preserve"> </w:t>
      </w:r>
    </w:p>
    <w:p w14:paraId="723AFBB1" w14:textId="77777777" w:rsidR="00B02A9A" w:rsidRDefault="00DB02F2" w:rsidP="009B15A6">
      <w:pPr>
        <w:pStyle w:val="Heading2"/>
      </w:pPr>
      <w:r w:rsidRPr="009B15A6">
        <w:t>Partnerships</w:t>
      </w:r>
    </w:p>
    <w:p w14:paraId="5BD697AE" w14:textId="08B397FD" w:rsidR="00844ED2" w:rsidRPr="00844ED2" w:rsidRDefault="00844ED2" w:rsidP="009B15A6">
      <w:pPr>
        <w:pStyle w:val="ListBullet"/>
      </w:pPr>
      <w:r>
        <w:rPr>
          <w:rFonts w:eastAsia="SimSun"/>
        </w:rPr>
        <w:t xml:space="preserve">Intensify </w:t>
      </w:r>
      <w:r w:rsidR="00456BAF">
        <w:rPr>
          <w:rFonts w:eastAsia="SimSun"/>
        </w:rPr>
        <w:t>engagement with the World Bank at senior levels to minimise the risk of delays in funding disbursement from trust f</w:t>
      </w:r>
      <w:r>
        <w:rPr>
          <w:rFonts w:eastAsia="SimSun"/>
        </w:rPr>
        <w:t>unds for current programs</w:t>
      </w:r>
      <w:r w:rsidR="007209FC">
        <w:rPr>
          <w:rFonts w:eastAsia="SimSun"/>
        </w:rPr>
        <w:t>.</w:t>
      </w:r>
    </w:p>
    <w:p w14:paraId="5285DB15" w14:textId="37ADFEA2" w:rsidR="00456BAF" w:rsidRPr="007A69EF" w:rsidRDefault="007209FC" w:rsidP="009B15A6">
      <w:pPr>
        <w:pStyle w:val="ListBullet"/>
      </w:pPr>
      <w:r>
        <w:rPr>
          <w:rFonts w:eastAsia="SimSun"/>
        </w:rPr>
        <w:t>M</w:t>
      </w:r>
      <w:r w:rsidR="00456BAF">
        <w:rPr>
          <w:rFonts w:eastAsia="SimSun"/>
        </w:rPr>
        <w:t>ove away from using tru</w:t>
      </w:r>
      <w:r w:rsidR="00844ED2">
        <w:rPr>
          <w:rFonts w:eastAsia="SimSun"/>
        </w:rPr>
        <w:t xml:space="preserve">st funds for future investments to mitigate </w:t>
      </w:r>
      <w:r w:rsidR="00844ED2" w:rsidRPr="007A69EF">
        <w:rPr>
          <w:rFonts w:eastAsia="SimSun"/>
        </w:rPr>
        <w:t>the risk of delay for future programs.</w:t>
      </w:r>
    </w:p>
    <w:p w14:paraId="74328B8B" w14:textId="290E57EE" w:rsidR="0075784B" w:rsidRPr="007A69EF" w:rsidRDefault="0075784B" w:rsidP="009B15A6">
      <w:pPr>
        <w:pStyle w:val="ListBullet"/>
      </w:pPr>
      <w:r w:rsidRPr="007A69EF">
        <w:rPr>
          <w:rFonts w:eastAsia="SimSun"/>
        </w:rPr>
        <w:t xml:space="preserve">Work at establishing direct relationships with non-OECD donors in Laos, such </w:t>
      </w:r>
      <w:r w:rsidR="007209FC">
        <w:rPr>
          <w:rFonts w:eastAsia="SimSun"/>
        </w:rPr>
        <w:t>as</w:t>
      </w:r>
      <w:r w:rsidR="007209FC" w:rsidRPr="007A69EF">
        <w:rPr>
          <w:rFonts w:eastAsia="SimSun"/>
        </w:rPr>
        <w:t xml:space="preserve"> </w:t>
      </w:r>
      <w:r w:rsidRPr="007A69EF">
        <w:rPr>
          <w:rFonts w:eastAsia="SimSun"/>
        </w:rPr>
        <w:t>China, Vietnam and Thailand.</w:t>
      </w:r>
    </w:p>
    <w:p w14:paraId="5220484F" w14:textId="26501F74" w:rsidR="00DA1BB9" w:rsidRPr="007A69EF" w:rsidRDefault="00DA1BB9" w:rsidP="009B15A6">
      <w:pPr>
        <w:pStyle w:val="ListBullet"/>
        <w:rPr>
          <w:kern w:val="28"/>
          <w:szCs w:val="28"/>
        </w:rPr>
      </w:pPr>
      <w:r w:rsidRPr="007A69EF">
        <w:rPr>
          <w:kern w:val="28"/>
          <w:szCs w:val="28"/>
        </w:rPr>
        <w:t>Seek to increase the number of Australia Awards Fellowships in 2013</w:t>
      </w:r>
      <w:r w:rsidR="007209FC">
        <w:rPr>
          <w:kern w:val="28"/>
          <w:szCs w:val="28"/>
        </w:rPr>
        <w:t>–</w:t>
      </w:r>
      <w:r w:rsidRPr="007A69EF">
        <w:rPr>
          <w:kern w:val="28"/>
          <w:szCs w:val="28"/>
        </w:rPr>
        <w:t>14 by promoting the program directly to Australian institutions through the scholarships program.</w:t>
      </w:r>
    </w:p>
    <w:p w14:paraId="3B82DF6F" w14:textId="77777777" w:rsidR="00DB02F2" w:rsidRPr="00F7197F" w:rsidRDefault="00B02A9A" w:rsidP="009B15A6">
      <w:pPr>
        <w:pStyle w:val="Heading2"/>
      </w:pPr>
      <w:r w:rsidRPr="009B15A6">
        <w:t>Staffing</w:t>
      </w:r>
    </w:p>
    <w:p w14:paraId="26C26BE9" w14:textId="1CD84082" w:rsidR="00844ED2" w:rsidRPr="001E6C8E" w:rsidRDefault="00844ED2" w:rsidP="009B15A6">
      <w:pPr>
        <w:pStyle w:val="ListBullet"/>
        <w:rPr>
          <w:rFonts w:eastAsia="SimSun"/>
        </w:rPr>
      </w:pPr>
      <w:r w:rsidRPr="00844ED2">
        <w:rPr>
          <w:rFonts w:eastAsia="SimSun"/>
        </w:rPr>
        <w:t xml:space="preserve">Create opportunities for </w:t>
      </w:r>
      <w:r w:rsidR="00160FAE">
        <w:rPr>
          <w:rFonts w:eastAsia="SimSun"/>
        </w:rPr>
        <w:t xml:space="preserve">DFAT </w:t>
      </w:r>
      <w:r w:rsidR="00CF003B" w:rsidRPr="00844ED2">
        <w:rPr>
          <w:rFonts w:eastAsia="SimSun"/>
        </w:rPr>
        <w:t>Vientiane</w:t>
      </w:r>
      <w:r w:rsidRPr="00844ED2">
        <w:rPr>
          <w:rFonts w:eastAsia="SimSun"/>
        </w:rPr>
        <w:t xml:space="preserve"> staff to develop their skills in </w:t>
      </w:r>
      <w:r>
        <w:rPr>
          <w:rFonts w:eastAsia="SimSun"/>
        </w:rPr>
        <w:t>policy influencing, particularly as the program</w:t>
      </w:r>
      <w:r w:rsidR="00CF003B" w:rsidRPr="00844ED2">
        <w:rPr>
          <w:rFonts w:eastAsia="SimSun"/>
        </w:rPr>
        <w:t xml:space="preserve"> shifts to a more bil</w:t>
      </w:r>
      <w:r>
        <w:rPr>
          <w:rFonts w:eastAsia="SimSun"/>
        </w:rPr>
        <w:t xml:space="preserve">ateral </w:t>
      </w:r>
      <w:r w:rsidRPr="007A69EF">
        <w:rPr>
          <w:rFonts w:eastAsia="SimSun"/>
        </w:rPr>
        <w:t>engagement from 2013</w:t>
      </w:r>
      <w:r w:rsidR="007209FC">
        <w:rPr>
          <w:rFonts w:eastAsia="SimSun"/>
        </w:rPr>
        <w:t>–</w:t>
      </w:r>
      <w:r w:rsidRPr="007A69EF">
        <w:rPr>
          <w:rFonts w:eastAsia="SimSun"/>
        </w:rPr>
        <w:t>14</w:t>
      </w:r>
      <w:r w:rsidR="00AE6F16" w:rsidRPr="007A69EF">
        <w:rPr>
          <w:rFonts w:eastAsia="SimSun"/>
        </w:rPr>
        <w:t xml:space="preserve">, through </w:t>
      </w:r>
      <w:r w:rsidR="0075784B" w:rsidRPr="007A69EF">
        <w:rPr>
          <w:rFonts w:eastAsia="SimSun"/>
        </w:rPr>
        <w:t>Mekong workforce planning</w:t>
      </w:r>
      <w:r w:rsidR="00BB60C5">
        <w:rPr>
          <w:rFonts w:eastAsia="SimSun"/>
        </w:rPr>
        <w:t xml:space="preserve">. This </w:t>
      </w:r>
      <w:r w:rsidR="0075784B" w:rsidRPr="007A69EF">
        <w:rPr>
          <w:rFonts w:eastAsia="SimSun"/>
        </w:rPr>
        <w:t>will include individual career directions case management.</w:t>
      </w:r>
    </w:p>
    <w:p w14:paraId="0BB2812B" w14:textId="7EEE6AFD" w:rsidR="00CF003B" w:rsidRDefault="007209FC" w:rsidP="009B15A6">
      <w:pPr>
        <w:pStyle w:val="ListBullet"/>
        <w:rPr>
          <w:rFonts w:eastAsia="SimSun"/>
        </w:rPr>
      </w:pPr>
      <w:r>
        <w:rPr>
          <w:rFonts w:eastAsia="SimSun"/>
        </w:rPr>
        <w:t xml:space="preserve">Help </w:t>
      </w:r>
      <w:r w:rsidR="00844ED2">
        <w:rPr>
          <w:rFonts w:eastAsia="SimSun"/>
        </w:rPr>
        <w:t>staff to enhance their</w:t>
      </w:r>
      <w:r w:rsidR="00CF003B" w:rsidRPr="00844ED2">
        <w:rPr>
          <w:rFonts w:eastAsia="SimSun"/>
        </w:rPr>
        <w:t xml:space="preserve"> s</w:t>
      </w:r>
      <w:r w:rsidR="00844ED2">
        <w:rPr>
          <w:rFonts w:eastAsia="SimSun"/>
        </w:rPr>
        <w:t>kills in manag</w:t>
      </w:r>
      <w:r w:rsidR="00BB60C5">
        <w:rPr>
          <w:rFonts w:eastAsia="SimSun"/>
        </w:rPr>
        <w:t xml:space="preserve">ing </w:t>
      </w:r>
      <w:r w:rsidR="00844ED2">
        <w:rPr>
          <w:rFonts w:eastAsia="SimSun"/>
        </w:rPr>
        <w:t>contractors by identifying relevant training and professional development opportunities.</w:t>
      </w:r>
    </w:p>
    <w:p w14:paraId="5A1218F3" w14:textId="506E92E2" w:rsidR="00844ED2" w:rsidRDefault="007209FC" w:rsidP="009B15A6">
      <w:pPr>
        <w:pStyle w:val="ListBullet"/>
        <w:rPr>
          <w:rFonts w:eastAsia="SimSun"/>
        </w:rPr>
      </w:pPr>
      <w:r>
        <w:rPr>
          <w:rFonts w:eastAsia="SimSun"/>
        </w:rPr>
        <w:t xml:space="preserve">Help </w:t>
      </w:r>
      <w:r w:rsidR="00844ED2">
        <w:rPr>
          <w:rFonts w:eastAsia="SimSun"/>
        </w:rPr>
        <w:t>staff develop skills in</w:t>
      </w:r>
      <w:r w:rsidR="00B854F4" w:rsidRPr="00844ED2">
        <w:rPr>
          <w:rFonts w:eastAsia="SimSun"/>
        </w:rPr>
        <w:t xml:space="preserve"> </w:t>
      </w:r>
      <w:r w:rsidR="00844ED2">
        <w:rPr>
          <w:rFonts w:eastAsia="SimSun"/>
        </w:rPr>
        <w:t xml:space="preserve">results-based </w:t>
      </w:r>
      <w:r w:rsidR="00B854F4" w:rsidRPr="00844ED2">
        <w:rPr>
          <w:rFonts w:eastAsia="SimSun"/>
        </w:rPr>
        <w:t>monitoring and evaluation.</w:t>
      </w:r>
      <w:r w:rsidR="00B51DFB">
        <w:rPr>
          <w:rFonts w:eastAsia="SimSun"/>
        </w:rPr>
        <w:t xml:space="preserve"> </w:t>
      </w:r>
    </w:p>
    <w:p w14:paraId="03540350" w14:textId="3D05C41D" w:rsidR="00762F52" w:rsidRDefault="00762F52" w:rsidP="009B15A6">
      <w:pPr>
        <w:pStyle w:val="ListBullet"/>
        <w:rPr>
          <w:rFonts w:eastAsia="SimSun"/>
        </w:rPr>
      </w:pPr>
      <w:r>
        <w:rPr>
          <w:rFonts w:eastAsia="SimSun"/>
        </w:rPr>
        <w:t>U</w:t>
      </w:r>
      <w:r w:rsidR="007209FC">
        <w:rPr>
          <w:rFonts w:eastAsia="SimSun"/>
        </w:rPr>
        <w:t>s</w:t>
      </w:r>
      <w:r>
        <w:rPr>
          <w:rFonts w:eastAsia="SimSun"/>
        </w:rPr>
        <w:t>e Mekong Hub resources to support strategy development and program implementation.</w:t>
      </w:r>
    </w:p>
    <w:p w14:paraId="490FD028" w14:textId="21416879" w:rsidR="00EF4EEA" w:rsidRPr="00EF4EEA" w:rsidRDefault="001F5AF4" w:rsidP="009B15A6">
      <w:pPr>
        <w:pStyle w:val="Heading2"/>
      </w:pPr>
      <w:r>
        <w:t xml:space="preserve">Strategy </w:t>
      </w:r>
      <w:r w:rsidR="00BA1C9E" w:rsidRPr="009B15A6">
        <w:t>objective</w:t>
      </w:r>
      <w:r w:rsidR="00BA1C9E" w:rsidRPr="00EF4EEA">
        <w:t xml:space="preserve"> </w:t>
      </w:r>
      <w:r w:rsidR="00EF4EEA" w:rsidRPr="00EF4EEA">
        <w:t xml:space="preserve">1: </w:t>
      </w:r>
      <w:r w:rsidR="00BA1C9E">
        <w:t>management consequences</w:t>
      </w:r>
    </w:p>
    <w:p w14:paraId="7EB15BEE" w14:textId="77777777" w:rsidR="004D6769" w:rsidRDefault="004D6769" w:rsidP="009B15A6">
      <w:pPr>
        <w:pStyle w:val="ListBullet"/>
      </w:pPr>
      <w:r>
        <w:t xml:space="preserve">Undertake a ‘working in partner systems’ </w:t>
      </w:r>
      <w:r w:rsidR="00B47EB5">
        <w:t xml:space="preserve">fiduciary </w:t>
      </w:r>
      <w:r>
        <w:t>assessment for the education sector.</w:t>
      </w:r>
    </w:p>
    <w:p w14:paraId="7520C2A7" w14:textId="0C166331" w:rsidR="004D6769" w:rsidRDefault="004D6769" w:rsidP="009B15A6">
      <w:pPr>
        <w:pStyle w:val="ListBullet"/>
      </w:pPr>
      <w:r w:rsidRPr="007A69EF">
        <w:t xml:space="preserve">Develop a </w:t>
      </w:r>
      <w:r w:rsidR="00984631" w:rsidRPr="007A69EF">
        <w:t>budget engagement</w:t>
      </w:r>
      <w:r w:rsidRPr="007A69EF">
        <w:t xml:space="preserve"> strategy for education</w:t>
      </w:r>
      <w:r w:rsidRPr="001C6130">
        <w:t>, which</w:t>
      </w:r>
      <w:r>
        <w:t xml:space="preserve"> will </w:t>
      </w:r>
      <w:r w:rsidR="007209FC">
        <w:t>help</w:t>
      </w:r>
      <w:r w:rsidRPr="001C6130">
        <w:t xml:space="preserve"> facilitate greater engagement by Australia on </w:t>
      </w:r>
      <w:r>
        <w:t xml:space="preserve">sector allocations </w:t>
      </w:r>
      <w:r w:rsidRPr="001C6130">
        <w:t>with the Lao Government.</w:t>
      </w:r>
    </w:p>
    <w:p w14:paraId="04D870FD" w14:textId="197EF949" w:rsidR="004D6769" w:rsidRDefault="004D6769" w:rsidP="009B15A6">
      <w:pPr>
        <w:pStyle w:val="ListBullet"/>
      </w:pPr>
      <w:r>
        <w:lastRenderedPageBreak/>
        <w:t xml:space="preserve">Complete the </w:t>
      </w:r>
      <w:r w:rsidR="007209FC">
        <w:t xml:space="preserve">education delivery strategy </w:t>
      </w:r>
      <w:r>
        <w:t>and design of a new education program</w:t>
      </w:r>
      <w:r w:rsidR="00F014D9">
        <w:t>.</w:t>
      </w:r>
    </w:p>
    <w:p w14:paraId="7E73582C" w14:textId="34890BF2" w:rsidR="0045423F" w:rsidRPr="004D6769" w:rsidRDefault="007209FC" w:rsidP="009B15A6">
      <w:pPr>
        <w:pStyle w:val="ListBullet"/>
      </w:pPr>
      <w:r>
        <w:t>Help</w:t>
      </w:r>
      <w:r w:rsidR="004D6769">
        <w:t xml:space="preserve"> implement an </w:t>
      </w:r>
      <w:r w:rsidR="0045423F" w:rsidRPr="004D6769">
        <w:t xml:space="preserve">action plan </w:t>
      </w:r>
      <w:r>
        <w:t>to</w:t>
      </w:r>
      <w:r w:rsidRPr="004D6769">
        <w:t xml:space="preserve"> </w:t>
      </w:r>
      <w:r w:rsidR="0045423F" w:rsidRPr="004D6769">
        <w:t>ensur</w:t>
      </w:r>
      <w:r>
        <w:t>e</w:t>
      </w:r>
      <w:r w:rsidR="0045423F" w:rsidRPr="004D6769">
        <w:t xml:space="preserve"> </w:t>
      </w:r>
      <w:r w:rsidRPr="004D6769">
        <w:t xml:space="preserve">asbestos containing materials </w:t>
      </w:r>
      <w:r w:rsidR="0045423F" w:rsidRPr="004D6769">
        <w:t>are no</w:t>
      </w:r>
      <w:r w:rsidR="004D6769">
        <w:t>t used in school construction.</w:t>
      </w:r>
    </w:p>
    <w:p w14:paraId="2A0A8E04" w14:textId="71B26B6B" w:rsidR="00EF4EEA" w:rsidRPr="00EF4EEA" w:rsidRDefault="001F5AF4" w:rsidP="009B15A6">
      <w:pPr>
        <w:pStyle w:val="Heading2"/>
      </w:pPr>
      <w:r>
        <w:t xml:space="preserve">Strategy </w:t>
      </w:r>
      <w:r w:rsidR="00BA1C9E">
        <w:t>objective 2</w:t>
      </w:r>
      <w:r w:rsidR="00BA1C9E" w:rsidRPr="00EF4EEA">
        <w:t xml:space="preserve">: </w:t>
      </w:r>
      <w:r w:rsidR="00BA1C9E">
        <w:t>management consequences</w:t>
      </w:r>
    </w:p>
    <w:p w14:paraId="71F6F702" w14:textId="47412462" w:rsidR="00350DE7" w:rsidRDefault="00E47FDC" w:rsidP="009B15A6">
      <w:pPr>
        <w:pStyle w:val="ListBullet"/>
      </w:pPr>
      <w:r>
        <w:t>D</w:t>
      </w:r>
      <w:r w:rsidR="00350DE7" w:rsidRPr="004D6769">
        <w:t xml:space="preserve">evelop a </w:t>
      </w:r>
      <w:r w:rsidR="007209FC" w:rsidRPr="004D6769">
        <w:t xml:space="preserve">policy and partnership engagement strategy </w:t>
      </w:r>
      <w:r w:rsidR="00350DE7" w:rsidRPr="004D6769">
        <w:t xml:space="preserve">as part of </w:t>
      </w:r>
      <w:r w:rsidR="004D6769">
        <w:t>t</w:t>
      </w:r>
      <w:r w:rsidR="00B47EB5">
        <w:t xml:space="preserve">he </w:t>
      </w:r>
      <w:r w:rsidR="007209FC">
        <w:t xml:space="preserve">education delivery strategy </w:t>
      </w:r>
      <w:r w:rsidR="004D6769">
        <w:t xml:space="preserve">that will </w:t>
      </w:r>
      <w:r w:rsidR="007209FC">
        <w:t>help</w:t>
      </w:r>
      <w:r w:rsidR="004D6769">
        <w:t xml:space="preserve"> maximis</w:t>
      </w:r>
      <w:r w:rsidR="007209FC">
        <w:t xml:space="preserve">e </w:t>
      </w:r>
      <w:r w:rsidR="004D6769">
        <w:t xml:space="preserve">policy dialogue </w:t>
      </w:r>
      <w:r w:rsidR="007209FC">
        <w:t xml:space="preserve">and </w:t>
      </w:r>
      <w:r w:rsidR="004D6769">
        <w:t>support future investments in education.</w:t>
      </w:r>
    </w:p>
    <w:p w14:paraId="2A6EF37A" w14:textId="7C6C7900" w:rsidR="00350DE7" w:rsidRPr="004D6769" w:rsidRDefault="004D6769" w:rsidP="009B15A6">
      <w:pPr>
        <w:pStyle w:val="ListBullet"/>
      </w:pPr>
      <w:r>
        <w:t xml:space="preserve">Continue co-chairing the </w:t>
      </w:r>
      <w:r w:rsidR="007209FC">
        <w:t>Education Sector Working Group</w:t>
      </w:r>
      <w:r>
        <w:t xml:space="preserve">, </w:t>
      </w:r>
      <w:r w:rsidR="00BB60C5">
        <w:t xml:space="preserve">and maintain our </w:t>
      </w:r>
      <w:r w:rsidR="00E47FDC">
        <w:t xml:space="preserve">focus and </w:t>
      </w:r>
      <w:r>
        <w:t>policy dialogue on improving sector planning and budgeting</w:t>
      </w:r>
      <w:r w:rsidR="007209FC">
        <w:t>,</w:t>
      </w:r>
      <w:r>
        <w:t xml:space="preserve"> </w:t>
      </w:r>
      <w:r w:rsidR="00350DE7" w:rsidRPr="004D6769">
        <w:t>and prioritising inclusive education in the most disadvantaged areas.</w:t>
      </w:r>
    </w:p>
    <w:p w14:paraId="7D7F4A96" w14:textId="03ABFD91" w:rsidR="00350DE7" w:rsidRPr="00350DE7" w:rsidRDefault="005249C4" w:rsidP="009B15A6">
      <w:pPr>
        <w:pStyle w:val="Heading2"/>
      </w:pPr>
      <w:r>
        <w:t xml:space="preserve">Strategy </w:t>
      </w:r>
      <w:r w:rsidR="00BA1C9E" w:rsidRPr="005249C4">
        <w:t>ob</w:t>
      </w:r>
      <w:r w:rsidR="00BA1C9E">
        <w:t>jective 3</w:t>
      </w:r>
      <w:r w:rsidR="007209FC">
        <w:t>:</w:t>
      </w:r>
      <w:r w:rsidR="00BA1C9E" w:rsidRPr="005249C4">
        <w:t xml:space="preserve"> </w:t>
      </w:r>
      <w:r w:rsidR="00BA1C9E" w:rsidRPr="009B15A6">
        <w:t>management</w:t>
      </w:r>
      <w:r w:rsidR="00BA1C9E" w:rsidRPr="005249C4">
        <w:t xml:space="preserve"> consequences</w:t>
      </w:r>
    </w:p>
    <w:p w14:paraId="175D5056" w14:textId="0812A599" w:rsidR="0045423F" w:rsidRPr="00E47FDC" w:rsidRDefault="007209FC" w:rsidP="009B15A6">
      <w:pPr>
        <w:pStyle w:val="ListBullet"/>
      </w:pPr>
      <w:r>
        <w:t>E</w:t>
      </w:r>
      <w:r w:rsidR="0045423F" w:rsidRPr="00E47FDC">
        <w:t xml:space="preserve">ngage in Trade Program Executive Committee meetings and other program coordination mechanisms to ensure that </w:t>
      </w:r>
      <w:r>
        <w:t xml:space="preserve">the </w:t>
      </w:r>
      <w:r w:rsidRPr="007209FC">
        <w:rPr>
          <w:lang w:val="en-US"/>
        </w:rPr>
        <w:t>Trade Development Facility</w:t>
      </w:r>
      <w:r>
        <w:rPr>
          <w:lang w:val="en-US"/>
        </w:rPr>
        <w:t xml:space="preserve"> 2</w:t>
      </w:r>
      <w:r>
        <w:t xml:space="preserve"> </w:t>
      </w:r>
      <w:r w:rsidR="0045423F" w:rsidRPr="00E47FDC">
        <w:t>continues contribut</w:t>
      </w:r>
      <w:r w:rsidR="00BB60C5">
        <w:t xml:space="preserve">ing </w:t>
      </w:r>
      <w:r w:rsidR="0045423F" w:rsidRPr="00E47FDC">
        <w:t>to capacity building, ongoing trade reform efforts and opportunities for sustainability.</w:t>
      </w:r>
    </w:p>
    <w:p w14:paraId="71DF9FD2" w14:textId="782B68D5" w:rsidR="005249C4" w:rsidRPr="005249C4" w:rsidRDefault="005249C4" w:rsidP="009B15A6">
      <w:pPr>
        <w:pStyle w:val="Heading2"/>
      </w:pPr>
      <w:r>
        <w:t xml:space="preserve">Strategy </w:t>
      </w:r>
      <w:r w:rsidR="00BA1C9E" w:rsidRPr="005249C4">
        <w:t>ob</w:t>
      </w:r>
      <w:r w:rsidR="00BA1C9E">
        <w:t>jective 4</w:t>
      </w:r>
      <w:r w:rsidR="007209FC">
        <w:t>:</w:t>
      </w:r>
      <w:r w:rsidR="00BA1C9E" w:rsidRPr="005249C4">
        <w:t xml:space="preserve"> management consequences</w:t>
      </w:r>
    </w:p>
    <w:p w14:paraId="2B033E6A" w14:textId="1B784140" w:rsidR="00350DE7" w:rsidRPr="00E47FDC" w:rsidRDefault="00E47FDC" w:rsidP="009B15A6">
      <w:pPr>
        <w:pStyle w:val="ListBullet"/>
      </w:pPr>
      <w:r w:rsidRPr="00E47FDC">
        <w:t>U</w:t>
      </w:r>
      <w:r w:rsidR="00350DE7" w:rsidRPr="00E47FDC">
        <w:t xml:space="preserve">ndertake a comprehensive lessons learned exercise through </w:t>
      </w:r>
      <w:r w:rsidR="007209FC">
        <w:t>the</w:t>
      </w:r>
      <w:r w:rsidR="00350DE7" w:rsidRPr="00E47FDC">
        <w:t xml:space="preserve"> </w:t>
      </w:r>
      <w:r w:rsidR="007209FC" w:rsidRPr="007209FC">
        <w:t>Australia</w:t>
      </w:r>
      <w:r w:rsidR="00643DE3">
        <w:t>–</w:t>
      </w:r>
      <w:r w:rsidR="007209FC" w:rsidRPr="007209FC">
        <w:t>Mekong NGO Engagement Platform</w:t>
      </w:r>
      <w:r w:rsidR="007209FC" w:rsidRPr="007209FC" w:rsidDel="007209FC">
        <w:t xml:space="preserve"> </w:t>
      </w:r>
      <w:r w:rsidR="00350DE7" w:rsidRPr="00E47FDC">
        <w:t xml:space="preserve">to celebrate the success of the </w:t>
      </w:r>
      <w:r w:rsidR="007209FC" w:rsidRPr="007209FC">
        <w:rPr>
          <w:lang w:val="en-US"/>
        </w:rPr>
        <w:t>Laos</w:t>
      </w:r>
      <w:r w:rsidR="00643DE3">
        <w:rPr>
          <w:lang w:val="en-US"/>
        </w:rPr>
        <w:t>–</w:t>
      </w:r>
      <w:r w:rsidR="007209FC" w:rsidRPr="007209FC">
        <w:rPr>
          <w:lang w:val="en-US"/>
        </w:rPr>
        <w:t xml:space="preserve">Australia NGO Cooperation Agreement </w:t>
      </w:r>
      <w:r w:rsidR="00350DE7" w:rsidRPr="00E47FDC">
        <w:t>and to share our experiences in develop</w:t>
      </w:r>
      <w:r w:rsidR="007209FC">
        <w:t xml:space="preserve">ing </w:t>
      </w:r>
      <w:r w:rsidR="00350DE7" w:rsidRPr="00E47FDC">
        <w:t>the new rural livelihoods program.</w:t>
      </w:r>
    </w:p>
    <w:p w14:paraId="367E3D8D" w14:textId="3461A652" w:rsidR="005249C4" w:rsidRPr="005249C4" w:rsidRDefault="005249C4" w:rsidP="009B15A6">
      <w:pPr>
        <w:pStyle w:val="Heading2"/>
      </w:pPr>
      <w:r>
        <w:t xml:space="preserve">Strategy </w:t>
      </w:r>
      <w:r w:rsidR="00BA1C9E" w:rsidRPr="005249C4">
        <w:t>ob</w:t>
      </w:r>
      <w:r w:rsidR="00BA1C9E">
        <w:t>jective 5</w:t>
      </w:r>
      <w:r w:rsidR="007209FC">
        <w:t>:</w:t>
      </w:r>
      <w:r w:rsidR="00BA1C9E" w:rsidRPr="005249C4">
        <w:t xml:space="preserve"> management consequences</w:t>
      </w:r>
    </w:p>
    <w:p w14:paraId="01BEE0C1" w14:textId="7BFCCA34" w:rsidR="00B47EB5" w:rsidRPr="00D3670A" w:rsidRDefault="00E47FDC" w:rsidP="009B15A6">
      <w:pPr>
        <w:pStyle w:val="ListBullet"/>
        <w:rPr>
          <w:lang w:val="en-US"/>
        </w:rPr>
      </w:pPr>
      <w:r w:rsidRPr="00B47EB5">
        <w:t xml:space="preserve">Monitor closely issues </w:t>
      </w:r>
      <w:r w:rsidR="0045423F" w:rsidRPr="00B47EB5">
        <w:t xml:space="preserve">that may delay implementation of </w:t>
      </w:r>
      <w:r w:rsidR="007209FC" w:rsidRPr="007209FC">
        <w:rPr>
          <w:lang w:val="en-US"/>
        </w:rPr>
        <w:t xml:space="preserve">unexploded ordnance </w:t>
      </w:r>
      <w:r w:rsidR="0045423F" w:rsidRPr="00D3670A">
        <w:t xml:space="preserve">activities, such as the transfer of funds from </w:t>
      </w:r>
      <w:r w:rsidR="000D709A">
        <w:t>the United Nations Development Programme</w:t>
      </w:r>
      <w:r w:rsidR="000D709A" w:rsidRPr="00D3670A">
        <w:t xml:space="preserve"> </w:t>
      </w:r>
      <w:r w:rsidR="0045423F" w:rsidRPr="00D3670A">
        <w:t>to National Regulatory Authority and UXO Lao</w:t>
      </w:r>
      <w:r w:rsidR="000D709A">
        <w:t>,</w:t>
      </w:r>
      <w:r w:rsidR="000D709A" w:rsidRPr="00D3670A">
        <w:t xml:space="preserve"> </w:t>
      </w:r>
      <w:r w:rsidR="0045423F" w:rsidRPr="00D3670A">
        <w:t xml:space="preserve">high staff turnover </w:t>
      </w:r>
      <w:r w:rsidR="00BB60C5">
        <w:t>(</w:t>
      </w:r>
      <w:r w:rsidR="0045423F" w:rsidRPr="00D3670A">
        <w:t>particularly for UXO Lao</w:t>
      </w:r>
      <w:r w:rsidR="00BB60C5">
        <w:t>)</w:t>
      </w:r>
      <w:r w:rsidR="000D709A">
        <w:t>,</w:t>
      </w:r>
      <w:r w:rsidR="000D709A" w:rsidRPr="00D3670A">
        <w:t xml:space="preserve"> </w:t>
      </w:r>
      <w:r w:rsidR="0045423F" w:rsidRPr="00D3670A">
        <w:t>and the establishment of a small grants scheme (</w:t>
      </w:r>
      <w:r w:rsidR="000D709A">
        <w:t>non-government organisation</w:t>
      </w:r>
      <w:r w:rsidR="000D709A" w:rsidRPr="00D3670A">
        <w:t xml:space="preserve"> </w:t>
      </w:r>
      <w:r w:rsidR="0045423F" w:rsidRPr="00D3670A">
        <w:t>funding window) for victim assistance.</w:t>
      </w:r>
    </w:p>
    <w:p w14:paraId="12C1025D" w14:textId="4B0FB18B" w:rsidR="0045423F" w:rsidRPr="00B47EB5" w:rsidRDefault="00B47EB5" w:rsidP="009B15A6">
      <w:pPr>
        <w:pStyle w:val="ListBullet"/>
      </w:pPr>
      <w:r w:rsidRPr="00B47EB5">
        <w:t>Provide a</w:t>
      </w:r>
      <w:r w:rsidR="0045423F" w:rsidRPr="00B47EB5">
        <w:t>d</w:t>
      </w:r>
      <w:r w:rsidR="001F7BBD" w:rsidRPr="00B47EB5">
        <w:t xml:space="preserve">vice to </w:t>
      </w:r>
      <w:r w:rsidR="00160FAE">
        <w:t xml:space="preserve">DFAT </w:t>
      </w:r>
      <w:r w:rsidR="001F7BBD" w:rsidRPr="00B47EB5">
        <w:t>Canberra’s Multi</w:t>
      </w:r>
      <w:r w:rsidR="0045423F" w:rsidRPr="00B47EB5">
        <w:t xml:space="preserve">lateral and Donor Partnerships Branch to revise the </w:t>
      </w:r>
      <w:r w:rsidR="000D709A">
        <w:t>United Nations Development Programme</w:t>
      </w:r>
      <w:r w:rsidR="000D709A" w:rsidRPr="00B47EB5" w:rsidDel="000D709A">
        <w:t xml:space="preserve"> </w:t>
      </w:r>
      <w:r w:rsidR="0045423F" w:rsidRPr="00B47EB5">
        <w:t>Trust Fund template to better address</w:t>
      </w:r>
      <w:r w:rsidR="00643EFF">
        <w:t xml:space="preserve"> </w:t>
      </w:r>
      <w:r w:rsidR="00160FAE">
        <w:t>DFAT</w:t>
      </w:r>
      <w:r w:rsidR="0045423F" w:rsidRPr="00B47EB5">
        <w:t>’s fiduciary and safeguard</w:t>
      </w:r>
      <w:r w:rsidR="00FC39B1">
        <w:t>s</w:t>
      </w:r>
      <w:r w:rsidR="0045423F" w:rsidRPr="00B47EB5">
        <w:t xml:space="preserve"> requirements.</w:t>
      </w:r>
    </w:p>
    <w:p w14:paraId="118470BF" w14:textId="77777777" w:rsidR="00AD6165" w:rsidRDefault="00B47EB5" w:rsidP="009B15A6">
      <w:pPr>
        <w:pStyle w:val="ListBullet"/>
      </w:pPr>
      <w:r>
        <w:t>A</w:t>
      </w:r>
      <w:r w:rsidR="0045423F" w:rsidRPr="0045423F">
        <w:t>dvocate for greater Lao Government resource allocation to the sector</w:t>
      </w:r>
      <w:r w:rsidR="0065070B">
        <w:t xml:space="preserve"> and resources from other donors</w:t>
      </w:r>
      <w:r w:rsidR="0062316E">
        <w:t xml:space="preserve"> </w:t>
      </w:r>
      <w:r w:rsidR="0045423F" w:rsidRPr="0045423F">
        <w:t xml:space="preserve">through dialogue at the </w:t>
      </w:r>
      <w:r w:rsidR="000A3C76">
        <w:t xml:space="preserve">UXO </w:t>
      </w:r>
      <w:r w:rsidR="009B3E2C">
        <w:t xml:space="preserve">Action </w:t>
      </w:r>
      <w:r w:rsidR="000A3C76">
        <w:t xml:space="preserve">Sector Working Group and other relevant </w:t>
      </w:r>
      <w:proofErr w:type="spellStart"/>
      <w:r w:rsidR="000A3C76">
        <w:t>fora</w:t>
      </w:r>
      <w:proofErr w:type="spellEnd"/>
      <w:r w:rsidR="000A3C76">
        <w:t>.</w:t>
      </w:r>
    </w:p>
    <w:p w14:paraId="20E61A64" w14:textId="213663D8" w:rsidR="005249C4" w:rsidRPr="005249C4" w:rsidRDefault="005249C4" w:rsidP="009B15A6">
      <w:pPr>
        <w:pStyle w:val="Heading2"/>
      </w:pPr>
      <w:r>
        <w:t xml:space="preserve">Strategy </w:t>
      </w:r>
      <w:r w:rsidR="00BA1C9E" w:rsidRPr="005249C4">
        <w:t>ob</w:t>
      </w:r>
      <w:r w:rsidR="00BA1C9E">
        <w:t>jective 6</w:t>
      </w:r>
      <w:r w:rsidR="007209FC">
        <w:t>:</w:t>
      </w:r>
      <w:r w:rsidR="00BA1C9E" w:rsidRPr="005249C4">
        <w:t xml:space="preserve"> </w:t>
      </w:r>
      <w:r w:rsidR="00BA1C9E" w:rsidRPr="009B15A6">
        <w:t>management</w:t>
      </w:r>
      <w:r w:rsidR="00BA1C9E" w:rsidRPr="005249C4">
        <w:t xml:space="preserve"> consequences</w:t>
      </w:r>
    </w:p>
    <w:p w14:paraId="368F4159" w14:textId="657E2B5A" w:rsidR="00F30A26" w:rsidRDefault="00E47FDC" w:rsidP="009B15A6">
      <w:pPr>
        <w:pStyle w:val="ListBullet"/>
      </w:pPr>
      <w:r>
        <w:t>U</w:t>
      </w:r>
      <w:r w:rsidR="00F30A26" w:rsidRPr="00E47FDC">
        <w:t xml:space="preserve">se the </w:t>
      </w:r>
      <w:r w:rsidR="000D709A" w:rsidRPr="00E47FDC">
        <w:t>regional infrastructure adviser</w:t>
      </w:r>
      <w:r w:rsidR="00BB60C5">
        <w:t>,</w:t>
      </w:r>
      <w:r w:rsidR="000D709A" w:rsidRPr="00E47FDC">
        <w:t xml:space="preserve"> and safeguards and inclusive development </w:t>
      </w:r>
      <w:r w:rsidR="00F30A26" w:rsidRPr="00E47FDC">
        <w:t>specialists</w:t>
      </w:r>
      <w:r w:rsidR="00BB60C5">
        <w:t>,</w:t>
      </w:r>
      <w:r w:rsidR="00F30A26" w:rsidRPr="00E47FDC">
        <w:t xml:space="preserve"> </w:t>
      </w:r>
      <w:r w:rsidR="000D709A" w:rsidRPr="00E47FDC">
        <w:t xml:space="preserve">to </w:t>
      </w:r>
      <w:r w:rsidR="000D709A">
        <w:t>help us manage risks</w:t>
      </w:r>
      <w:r w:rsidR="000D709A" w:rsidRPr="00E47FDC">
        <w:t xml:space="preserve"> </w:t>
      </w:r>
      <w:r w:rsidR="000D709A">
        <w:t>by</w:t>
      </w:r>
      <w:r w:rsidR="000D709A" w:rsidRPr="00E47FDC">
        <w:t xml:space="preserve"> provid</w:t>
      </w:r>
      <w:r w:rsidR="000D709A">
        <w:t>ing</w:t>
      </w:r>
      <w:r w:rsidR="000D709A" w:rsidRPr="00E47FDC">
        <w:t xml:space="preserve"> </w:t>
      </w:r>
      <w:r w:rsidR="00F30A26" w:rsidRPr="00E47FDC">
        <w:t>technical supervision support to the Poverty Reduction Fund Phase 2.</w:t>
      </w:r>
    </w:p>
    <w:p w14:paraId="30CAD710" w14:textId="3451FC21" w:rsidR="0045423F" w:rsidRPr="00E47FDC" w:rsidRDefault="00E47FDC" w:rsidP="009B15A6">
      <w:pPr>
        <w:pStyle w:val="ListBullet"/>
      </w:pPr>
      <w:r>
        <w:t>Seek opportunities to</w:t>
      </w:r>
      <w:r w:rsidR="0045423F" w:rsidRPr="00E47FDC">
        <w:t xml:space="preserve"> engage in </w:t>
      </w:r>
      <w:r w:rsidR="000D709A" w:rsidRPr="00E47FDC">
        <w:t>high</w:t>
      </w:r>
      <w:r w:rsidR="000D709A">
        <w:t>-</w:t>
      </w:r>
      <w:r w:rsidR="0045423F" w:rsidRPr="00E47FDC">
        <w:t>level policy dialogue on critical issues associated with the implementation of the Poverty Reduct</w:t>
      </w:r>
      <w:r w:rsidR="009B3E2C" w:rsidRPr="00E47FDC">
        <w:t>ion Fund.</w:t>
      </w:r>
    </w:p>
    <w:p w14:paraId="70A95195" w14:textId="77777777" w:rsidR="00762F52" w:rsidRDefault="00762F52" w:rsidP="00F71F5C"/>
    <w:p w14:paraId="65284CAA" w14:textId="77777777" w:rsidR="00BB60C5" w:rsidRDefault="00BB60C5" w:rsidP="00A77837">
      <w:pPr>
        <w:pStyle w:val="BodyText"/>
        <w:rPr>
          <w:rFonts w:ascii="Arial" w:hAnsi="Arial" w:cs="Arial"/>
          <w:color w:val="7E6D5F"/>
          <w:szCs w:val="19"/>
        </w:rPr>
      </w:pPr>
      <w:r>
        <w:br w:type="page"/>
      </w:r>
    </w:p>
    <w:p w14:paraId="2AABB9FD" w14:textId="372D6FD7" w:rsidR="00BE65E4" w:rsidRPr="00367FC4" w:rsidRDefault="0076731D" w:rsidP="00367FC4">
      <w:pPr>
        <w:pStyle w:val="Caption"/>
      </w:pPr>
      <w:r w:rsidRPr="00367FC4">
        <w:lastRenderedPageBreak/>
        <w:t xml:space="preserve">Table </w:t>
      </w:r>
      <w:r w:rsidR="004778F1">
        <w:fldChar w:fldCharType="begin"/>
      </w:r>
      <w:r w:rsidR="004778F1">
        <w:instrText xml:space="preserve"> SEQ Table \* ARABIC </w:instrText>
      </w:r>
      <w:r w:rsidR="004778F1">
        <w:fldChar w:fldCharType="separate"/>
      </w:r>
      <w:r w:rsidR="004778F1">
        <w:rPr>
          <w:noProof/>
        </w:rPr>
        <w:t>3</w:t>
      </w:r>
      <w:r w:rsidR="004778F1">
        <w:rPr>
          <w:noProof/>
        </w:rPr>
        <w:fldChar w:fldCharType="end"/>
      </w:r>
      <w:r w:rsidR="00BA1C9E" w:rsidRPr="00367FC4">
        <w:t>:</w:t>
      </w:r>
      <w:r w:rsidRPr="00367FC4">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180B19" w14:paraId="5AB12047" w14:textId="77777777" w:rsidTr="00367FC4">
        <w:trPr>
          <w:cantSplit/>
          <w:tblHeader w:val="0"/>
        </w:trPr>
        <w:tc>
          <w:tcPr>
            <w:tcW w:w="4363" w:type="dxa"/>
            <w:hideMark/>
          </w:tcPr>
          <w:p w14:paraId="190AF84D" w14:textId="77777777" w:rsidR="00180B19" w:rsidRPr="00367FC4" w:rsidRDefault="00180B19" w:rsidP="00367FC4">
            <w:pPr>
              <w:pStyle w:val="TableTextColumnHeading"/>
            </w:pPr>
            <w:r w:rsidRPr="00367FC4">
              <w:t>Most significant risks</w:t>
            </w:r>
          </w:p>
        </w:tc>
        <w:tc>
          <w:tcPr>
            <w:tcW w:w="4103" w:type="dxa"/>
          </w:tcPr>
          <w:p w14:paraId="54E47032" w14:textId="32DFE0D2" w:rsidR="00180B19" w:rsidRPr="00367FC4" w:rsidRDefault="00180B19" w:rsidP="00367FC4">
            <w:pPr>
              <w:pStyle w:val="TableTextColumnHeading"/>
            </w:pPr>
            <w:r w:rsidRPr="00367FC4">
              <w:t xml:space="preserve">Management </w:t>
            </w:r>
            <w:r w:rsidR="00BA1C9E" w:rsidRPr="00367FC4">
              <w:t xml:space="preserve">response – </w:t>
            </w:r>
            <w:r w:rsidRPr="00367FC4">
              <w:t xml:space="preserve">What? Who? How? When? </w:t>
            </w:r>
          </w:p>
        </w:tc>
      </w:tr>
      <w:tr w:rsidR="00180B19" w:rsidRPr="00180B19" w14:paraId="283BC79E" w14:textId="77777777" w:rsidTr="00367FC4">
        <w:trPr>
          <w:cantSplit/>
          <w:tblHeader w:val="0"/>
        </w:trPr>
        <w:tc>
          <w:tcPr>
            <w:tcW w:w="4363" w:type="dxa"/>
            <w:hideMark/>
          </w:tcPr>
          <w:p w14:paraId="58303622" w14:textId="51C0A11E" w:rsidR="00180B19" w:rsidRPr="00367FC4" w:rsidRDefault="0023791F" w:rsidP="00367FC4">
            <w:pPr>
              <w:pStyle w:val="TableTextEntries"/>
            </w:pPr>
            <w:r w:rsidRPr="00367FC4">
              <w:t xml:space="preserve">Continued </w:t>
            </w:r>
            <w:r w:rsidR="00350DE7" w:rsidRPr="00367FC4">
              <w:t xml:space="preserve">Lao Government </w:t>
            </w:r>
            <w:r w:rsidRPr="00367FC4">
              <w:t>low level budget allocation and expenditure (particularly non-wage recurrent budget) to education</w:t>
            </w:r>
            <w:r w:rsidR="00C90725" w:rsidRPr="00367FC4">
              <w:t xml:space="preserve"> will undermine the sustainability prospects of Australia’s investments in the sector</w:t>
            </w:r>
          </w:p>
        </w:tc>
        <w:tc>
          <w:tcPr>
            <w:tcW w:w="4103" w:type="dxa"/>
          </w:tcPr>
          <w:p w14:paraId="4C99973C" w14:textId="341AFF15" w:rsidR="00B47EB5" w:rsidRPr="00367FC4" w:rsidRDefault="00B47EB5" w:rsidP="00367FC4">
            <w:pPr>
              <w:pStyle w:val="TableTextEntries"/>
            </w:pPr>
            <w:r w:rsidRPr="00367FC4">
              <w:t xml:space="preserve">Undertake a ‘working in partner systems’ fiduciary assessment for the education sector. To be undertaken by </w:t>
            </w:r>
            <w:r w:rsidR="00FB69E9">
              <w:t xml:space="preserve">the aid </w:t>
            </w:r>
            <w:r w:rsidR="00586840">
              <w:t>program</w:t>
            </w:r>
            <w:r w:rsidR="00FB69E9">
              <w:t xml:space="preserve"> </w:t>
            </w:r>
            <w:r w:rsidR="000D709A" w:rsidRPr="00367FC4">
              <w:t xml:space="preserve">education </w:t>
            </w:r>
            <w:r w:rsidRPr="00367FC4">
              <w:t>team (First and Second Secretaries) with support from Laos Desk by August 2013</w:t>
            </w:r>
          </w:p>
          <w:p w14:paraId="6144D211" w14:textId="0AB89D74" w:rsidR="00180B19" w:rsidRPr="00367FC4" w:rsidRDefault="000F7E83" w:rsidP="00FB69E9">
            <w:pPr>
              <w:pStyle w:val="TableTextEntries"/>
            </w:pPr>
            <w:r w:rsidRPr="00367FC4">
              <w:t xml:space="preserve">A </w:t>
            </w:r>
            <w:r w:rsidR="000D709A" w:rsidRPr="00367FC4">
              <w:t xml:space="preserve">budget engagement strategy </w:t>
            </w:r>
            <w:r w:rsidRPr="00367FC4">
              <w:t>will be developed for</w:t>
            </w:r>
            <w:r w:rsidR="00B47EB5" w:rsidRPr="00367FC4">
              <w:t xml:space="preserve"> the education sector by December</w:t>
            </w:r>
            <w:r w:rsidRPr="00367FC4">
              <w:t xml:space="preserve"> 2013</w:t>
            </w:r>
            <w:r w:rsidR="00B47EB5" w:rsidRPr="00367FC4">
              <w:t xml:space="preserve"> </w:t>
            </w:r>
            <w:r w:rsidR="00FC39B1">
              <w:t>l</w:t>
            </w:r>
            <w:r w:rsidR="00EE6765" w:rsidRPr="00367FC4">
              <w:t>ed by</w:t>
            </w:r>
            <w:r w:rsidR="00B47EB5" w:rsidRPr="00367FC4">
              <w:t xml:space="preserve"> </w:t>
            </w:r>
            <w:r w:rsidR="00FB69E9">
              <w:t xml:space="preserve">DFAT </w:t>
            </w:r>
            <w:r w:rsidRPr="00367FC4">
              <w:t>Counsellor</w:t>
            </w:r>
            <w:r w:rsidR="00FC39B1">
              <w:t xml:space="preserve"> Vientiane</w:t>
            </w:r>
          </w:p>
        </w:tc>
      </w:tr>
      <w:tr w:rsidR="00180B19" w:rsidRPr="00180B19" w14:paraId="130D7B8E" w14:textId="77777777" w:rsidTr="00367FC4">
        <w:trPr>
          <w:cantSplit/>
          <w:tblHeader w:val="0"/>
        </w:trPr>
        <w:tc>
          <w:tcPr>
            <w:tcW w:w="4363" w:type="dxa"/>
          </w:tcPr>
          <w:p w14:paraId="1865D264" w14:textId="0493B982" w:rsidR="00180B19" w:rsidRPr="00367FC4" w:rsidRDefault="007C457E" w:rsidP="00367FC4">
            <w:pPr>
              <w:pStyle w:val="TableTextEntries"/>
            </w:pPr>
            <w:r>
              <w:t>Re-settlement</w:t>
            </w:r>
            <w:r w:rsidR="00762F52" w:rsidRPr="00367FC4">
              <w:t xml:space="preserve"> processes </w:t>
            </w:r>
            <w:r w:rsidR="00C90725" w:rsidRPr="00367FC4">
              <w:t xml:space="preserve">undermine the development </w:t>
            </w:r>
            <w:r w:rsidR="00762F52" w:rsidRPr="00367FC4">
              <w:t>impact</w:t>
            </w:r>
            <w:r w:rsidR="00C90725" w:rsidRPr="00367FC4">
              <w:t>s</w:t>
            </w:r>
            <w:r w:rsidR="00762F52" w:rsidRPr="00367FC4">
              <w:t xml:space="preserve"> </w:t>
            </w:r>
            <w:r w:rsidR="00C90725" w:rsidRPr="00367FC4">
              <w:t xml:space="preserve">and sustainability of Australia’s aid investments, particularly in education and rural development, </w:t>
            </w:r>
            <w:r w:rsidR="0023791F" w:rsidRPr="00367FC4">
              <w:t xml:space="preserve">and policy dialogue opportunities to address </w:t>
            </w:r>
            <w:r w:rsidR="00C90725" w:rsidRPr="00367FC4">
              <w:t xml:space="preserve">this negative impact are </w:t>
            </w:r>
            <w:r w:rsidR="0023791F" w:rsidRPr="00367FC4">
              <w:t>not effective</w:t>
            </w:r>
          </w:p>
        </w:tc>
        <w:tc>
          <w:tcPr>
            <w:tcW w:w="4103" w:type="dxa"/>
          </w:tcPr>
          <w:p w14:paraId="1544FF94" w14:textId="32407516" w:rsidR="00180B19" w:rsidRPr="00367FC4" w:rsidRDefault="000D709A" w:rsidP="00367FC4">
            <w:pPr>
              <w:pStyle w:val="TableTextEntries"/>
            </w:pPr>
            <w:r w:rsidRPr="00367FC4">
              <w:t xml:space="preserve">Undertake a </w:t>
            </w:r>
            <w:r w:rsidR="007C457E">
              <w:t>re-settlement</w:t>
            </w:r>
            <w:r w:rsidRPr="00367FC4">
              <w:t xml:space="preserve"> </w:t>
            </w:r>
            <w:r w:rsidR="00E721CF" w:rsidRPr="00367FC4">
              <w:t xml:space="preserve">risk analysis on </w:t>
            </w:r>
            <w:proofErr w:type="gramStart"/>
            <w:r w:rsidR="00E721CF" w:rsidRPr="00367FC4">
              <w:t>Laos</w:t>
            </w:r>
            <w:proofErr w:type="gramEnd"/>
            <w:r w:rsidR="00E721CF" w:rsidRPr="00367FC4">
              <w:t xml:space="preserve"> portfolio</w:t>
            </w:r>
            <w:r w:rsidRPr="00367FC4">
              <w:t xml:space="preserve">. The P&amp;Q Team (First Secretary and Program Manager) to prepare </w:t>
            </w:r>
            <w:r w:rsidR="007A189F" w:rsidRPr="00367FC4">
              <w:t xml:space="preserve">a </w:t>
            </w:r>
            <w:r w:rsidR="00E721CF" w:rsidRPr="00367FC4">
              <w:t xml:space="preserve">management practice note </w:t>
            </w:r>
            <w:r w:rsidR="00B47EB5" w:rsidRPr="00367FC4">
              <w:t>by January 2014</w:t>
            </w:r>
          </w:p>
        </w:tc>
      </w:tr>
      <w:tr w:rsidR="00CC755C" w:rsidRPr="00180B19" w14:paraId="2D46E94B" w14:textId="77777777" w:rsidTr="00367FC4">
        <w:trPr>
          <w:cantSplit/>
          <w:tblHeader w:val="0"/>
        </w:trPr>
        <w:tc>
          <w:tcPr>
            <w:tcW w:w="4363" w:type="dxa"/>
          </w:tcPr>
          <w:p w14:paraId="07499F33" w14:textId="470B768E" w:rsidR="00C90725" w:rsidRPr="00367FC4" w:rsidRDefault="00CC755C" w:rsidP="00367FC4">
            <w:pPr>
              <w:pStyle w:val="TableTextEntries"/>
            </w:pPr>
            <w:r w:rsidRPr="00367FC4">
              <w:t>The bulk of Laos Country Program expenditur</w:t>
            </w:r>
            <w:r w:rsidR="00EE6765" w:rsidRPr="00367FC4">
              <w:t>e continues to be highly focused</w:t>
            </w:r>
            <w:r w:rsidRPr="00367FC4">
              <w:t xml:space="preserve"> on multilateral agencies and trust funds</w:t>
            </w:r>
            <w:r w:rsidR="00C90725" w:rsidRPr="00367FC4">
              <w:t xml:space="preserve"> which leads to over</w:t>
            </w:r>
            <w:r w:rsidR="00B45A9A" w:rsidRPr="00367FC4">
              <w:t xml:space="preserve"> </w:t>
            </w:r>
            <w:r w:rsidR="00C90725" w:rsidRPr="00367FC4">
              <w:t>exposure and risk of significant program delays</w:t>
            </w:r>
          </w:p>
        </w:tc>
        <w:tc>
          <w:tcPr>
            <w:tcW w:w="4103" w:type="dxa"/>
          </w:tcPr>
          <w:p w14:paraId="2E6D2C3D" w14:textId="677D0FEE" w:rsidR="00CC755C" w:rsidRPr="00367FC4" w:rsidRDefault="00EE6765" w:rsidP="00FB69E9">
            <w:pPr>
              <w:pStyle w:val="TableTextEntries"/>
            </w:pPr>
            <w:r w:rsidRPr="00367FC4">
              <w:t>Laos Country Program will enhance the use of bilateral del</w:t>
            </w:r>
            <w:r w:rsidR="00B47EB5" w:rsidRPr="00367FC4">
              <w:t>ivery mechanisms during 2013</w:t>
            </w:r>
            <w:r w:rsidR="000D709A" w:rsidRPr="00367FC4">
              <w:t>–</w:t>
            </w:r>
            <w:r w:rsidR="00B47EB5" w:rsidRPr="00367FC4">
              <w:t>14 through the design and implementation of new programs in rural development and education</w:t>
            </w:r>
            <w:r w:rsidR="000D709A" w:rsidRPr="00367FC4">
              <w:t>. T</w:t>
            </w:r>
            <w:r w:rsidR="00B47EB5" w:rsidRPr="00367FC4">
              <w:t>hese will commence in December 2013/January 2014</w:t>
            </w:r>
            <w:r w:rsidR="000D709A" w:rsidRPr="00367FC4">
              <w:t xml:space="preserve"> and </w:t>
            </w:r>
            <w:r w:rsidR="00B47EB5" w:rsidRPr="00367FC4">
              <w:t>will be l</w:t>
            </w:r>
            <w:r w:rsidRPr="00367FC4">
              <w:t xml:space="preserve">ed by </w:t>
            </w:r>
            <w:r w:rsidR="00FB69E9">
              <w:t xml:space="preserve">DFAT </w:t>
            </w:r>
            <w:r w:rsidRPr="00367FC4">
              <w:t>Counsellor</w:t>
            </w:r>
            <w:r w:rsidR="00FC39B1">
              <w:t xml:space="preserve"> Vientiane</w:t>
            </w:r>
          </w:p>
        </w:tc>
      </w:tr>
      <w:tr w:rsidR="00180B19" w:rsidRPr="00180B19" w14:paraId="1FC0CD6A" w14:textId="77777777" w:rsidTr="00367FC4">
        <w:trPr>
          <w:cantSplit/>
          <w:tblHeader w:val="0"/>
        </w:trPr>
        <w:tc>
          <w:tcPr>
            <w:tcW w:w="4363" w:type="dxa"/>
          </w:tcPr>
          <w:p w14:paraId="1470A084" w14:textId="34595075" w:rsidR="00180B19" w:rsidRPr="00367FC4" w:rsidRDefault="00C90725" w:rsidP="00367FC4">
            <w:pPr>
              <w:pStyle w:val="TableTextEntries"/>
            </w:pPr>
            <w:r w:rsidRPr="00367FC4">
              <w:t>Non-OECD member</w:t>
            </w:r>
            <w:r w:rsidR="00CC755C" w:rsidRPr="00367FC4">
              <w:t xml:space="preserve"> donor investments duplicate Australian aid program investments</w:t>
            </w:r>
            <w:r w:rsidRPr="00367FC4">
              <w:t>, leading to inefficiency and waste</w:t>
            </w:r>
          </w:p>
          <w:p w14:paraId="3FCA9942" w14:textId="77777777" w:rsidR="00C90725" w:rsidRPr="00367FC4" w:rsidRDefault="00C90725" w:rsidP="00367FC4">
            <w:pPr>
              <w:pStyle w:val="TableTextEntries"/>
            </w:pPr>
          </w:p>
        </w:tc>
        <w:tc>
          <w:tcPr>
            <w:tcW w:w="4103" w:type="dxa"/>
          </w:tcPr>
          <w:p w14:paraId="5A664062" w14:textId="43D8FE6B" w:rsidR="00180B19" w:rsidRPr="00367FC4" w:rsidRDefault="00EE6765" w:rsidP="00FB69E9">
            <w:pPr>
              <w:pStyle w:val="TableTextEntries"/>
            </w:pPr>
            <w:r w:rsidRPr="00367FC4">
              <w:t>Enhanced</w:t>
            </w:r>
            <w:r w:rsidR="00C90725" w:rsidRPr="00367FC4">
              <w:t xml:space="preserve"> bilateral dialogue with non-OECD member</w:t>
            </w:r>
            <w:r w:rsidRPr="00367FC4">
              <w:t xml:space="preserve"> donors (and Laos neighbours) </w:t>
            </w:r>
            <w:r w:rsidR="000D709A" w:rsidRPr="00367FC4">
              <w:t xml:space="preserve">throughout 2013–14 led by Head of Mission and </w:t>
            </w:r>
            <w:r w:rsidR="00FB69E9">
              <w:t xml:space="preserve">DFAT </w:t>
            </w:r>
            <w:r w:rsidR="000D709A" w:rsidRPr="00367FC4">
              <w:t xml:space="preserve">Counsellor at </w:t>
            </w:r>
            <w:r w:rsidRPr="00367FC4">
              <w:t>the Australian Embassy</w:t>
            </w:r>
            <w:r w:rsidR="000D709A" w:rsidRPr="00367FC4">
              <w:t xml:space="preserve"> in</w:t>
            </w:r>
            <w:r w:rsidRPr="00367FC4">
              <w:t xml:space="preserve"> Vientiane</w:t>
            </w:r>
          </w:p>
        </w:tc>
      </w:tr>
    </w:tbl>
    <w:p w14:paraId="42951EDE" w14:textId="77777777" w:rsidR="00522AB9" w:rsidRDefault="00522AB9" w:rsidP="002A1935">
      <w:pPr>
        <w:pStyle w:val="BodyText"/>
        <w:sectPr w:rsidR="00522AB9" w:rsidSect="004614F1">
          <w:headerReference w:type="default" r:id="rId10"/>
          <w:footerReference w:type="default" r:id="rId11"/>
          <w:headerReference w:type="first" r:id="rId12"/>
          <w:footerReference w:type="first" r:id="rId13"/>
          <w:pgSz w:w="11906" w:h="16838" w:code="9"/>
          <w:pgMar w:top="2268" w:right="1701" w:bottom="907" w:left="1871" w:header="709" w:footer="425" w:gutter="0"/>
          <w:cols w:space="708"/>
          <w:titlePg/>
          <w:docGrid w:linePitch="360"/>
        </w:sectPr>
      </w:pPr>
    </w:p>
    <w:p w14:paraId="6DCE0FCD" w14:textId="77777777" w:rsidR="00FE4491" w:rsidRPr="00367FC4" w:rsidRDefault="00C65930" w:rsidP="00367FC4">
      <w:pPr>
        <w:pStyle w:val="Heading1"/>
      </w:pPr>
      <w:r w:rsidRPr="00367FC4">
        <w:lastRenderedPageBreak/>
        <w:t>Annex A</w:t>
      </w:r>
    </w:p>
    <w:p w14:paraId="15410D8F" w14:textId="77777777" w:rsidR="00D54B48" w:rsidRPr="00367FC4" w:rsidRDefault="00FE4491" w:rsidP="00367FC4">
      <w:pPr>
        <w:pStyle w:val="Heading2"/>
      </w:pPr>
      <w:r w:rsidRPr="00367FC4">
        <w:t>Progress in addressing 2011 management consequences</w:t>
      </w:r>
    </w:p>
    <w:tbl>
      <w:tblPr>
        <w:tblStyle w:val="APPR"/>
        <w:tblW w:w="5000" w:type="pct"/>
        <w:tblLayout w:type="fixed"/>
        <w:tblLook w:val="0000" w:firstRow="0" w:lastRow="0" w:firstColumn="0" w:lastColumn="0" w:noHBand="0" w:noVBand="0"/>
      </w:tblPr>
      <w:tblGrid>
        <w:gridCol w:w="6282"/>
        <w:gridCol w:w="829"/>
        <w:gridCol w:w="6824"/>
      </w:tblGrid>
      <w:tr w:rsidR="00FE4491" w:rsidRPr="00180B19" w14:paraId="51F5AFE0" w14:textId="77777777" w:rsidTr="00367FC4">
        <w:trPr>
          <w:cantSplit/>
          <w:tblHeader w:val="0"/>
        </w:trPr>
        <w:tc>
          <w:tcPr>
            <w:tcW w:w="6473" w:type="dxa"/>
          </w:tcPr>
          <w:p w14:paraId="7BB1D195" w14:textId="172E50B5" w:rsidR="00FE4491" w:rsidRPr="00367FC4" w:rsidRDefault="00FE4491" w:rsidP="00180E9C">
            <w:pPr>
              <w:pStyle w:val="TableTextColumnHeading"/>
            </w:pPr>
            <w:r w:rsidRPr="00367FC4">
              <w:t>Management consequences identified in 2011 APPR</w:t>
            </w:r>
            <w:r w:rsidR="0052425E">
              <w:t xml:space="preserve"> (Annual Program Performance Report)</w:t>
            </w:r>
            <w:r w:rsidR="00180E9C">
              <w:rPr>
                <w:rStyle w:val="FootnoteReference"/>
              </w:rPr>
              <w:t xml:space="preserve"> </w:t>
            </w:r>
            <w:r w:rsidR="00180E9C">
              <w:rPr>
                <w:rStyle w:val="FootnoteReference"/>
              </w:rPr>
              <w:footnoteReference w:id="52"/>
            </w:r>
            <w:r w:rsidR="0052425E">
              <w:t xml:space="preserve"> </w:t>
            </w:r>
            <w:r w:rsidRPr="00367FC4">
              <w:tab/>
            </w:r>
          </w:p>
        </w:tc>
        <w:tc>
          <w:tcPr>
            <w:tcW w:w="823" w:type="dxa"/>
          </w:tcPr>
          <w:p w14:paraId="6FC22887" w14:textId="77777777" w:rsidR="00FE4491" w:rsidRPr="00367FC4" w:rsidRDefault="00FE4491" w:rsidP="00367FC4">
            <w:pPr>
              <w:pStyle w:val="TableTextColumnHeading"/>
            </w:pPr>
            <w:r w:rsidRPr="00367FC4">
              <w:t>Rating</w:t>
            </w:r>
          </w:p>
        </w:tc>
        <w:tc>
          <w:tcPr>
            <w:tcW w:w="7037" w:type="dxa"/>
          </w:tcPr>
          <w:p w14:paraId="0699B65D" w14:textId="5592330B" w:rsidR="00FE4491" w:rsidRPr="00367FC4" w:rsidRDefault="00FE4491" w:rsidP="00367FC4">
            <w:pPr>
              <w:pStyle w:val="TableTextColumnHeading"/>
            </w:pPr>
            <w:r w:rsidRPr="00367FC4">
              <w:t>Progress made in 2012</w:t>
            </w:r>
            <w:r w:rsidR="00BC6163" w:rsidRPr="00367FC4">
              <w:t>–</w:t>
            </w:r>
            <w:r w:rsidRPr="00367FC4">
              <w:t>13</w:t>
            </w:r>
          </w:p>
        </w:tc>
      </w:tr>
      <w:tr w:rsidR="00FE4491" w:rsidRPr="00180B19" w14:paraId="7AD5DDC9" w14:textId="77777777" w:rsidTr="00367FC4">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59691704" w14:textId="1F5E98CD" w:rsidR="00FE4491" w:rsidRPr="00367FC4" w:rsidRDefault="00836AC0" w:rsidP="00367FC4">
            <w:pPr>
              <w:pStyle w:val="TableTextEntries"/>
            </w:pPr>
            <w:r w:rsidRPr="00367FC4">
              <w:t>Education Delivery Strategy to be prepared</w:t>
            </w:r>
            <w:r w:rsidR="00BC6163" w:rsidRPr="00367FC4">
              <w:t>.</w:t>
            </w:r>
          </w:p>
        </w:tc>
        <w:tc>
          <w:tcPr>
            <w:tcW w:w="823" w:type="dxa"/>
            <w:shd w:val="clear" w:color="auto" w:fill="92D050"/>
          </w:tcPr>
          <w:p w14:paraId="2FA4CAD9" w14:textId="77777777" w:rsidR="00FE4491" w:rsidRPr="00367FC4" w:rsidRDefault="00443639" w:rsidP="00367FC4">
            <w:pPr>
              <w:pStyle w:val="TableTextEntries"/>
            </w:pPr>
            <w:r w:rsidRPr="00367FC4">
              <w:t>Green</w:t>
            </w:r>
          </w:p>
        </w:tc>
        <w:tc>
          <w:tcPr>
            <w:tcW w:w="7037" w:type="dxa"/>
          </w:tcPr>
          <w:p w14:paraId="6006AADE" w14:textId="1AFBACDB" w:rsidR="00FE4491" w:rsidRPr="00367FC4" w:rsidRDefault="00BC6163" w:rsidP="00367FC4">
            <w:pPr>
              <w:pStyle w:val="TableTextEntries"/>
            </w:pPr>
            <w:r w:rsidRPr="00367FC4">
              <w:t xml:space="preserve">Preparation </w:t>
            </w:r>
            <w:r w:rsidR="00643DE3" w:rsidRPr="00367FC4">
              <w:t>of</w:t>
            </w:r>
            <w:r w:rsidRPr="00367FC4">
              <w:t xml:space="preserve"> the </w:t>
            </w:r>
            <w:r w:rsidR="00836AC0" w:rsidRPr="00367FC4">
              <w:t>Education Delivery Strategy</w:t>
            </w:r>
            <w:r w:rsidR="004D7C76" w:rsidRPr="00367FC4">
              <w:t xml:space="preserve"> commenced in November 2012 with a situational analysis and an inclusive education analysis. The strategy is scheduled for </w:t>
            </w:r>
            <w:r w:rsidR="00836AC0" w:rsidRPr="00367FC4">
              <w:t>peer review a</w:t>
            </w:r>
            <w:r w:rsidR="004D7C76" w:rsidRPr="00367FC4">
              <w:t xml:space="preserve">nd finalisation in </w:t>
            </w:r>
            <w:r w:rsidR="00836AC0" w:rsidRPr="00367FC4">
              <w:t>the third quarter of 2013.</w:t>
            </w:r>
          </w:p>
        </w:tc>
      </w:tr>
      <w:tr w:rsidR="00FE4491" w:rsidRPr="00180B19" w14:paraId="6A544A1D" w14:textId="77777777" w:rsidTr="00367FC4">
        <w:trPr>
          <w:cantSplit/>
          <w:tblHeader w:val="0"/>
        </w:trPr>
        <w:tc>
          <w:tcPr>
            <w:tcW w:w="6473" w:type="dxa"/>
          </w:tcPr>
          <w:p w14:paraId="79AA71BC" w14:textId="0B18AB5F" w:rsidR="00FE4491" w:rsidRPr="00367FC4" w:rsidRDefault="00836AC0" w:rsidP="00367FC4">
            <w:pPr>
              <w:pStyle w:val="TableTextEntries"/>
            </w:pPr>
            <w:r w:rsidRPr="00367FC4">
              <w:t>Further analysis of re-settlement issues in the education sector to be undertaken</w:t>
            </w:r>
            <w:r w:rsidR="00BC6163" w:rsidRPr="00367FC4">
              <w:t>.</w:t>
            </w:r>
          </w:p>
        </w:tc>
        <w:tc>
          <w:tcPr>
            <w:tcW w:w="823" w:type="dxa"/>
            <w:shd w:val="clear" w:color="auto" w:fill="F79646" w:themeFill="accent6"/>
          </w:tcPr>
          <w:p w14:paraId="1ADA341B" w14:textId="77777777" w:rsidR="00FE4491" w:rsidRPr="00367FC4" w:rsidRDefault="00D54B48" w:rsidP="00367FC4">
            <w:pPr>
              <w:pStyle w:val="TableTextEntries"/>
            </w:pPr>
            <w:r w:rsidRPr="00367FC4">
              <w:t>Amber</w:t>
            </w:r>
            <w:r w:rsidR="00FE4491" w:rsidRPr="00367FC4">
              <w:fldChar w:fldCharType="begin"/>
            </w:r>
            <w:r w:rsidR="00FE4491" w:rsidRPr="00367FC4">
              <w:instrText xml:space="preserve"> AUTOTEXTLIST  \s "Rating bullet"\t "Right click to choose a rating" \* MERGEFORMAT </w:instrText>
            </w:r>
            <w:r w:rsidR="004778F1">
              <w:fldChar w:fldCharType="separate"/>
            </w:r>
            <w:r w:rsidR="00FE4491" w:rsidRPr="00367FC4">
              <w:fldChar w:fldCharType="end"/>
            </w:r>
          </w:p>
        </w:tc>
        <w:tc>
          <w:tcPr>
            <w:tcW w:w="7037" w:type="dxa"/>
          </w:tcPr>
          <w:p w14:paraId="400DBE8F" w14:textId="10467AA1" w:rsidR="00FE4491" w:rsidRPr="00367FC4" w:rsidRDefault="00836AC0" w:rsidP="00367FC4">
            <w:pPr>
              <w:pStyle w:val="TableTextEntries"/>
            </w:pPr>
            <w:r w:rsidRPr="00367FC4">
              <w:t xml:space="preserve">Mekong-wide program analysis (focusing on infrastructure programs) was undertaken in </w:t>
            </w:r>
            <w:r w:rsidR="00A17EDA" w:rsidRPr="00367FC4">
              <w:t xml:space="preserve">August </w:t>
            </w:r>
            <w:proofErr w:type="gramStart"/>
            <w:r w:rsidR="00A17EDA" w:rsidRPr="00367FC4">
              <w:t>2012</w:t>
            </w:r>
            <w:r w:rsidRPr="00367FC4">
              <w:t>,</w:t>
            </w:r>
            <w:proofErr w:type="gramEnd"/>
            <w:r w:rsidRPr="00367FC4">
              <w:t xml:space="preserve"> however a portfolio-wide</w:t>
            </w:r>
            <w:r w:rsidR="00D54B48" w:rsidRPr="00367FC4">
              <w:t xml:space="preserve"> analysis of re-settlement issues in the Laos Country Program is yet to be completed</w:t>
            </w:r>
            <w:r w:rsidR="00BC6163" w:rsidRPr="00367FC4">
              <w:t xml:space="preserve">. This </w:t>
            </w:r>
            <w:r w:rsidR="00D54B48" w:rsidRPr="00367FC4">
              <w:t>will be undertaken in 2013</w:t>
            </w:r>
            <w:r w:rsidR="00BC6163" w:rsidRPr="00367FC4">
              <w:t>–</w:t>
            </w:r>
            <w:r w:rsidR="00D54B48" w:rsidRPr="00367FC4">
              <w:t>14.</w:t>
            </w:r>
          </w:p>
        </w:tc>
      </w:tr>
      <w:tr w:rsidR="00FE4491" w:rsidRPr="00180B19" w14:paraId="23EADD9C" w14:textId="77777777" w:rsidTr="00367FC4">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3EAC3664" w14:textId="7ADB1BC5" w:rsidR="00FE4491" w:rsidRPr="00367FC4" w:rsidRDefault="00D54B48" w:rsidP="00367FC4">
            <w:pPr>
              <w:pStyle w:val="TableTextEntries"/>
            </w:pPr>
            <w:r w:rsidRPr="00367FC4">
              <w:t>Lead policy dialogue role in education to be sustained</w:t>
            </w:r>
            <w:r w:rsidR="00BC6163" w:rsidRPr="00367FC4">
              <w:t xml:space="preserve"> through the Education Sector Working Group.</w:t>
            </w:r>
          </w:p>
        </w:tc>
        <w:tc>
          <w:tcPr>
            <w:tcW w:w="823" w:type="dxa"/>
            <w:shd w:val="clear" w:color="auto" w:fill="92D050"/>
          </w:tcPr>
          <w:p w14:paraId="6FAF7DD5" w14:textId="77777777" w:rsidR="00FE4491" w:rsidRPr="00367FC4" w:rsidRDefault="00FE4491" w:rsidP="00367FC4">
            <w:pPr>
              <w:pStyle w:val="TableTextEntries"/>
            </w:pPr>
            <w:r w:rsidRPr="00367FC4">
              <w:t>G</w:t>
            </w:r>
            <w:r w:rsidR="00443639" w:rsidRPr="00367FC4">
              <w:t>reen</w:t>
            </w:r>
          </w:p>
        </w:tc>
        <w:tc>
          <w:tcPr>
            <w:tcW w:w="7037" w:type="dxa"/>
          </w:tcPr>
          <w:p w14:paraId="3A7B369C" w14:textId="42C557FE" w:rsidR="00FE4491" w:rsidRPr="00367FC4" w:rsidRDefault="00D54B48" w:rsidP="00367FC4">
            <w:pPr>
              <w:pStyle w:val="TableTextEntries"/>
            </w:pPr>
            <w:r w:rsidRPr="00367FC4">
              <w:t>Australia conti</w:t>
            </w:r>
            <w:r w:rsidR="004D7C76" w:rsidRPr="00367FC4">
              <w:t>nued i</w:t>
            </w:r>
            <w:r w:rsidR="00BC6163" w:rsidRPr="00367FC4">
              <w:t>t</w:t>
            </w:r>
            <w:r w:rsidR="004D7C76" w:rsidRPr="00367FC4">
              <w:t xml:space="preserve">s role </w:t>
            </w:r>
            <w:r w:rsidR="00BC6163" w:rsidRPr="00367FC4">
              <w:t xml:space="preserve">as </w:t>
            </w:r>
            <w:r w:rsidR="004D7C76" w:rsidRPr="00367FC4">
              <w:t>co-chair of the</w:t>
            </w:r>
            <w:r w:rsidRPr="00367FC4">
              <w:t xml:space="preserve"> Education Sector Working Group</w:t>
            </w:r>
            <w:r w:rsidR="004D7C76" w:rsidRPr="00367FC4">
              <w:t>, engag</w:t>
            </w:r>
            <w:r w:rsidRPr="00367FC4">
              <w:t>ing in dialogue on critical issues that affect the sector.</w:t>
            </w:r>
          </w:p>
        </w:tc>
      </w:tr>
      <w:tr w:rsidR="00FE4491" w:rsidRPr="00180B19" w14:paraId="4CC4FBBD" w14:textId="77777777" w:rsidTr="00367FC4">
        <w:trPr>
          <w:cantSplit/>
          <w:tblHeader w:val="0"/>
        </w:trPr>
        <w:tc>
          <w:tcPr>
            <w:tcW w:w="6473" w:type="dxa"/>
          </w:tcPr>
          <w:p w14:paraId="04446279" w14:textId="4BC1C96B" w:rsidR="00FE4491" w:rsidRPr="00367FC4" w:rsidRDefault="004D7C76" w:rsidP="00367FC4">
            <w:pPr>
              <w:pStyle w:val="TableTextEntries"/>
            </w:pPr>
            <w:r w:rsidRPr="00367FC4">
              <w:t>Trade Development Facility Pha</w:t>
            </w:r>
            <w:bookmarkStart w:id="0" w:name="_GoBack"/>
            <w:bookmarkEnd w:id="0"/>
            <w:r w:rsidRPr="00367FC4">
              <w:t>se 2 design to be completed and Australia’s investment determined</w:t>
            </w:r>
            <w:r w:rsidR="00BC6163" w:rsidRPr="00367FC4">
              <w:t>.</w:t>
            </w:r>
          </w:p>
        </w:tc>
        <w:tc>
          <w:tcPr>
            <w:tcW w:w="823" w:type="dxa"/>
            <w:shd w:val="clear" w:color="auto" w:fill="92D050"/>
          </w:tcPr>
          <w:p w14:paraId="4E82634B" w14:textId="77777777" w:rsidR="00FE4491" w:rsidRPr="00367FC4" w:rsidRDefault="00D54B48" w:rsidP="00367FC4">
            <w:pPr>
              <w:pStyle w:val="TableTextEntries"/>
            </w:pPr>
            <w:r w:rsidRPr="00367FC4">
              <w:t>Green</w:t>
            </w:r>
          </w:p>
        </w:tc>
        <w:tc>
          <w:tcPr>
            <w:tcW w:w="7037" w:type="dxa"/>
          </w:tcPr>
          <w:p w14:paraId="7B281BF2" w14:textId="77777777" w:rsidR="00FE4491" w:rsidRPr="00367FC4" w:rsidRDefault="004D7C76" w:rsidP="00367FC4">
            <w:pPr>
              <w:pStyle w:val="TableTextEntries"/>
            </w:pPr>
            <w:r w:rsidRPr="00367FC4">
              <w:t xml:space="preserve">Trade Development Facility Phase 2 design was completed in October </w:t>
            </w:r>
            <w:proofErr w:type="gramStart"/>
            <w:r w:rsidRPr="00367FC4">
              <w:t>2012,</w:t>
            </w:r>
            <w:proofErr w:type="gramEnd"/>
            <w:r w:rsidRPr="00367FC4">
              <w:t xml:space="preserve"> and Australia’s investment confirmed in December 2012.</w:t>
            </w:r>
          </w:p>
        </w:tc>
      </w:tr>
      <w:tr w:rsidR="00FE4491" w:rsidRPr="00180B19" w14:paraId="49EFD144" w14:textId="77777777" w:rsidTr="00367FC4">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3BFA5FFF" w14:textId="6458F44C" w:rsidR="00FE4491" w:rsidRPr="00367FC4" w:rsidRDefault="004D7C76" w:rsidP="00367FC4">
            <w:pPr>
              <w:pStyle w:val="TableTextEntries"/>
            </w:pPr>
            <w:r w:rsidRPr="00367FC4">
              <w:t>Rural Development Delivery Strategy will be finalised</w:t>
            </w:r>
            <w:r w:rsidR="00BC6163" w:rsidRPr="00367FC4">
              <w:t>.</w:t>
            </w:r>
          </w:p>
        </w:tc>
        <w:tc>
          <w:tcPr>
            <w:tcW w:w="823" w:type="dxa"/>
            <w:shd w:val="clear" w:color="auto" w:fill="92D050"/>
          </w:tcPr>
          <w:p w14:paraId="0F41876A" w14:textId="77777777" w:rsidR="00FE4491" w:rsidRPr="00367FC4" w:rsidRDefault="00D54B48" w:rsidP="00367FC4">
            <w:pPr>
              <w:pStyle w:val="TableTextEntries"/>
            </w:pPr>
            <w:r w:rsidRPr="00367FC4">
              <w:t>Green</w:t>
            </w:r>
          </w:p>
        </w:tc>
        <w:tc>
          <w:tcPr>
            <w:tcW w:w="7037" w:type="dxa"/>
          </w:tcPr>
          <w:p w14:paraId="5FF4B5D0" w14:textId="76A52A5B" w:rsidR="00FE4491" w:rsidRPr="00367FC4" w:rsidRDefault="004D7C76" w:rsidP="00367FC4">
            <w:pPr>
              <w:pStyle w:val="TableTextEntries"/>
            </w:pPr>
            <w:r w:rsidRPr="00367FC4">
              <w:t xml:space="preserve">Rural Development Delivery Strategy finalised in mid-2012, and used as an </w:t>
            </w:r>
            <w:r w:rsidR="00881433">
              <w:t xml:space="preserve">aid </w:t>
            </w:r>
            <w:proofErr w:type="gramStart"/>
            <w:r w:rsidR="00586840">
              <w:t>program</w:t>
            </w:r>
            <w:r w:rsidR="00881433">
              <w:t xml:space="preserve"> </w:t>
            </w:r>
            <w:r w:rsidRPr="00367FC4">
              <w:t xml:space="preserve"> model</w:t>
            </w:r>
            <w:proofErr w:type="gramEnd"/>
            <w:r w:rsidRPr="00367FC4">
              <w:t>.</w:t>
            </w:r>
          </w:p>
        </w:tc>
      </w:tr>
      <w:tr w:rsidR="00836AC0" w:rsidRPr="00180B19" w14:paraId="5F62B64A" w14:textId="77777777" w:rsidTr="00367FC4">
        <w:trPr>
          <w:cantSplit/>
          <w:tblHeader w:val="0"/>
        </w:trPr>
        <w:tc>
          <w:tcPr>
            <w:tcW w:w="6473" w:type="dxa"/>
          </w:tcPr>
          <w:p w14:paraId="103BFC57" w14:textId="52FF17F2" w:rsidR="00836AC0" w:rsidRPr="00367FC4" w:rsidRDefault="004D7C76" w:rsidP="00367FC4">
            <w:pPr>
              <w:pStyle w:val="TableTextEntries"/>
            </w:pPr>
            <w:r w:rsidRPr="00367FC4">
              <w:t>Laos</w:t>
            </w:r>
            <w:r w:rsidR="00BC6163" w:rsidRPr="00367FC4">
              <w:t>–</w:t>
            </w:r>
            <w:r w:rsidRPr="00367FC4">
              <w:t>Australia Livelihoods program design appraised and finalised</w:t>
            </w:r>
            <w:r w:rsidR="00BC6163" w:rsidRPr="00367FC4">
              <w:t>.</w:t>
            </w:r>
          </w:p>
        </w:tc>
        <w:tc>
          <w:tcPr>
            <w:tcW w:w="823" w:type="dxa"/>
            <w:shd w:val="clear" w:color="auto" w:fill="92D050"/>
          </w:tcPr>
          <w:p w14:paraId="684C58E4" w14:textId="77777777" w:rsidR="00836AC0" w:rsidRPr="00367FC4" w:rsidRDefault="00A17EDA" w:rsidP="00367FC4">
            <w:pPr>
              <w:pStyle w:val="TableTextEntries"/>
            </w:pPr>
            <w:r w:rsidRPr="00367FC4">
              <w:t>Green</w:t>
            </w:r>
          </w:p>
        </w:tc>
        <w:tc>
          <w:tcPr>
            <w:tcW w:w="7037" w:type="dxa"/>
          </w:tcPr>
          <w:p w14:paraId="53FB0103" w14:textId="0B17119F" w:rsidR="00836AC0" w:rsidRPr="00367FC4" w:rsidRDefault="004D7C76" w:rsidP="00367FC4">
            <w:pPr>
              <w:pStyle w:val="TableTextEntries"/>
            </w:pPr>
            <w:r w:rsidRPr="00367FC4">
              <w:t>Laos-Australia Livelihoods program desig</w:t>
            </w:r>
            <w:r w:rsidR="00A17EDA" w:rsidRPr="00367FC4">
              <w:t xml:space="preserve">n appraised and finalised in August </w:t>
            </w:r>
            <w:r w:rsidRPr="00367FC4">
              <w:t>2012</w:t>
            </w:r>
            <w:r w:rsidR="00BC6163" w:rsidRPr="00367FC4">
              <w:t>.</w:t>
            </w:r>
          </w:p>
        </w:tc>
      </w:tr>
      <w:tr w:rsidR="00836AC0" w:rsidRPr="00180B19" w14:paraId="7CAA9BE2" w14:textId="77777777" w:rsidTr="00367FC4">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68F82BCB" w14:textId="1813901D" w:rsidR="00836AC0" w:rsidRPr="00367FC4" w:rsidRDefault="00A17EDA" w:rsidP="00367FC4">
            <w:pPr>
              <w:pStyle w:val="TableTextEntries"/>
            </w:pPr>
            <w:r w:rsidRPr="00367FC4">
              <w:t>A new human resource development program to be designed and approved by November 2012</w:t>
            </w:r>
            <w:r w:rsidR="00BC6163" w:rsidRPr="00367FC4">
              <w:t>.</w:t>
            </w:r>
          </w:p>
        </w:tc>
        <w:tc>
          <w:tcPr>
            <w:tcW w:w="823" w:type="dxa"/>
            <w:shd w:val="clear" w:color="auto" w:fill="F79646" w:themeFill="accent6"/>
          </w:tcPr>
          <w:p w14:paraId="13B4EEB4" w14:textId="77777777" w:rsidR="00836AC0" w:rsidRPr="00367FC4" w:rsidRDefault="00A17EDA" w:rsidP="00367FC4">
            <w:pPr>
              <w:pStyle w:val="TableTextEntries"/>
            </w:pPr>
            <w:r w:rsidRPr="00367FC4">
              <w:t>Amber</w:t>
            </w:r>
          </w:p>
        </w:tc>
        <w:tc>
          <w:tcPr>
            <w:tcW w:w="7037" w:type="dxa"/>
          </w:tcPr>
          <w:p w14:paraId="1F362EB5" w14:textId="71A10719" w:rsidR="00836AC0" w:rsidRPr="00367FC4" w:rsidRDefault="00A17EDA" w:rsidP="00367FC4">
            <w:pPr>
              <w:pStyle w:val="TableTextEntries"/>
            </w:pPr>
            <w:r w:rsidRPr="00367FC4">
              <w:t>The design for the Laos-Australia Institute was completed and financial approval given in October 2012. There was a delay in contracting for the program, and it is now scheduled for commencement in late 2013.</w:t>
            </w:r>
          </w:p>
        </w:tc>
      </w:tr>
      <w:tr w:rsidR="00D54B48" w:rsidRPr="00180B19" w14:paraId="325CF9CA" w14:textId="77777777" w:rsidTr="00367FC4">
        <w:trPr>
          <w:cantSplit/>
          <w:tblHeader w:val="0"/>
        </w:trPr>
        <w:tc>
          <w:tcPr>
            <w:tcW w:w="6473" w:type="dxa"/>
          </w:tcPr>
          <w:p w14:paraId="382B2DE7" w14:textId="42C45250" w:rsidR="00E75BBC" w:rsidRDefault="00FB69E9" w:rsidP="00367FC4">
            <w:pPr>
              <w:pStyle w:val="TableTextEntries"/>
            </w:pPr>
            <w:r>
              <w:t xml:space="preserve">The Australian Government </w:t>
            </w:r>
            <w:r w:rsidR="001C387F" w:rsidRPr="00367FC4">
              <w:t>to provide input into a partner-led design for Phase 2 of the Public Financial Management Sector Plan Multi-Donor Trust Fund in 2012</w:t>
            </w:r>
            <w:r w:rsidR="00BC6163" w:rsidRPr="00367FC4">
              <w:t>.</w:t>
            </w:r>
          </w:p>
          <w:p w14:paraId="0096B12A" w14:textId="77777777" w:rsidR="00D54B48" w:rsidRPr="00E75BBC" w:rsidRDefault="00D54B48" w:rsidP="00E75BBC">
            <w:pPr>
              <w:jc w:val="center"/>
              <w:rPr>
                <w:lang w:eastAsia="en-US"/>
              </w:rPr>
            </w:pPr>
          </w:p>
        </w:tc>
        <w:tc>
          <w:tcPr>
            <w:tcW w:w="823" w:type="dxa"/>
            <w:shd w:val="clear" w:color="auto" w:fill="F79646" w:themeFill="accent6"/>
          </w:tcPr>
          <w:p w14:paraId="6B8CDA0C" w14:textId="77777777" w:rsidR="00D54B48" w:rsidRPr="00367FC4" w:rsidRDefault="007E1047" w:rsidP="00367FC4">
            <w:pPr>
              <w:pStyle w:val="TableTextEntries"/>
            </w:pPr>
            <w:r w:rsidRPr="00367FC4">
              <w:t>Amber</w:t>
            </w:r>
          </w:p>
        </w:tc>
        <w:tc>
          <w:tcPr>
            <w:tcW w:w="7037" w:type="dxa"/>
          </w:tcPr>
          <w:p w14:paraId="1595E41D" w14:textId="5466FB5E" w:rsidR="00D54B48" w:rsidRPr="00367FC4" w:rsidRDefault="00FB69E9" w:rsidP="00367FC4">
            <w:pPr>
              <w:pStyle w:val="TableTextEntries"/>
            </w:pPr>
            <w:r>
              <w:t xml:space="preserve">The Australian Government </w:t>
            </w:r>
            <w:r w:rsidR="007E1047" w:rsidRPr="00367FC4">
              <w:t>provided input into Phase 2 of the</w:t>
            </w:r>
            <w:r w:rsidR="00BC6163" w:rsidRPr="00367FC4">
              <w:t xml:space="preserve"> </w:t>
            </w:r>
            <w:r w:rsidR="007E1047" w:rsidRPr="00367FC4">
              <w:t>Public Financial Management Sector Plan Multi-Donor Trust Fund in 2012</w:t>
            </w:r>
            <w:r w:rsidR="00BC6163" w:rsidRPr="00367FC4">
              <w:t>–</w:t>
            </w:r>
            <w:r w:rsidR="007E1047" w:rsidRPr="00367FC4">
              <w:t>13</w:t>
            </w:r>
            <w:r w:rsidR="00BC6163" w:rsidRPr="00367FC4">
              <w:t>. T</w:t>
            </w:r>
            <w:r w:rsidR="007E1047" w:rsidRPr="00367FC4">
              <w:t>he design was finalised in April 2013, but negotiations between the World Bank and Lao Government have not gone through.</w:t>
            </w:r>
          </w:p>
        </w:tc>
      </w:tr>
      <w:tr w:rsidR="00D54B48" w:rsidRPr="00180B19" w14:paraId="4E49CD15" w14:textId="77777777" w:rsidTr="00367FC4">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33E77846" w14:textId="0FAE0B0D" w:rsidR="00D54B48" w:rsidRPr="00367FC4" w:rsidRDefault="007E1047" w:rsidP="00367FC4">
            <w:pPr>
              <w:pStyle w:val="TableTextEntries"/>
            </w:pPr>
            <w:r w:rsidRPr="00367FC4">
              <w:t>Laos Country Program will consolidate programs and re-adjust expenditure profile to a more equitable balance between delivery partners.</w:t>
            </w:r>
          </w:p>
        </w:tc>
        <w:tc>
          <w:tcPr>
            <w:tcW w:w="823" w:type="dxa"/>
            <w:shd w:val="clear" w:color="auto" w:fill="92D050"/>
          </w:tcPr>
          <w:p w14:paraId="51FDF09E" w14:textId="77777777" w:rsidR="00D54B48" w:rsidRPr="00367FC4" w:rsidRDefault="009F5C26" w:rsidP="00367FC4">
            <w:pPr>
              <w:pStyle w:val="TableTextEntries"/>
            </w:pPr>
            <w:r w:rsidRPr="00367FC4">
              <w:t>Green</w:t>
            </w:r>
          </w:p>
        </w:tc>
        <w:tc>
          <w:tcPr>
            <w:tcW w:w="7037" w:type="dxa"/>
          </w:tcPr>
          <w:p w14:paraId="1604B96A" w14:textId="0FDFD7F7" w:rsidR="00D54B48" w:rsidRPr="00367FC4" w:rsidRDefault="007E1047" w:rsidP="00367FC4">
            <w:pPr>
              <w:pStyle w:val="TableTextEntries"/>
            </w:pPr>
            <w:r w:rsidRPr="00367FC4">
              <w:t>Laos Country Program initiatives underwent a consolidations process, and program expenditure continues to be adjusted to be more equitably balanced between delivery partners</w:t>
            </w:r>
            <w:r w:rsidR="00BC6163" w:rsidRPr="00367FC4">
              <w:t>,</w:t>
            </w:r>
            <w:r w:rsidRPr="00367FC4">
              <w:t xml:space="preserve"> including a more bilateral approach to delivery.</w:t>
            </w:r>
          </w:p>
        </w:tc>
      </w:tr>
      <w:tr w:rsidR="00D54B48" w:rsidRPr="00180B19" w14:paraId="72560726" w14:textId="77777777" w:rsidTr="00367FC4">
        <w:trPr>
          <w:cantSplit/>
          <w:tblHeader w:val="0"/>
        </w:trPr>
        <w:tc>
          <w:tcPr>
            <w:tcW w:w="6473" w:type="dxa"/>
          </w:tcPr>
          <w:p w14:paraId="004D739A" w14:textId="5731586A" w:rsidR="00D54B48" w:rsidRPr="00367FC4" w:rsidRDefault="007E1047" w:rsidP="00367FC4">
            <w:pPr>
              <w:pStyle w:val="TableTextEntries"/>
            </w:pPr>
            <w:r w:rsidRPr="00367FC4">
              <w:lastRenderedPageBreak/>
              <w:t>Scoping work on the robustness of Lao Government systems to be undertaken</w:t>
            </w:r>
            <w:r w:rsidR="00BC6163" w:rsidRPr="00367FC4">
              <w:t>.</w:t>
            </w:r>
          </w:p>
        </w:tc>
        <w:tc>
          <w:tcPr>
            <w:tcW w:w="823" w:type="dxa"/>
            <w:shd w:val="clear" w:color="auto" w:fill="92D050"/>
          </w:tcPr>
          <w:p w14:paraId="36588DAC" w14:textId="77777777" w:rsidR="00D54B48" w:rsidRPr="00367FC4" w:rsidRDefault="009F5C26" w:rsidP="00367FC4">
            <w:pPr>
              <w:pStyle w:val="TableTextEntries"/>
            </w:pPr>
            <w:r w:rsidRPr="00367FC4">
              <w:t>Green</w:t>
            </w:r>
          </w:p>
        </w:tc>
        <w:tc>
          <w:tcPr>
            <w:tcW w:w="7037" w:type="dxa"/>
          </w:tcPr>
          <w:p w14:paraId="7E3FD833" w14:textId="196CE9F6" w:rsidR="00D54B48" w:rsidRPr="00367FC4" w:rsidRDefault="007E1047" w:rsidP="00367FC4">
            <w:pPr>
              <w:pStyle w:val="TableTextEntries"/>
            </w:pPr>
            <w:r w:rsidRPr="00367FC4">
              <w:t>Preparations for this work commenced in May 2013</w:t>
            </w:r>
            <w:r w:rsidR="00BC6163" w:rsidRPr="00367FC4">
              <w:t xml:space="preserve">. It </w:t>
            </w:r>
            <w:r w:rsidR="009F5C26" w:rsidRPr="00367FC4">
              <w:t>is expected to be finalised in late 2013.</w:t>
            </w:r>
          </w:p>
        </w:tc>
      </w:tr>
    </w:tbl>
    <w:p w14:paraId="695D28ED" w14:textId="77777777" w:rsidR="00FE4491" w:rsidRPr="00763636" w:rsidRDefault="00FE4491" w:rsidP="003E5B0C">
      <w:pPr>
        <w:pStyle w:val="Note"/>
      </w:pPr>
      <w:r w:rsidRPr="00763636">
        <w:t xml:space="preserve">Note: </w:t>
      </w:r>
    </w:p>
    <w:p w14:paraId="35F7EA22" w14:textId="77777777" w:rsidR="00FE4491" w:rsidRPr="00763636" w:rsidRDefault="006F145F" w:rsidP="003E5B0C">
      <w:pPr>
        <w:pStyle w:val="Note"/>
      </w:pPr>
      <w:r w:rsidRPr="00F740D8">
        <w:rPr>
          <w:color w:val="92D050"/>
        </w:rPr>
        <w:sym w:font="Webdings" w:char="F067"/>
      </w:r>
      <w:r w:rsidR="00FE4491" w:rsidRPr="00763636">
        <w:t> </w:t>
      </w:r>
      <w:r w:rsidR="00FE4491" w:rsidRPr="00763636">
        <w:t xml:space="preserve"> </w:t>
      </w:r>
      <w:proofErr w:type="gramStart"/>
      <w:r w:rsidR="00443639" w:rsidRPr="00763636">
        <w:t>Green</w:t>
      </w:r>
      <w:r w:rsidR="00FE4491" w:rsidRPr="00763636">
        <w:t>.</w:t>
      </w:r>
      <w:proofErr w:type="gramEnd"/>
      <w:r w:rsidR="00FE4491" w:rsidRPr="00763636">
        <w:rPr>
          <w:rFonts w:ascii="Times New Roman" w:hAnsi="Times New Roman"/>
        </w:rPr>
        <w:t xml:space="preserve"> </w:t>
      </w:r>
      <w:r w:rsidR="00FE4491" w:rsidRPr="00763636">
        <w:t>Progress is as expected for this point in time and it is likely that the objective will be achieved. Standard program management practices are sufficient.</w:t>
      </w:r>
    </w:p>
    <w:p w14:paraId="02DDF29F" w14:textId="77777777" w:rsidR="00FE4491" w:rsidRPr="00763636" w:rsidRDefault="00FE4491" w:rsidP="003E5B0C">
      <w:pPr>
        <w:pStyle w:val="Note"/>
      </w:pPr>
      <w:r w:rsidRPr="00763636">
        <w:rPr>
          <w:color w:val="F79646" w:themeColor="accent6"/>
        </w:rPr>
        <w:sym w:font="Webdings" w:char="F067"/>
      </w:r>
      <w:r w:rsidRPr="00763636">
        <w:t> </w:t>
      </w:r>
      <w:r w:rsidRPr="00763636">
        <w:t xml:space="preserve"> Amber. Progress is somewhat less than expected for this point in time and restorative action will be necessary if the objective is to be achieved. Close performance monitoring is recommended.</w:t>
      </w:r>
    </w:p>
    <w:p w14:paraId="0D29C4A6" w14:textId="1FCCDE59" w:rsidR="00FE4491" w:rsidRPr="005A3D8D" w:rsidRDefault="00FE4491" w:rsidP="006E4F41">
      <w:pPr>
        <w:pStyle w:val="Note"/>
      </w:pPr>
      <w:r w:rsidRPr="00763636">
        <w:rPr>
          <w:color w:val="FF0000"/>
        </w:rPr>
        <w:sym w:font="Webdings" w:char="F067"/>
      </w:r>
      <w:r w:rsidRPr="00763636">
        <w:t> </w:t>
      </w:r>
      <w:r w:rsidRPr="00763636">
        <w:t xml:space="preserve"> </w:t>
      </w:r>
      <w:proofErr w:type="gramStart"/>
      <w:r w:rsidRPr="005A3D8D">
        <w:t>Red.</w:t>
      </w:r>
      <w:proofErr w:type="gramEnd"/>
      <w:r w:rsidRPr="005A3D8D">
        <w:t xml:space="preserve"> Progress is significantly less than expected for this point in time and the objective is not likely to be met given available resources and priorities. Recasting the objective may be required.</w:t>
      </w:r>
    </w:p>
    <w:p w14:paraId="117ABAC0" w14:textId="77777777" w:rsidR="006E4F41" w:rsidRPr="006E4F41" w:rsidRDefault="006E4F41" w:rsidP="006E4F41">
      <w:pPr>
        <w:sectPr w:rsidR="006E4F41" w:rsidRPr="006E4F41" w:rsidSect="004614F1">
          <w:headerReference w:type="default" r:id="rId14"/>
          <w:footerReference w:type="default" r:id="rId15"/>
          <w:headerReference w:type="first" r:id="rId16"/>
          <w:pgSz w:w="16838" w:h="11906" w:orient="landscape" w:code="9"/>
          <w:pgMar w:top="1871" w:right="2268" w:bottom="1134" w:left="907" w:header="709" w:footer="425" w:gutter="0"/>
          <w:cols w:space="708"/>
          <w:docGrid w:linePitch="360"/>
        </w:sectPr>
      </w:pPr>
    </w:p>
    <w:p w14:paraId="1669CB4E" w14:textId="77777777" w:rsidR="009318D7" w:rsidRPr="00367FC4" w:rsidRDefault="0055450D" w:rsidP="00367FC4">
      <w:pPr>
        <w:pStyle w:val="Heading1"/>
      </w:pPr>
      <w:r w:rsidRPr="00367FC4">
        <w:lastRenderedPageBreak/>
        <w:t>Annex B</w:t>
      </w:r>
    </w:p>
    <w:p w14:paraId="73A92F3F" w14:textId="77777777" w:rsidR="009318D7" w:rsidRPr="00367FC4" w:rsidRDefault="009318D7" w:rsidP="00367FC4">
      <w:pPr>
        <w:pStyle w:val="Heading2"/>
      </w:pPr>
      <w:r w:rsidRPr="00367FC4">
        <w:t>Quality at Implementation ratings</w:t>
      </w:r>
    </w:p>
    <w:tbl>
      <w:tblPr>
        <w:tblStyle w:val="APPR"/>
        <w:tblW w:w="5000" w:type="pct"/>
        <w:tblLayout w:type="fixed"/>
        <w:tblLook w:val="0000" w:firstRow="0" w:lastRow="0" w:firstColumn="0" w:lastColumn="0" w:noHBand="0" w:noVBand="0"/>
      </w:tblPr>
      <w:tblGrid>
        <w:gridCol w:w="2577"/>
        <w:gridCol w:w="1443"/>
        <w:gridCol w:w="831"/>
        <w:gridCol w:w="28"/>
        <w:gridCol w:w="530"/>
        <w:gridCol w:w="530"/>
        <w:gridCol w:w="530"/>
        <w:gridCol w:w="530"/>
        <w:gridCol w:w="531"/>
        <w:gridCol w:w="531"/>
        <w:gridCol w:w="545"/>
      </w:tblGrid>
      <w:tr w:rsidR="00FA6590" w:rsidRPr="009D53C4" w14:paraId="6CEACFD7" w14:textId="77777777" w:rsidTr="004614F1">
        <w:trPr>
          <w:cnfStyle w:val="000000010000" w:firstRow="0" w:lastRow="0" w:firstColumn="0" w:lastColumn="0" w:oddVBand="0" w:evenVBand="0" w:oddHBand="0" w:evenHBand="1" w:firstRowFirstColumn="0" w:firstRowLastColumn="0" w:lastRowFirstColumn="0" w:lastRowLastColumn="0"/>
          <w:trHeight w:val="2155"/>
        </w:trPr>
        <w:tc>
          <w:tcPr>
            <w:tcW w:w="1262" w:type="pct"/>
          </w:tcPr>
          <w:p w14:paraId="3C8681C4" w14:textId="77777777" w:rsidR="00FA6590" w:rsidRPr="00FE4491" w:rsidRDefault="00FA6590" w:rsidP="00E74C8F">
            <w:pPr>
              <w:pStyle w:val="TableTextColumnHeading"/>
            </w:pPr>
            <w:r w:rsidRPr="00FE4491">
              <w:rPr>
                <w:noProof/>
                <w:lang w:eastAsia="en-AU"/>
              </w:rPr>
              <w:drawing>
                <wp:anchor distT="0" distB="0" distL="114300" distR="114300" simplePos="0" relativeHeight="251670528" behindDoc="0" locked="0" layoutInCell="1" allowOverlap="1" wp14:anchorId="45F58915" wp14:editId="7798CE6E">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705" w:type="pct"/>
            <w:textDirection w:val="btLr"/>
          </w:tcPr>
          <w:p w14:paraId="0F2D1C0A" w14:textId="77777777" w:rsidR="00FA6590" w:rsidRPr="00FE4491" w:rsidRDefault="00FA6590" w:rsidP="00E74C8F">
            <w:pPr>
              <w:pStyle w:val="TableTextColumnHeading"/>
            </w:pPr>
            <w:r w:rsidRPr="00FE4491">
              <w:t>Approved budget and duration</w:t>
            </w:r>
          </w:p>
        </w:tc>
        <w:tc>
          <w:tcPr>
            <w:tcW w:w="400" w:type="pct"/>
            <w:gridSpan w:val="2"/>
            <w:textDirection w:val="btLr"/>
          </w:tcPr>
          <w:p w14:paraId="50996B52" w14:textId="77777777" w:rsidR="00FA6590" w:rsidRPr="00FE4491" w:rsidRDefault="00FA6590" w:rsidP="00E74C8F">
            <w:pPr>
              <w:pStyle w:val="TableTextColumnHeading"/>
            </w:pPr>
            <w:proofErr w:type="spellStart"/>
            <w:r w:rsidRPr="00FE4491">
              <w:t>QaI</w:t>
            </w:r>
            <w:proofErr w:type="spellEnd"/>
            <w:r w:rsidRPr="00FE4491">
              <w:t xml:space="preserve"> year</w:t>
            </w:r>
          </w:p>
        </w:tc>
        <w:tc>
          <w:tcPr>
            <w:tcW w:w="250" w:type="pct"/>
            <w:textDirection w:val="btLr"/>
            <w:vAlign w:val="center"/>
          </w:tcPr>
          <w:p w14:paraId="28B711C4" w14:textId="77777777" w:rsidR="00FA6590" w:rsidRPr="00FE4491" w:rsidRDefault="00FA6590" w:rsidP="00E74C8F">
            <w:pPr>
              <w:pStyle w:val="TableTextColumnHeading"/>
            </w:pPr>
            <w:r w:rsidRPr="00FE4491">
              <w:t>Relevance</w:t>
            </w:r>
          </w:p>
        </w:tc>
        <w:tc>
          <w:tcPr>
            <w:tcW w:w="250" w:type="pct"/>
            <w:textDirection w:val="btLr"/>
            <w:vAlign w:val="center"/>
          </w:tcPr>
          <w:p w14:paraId="1231520A" w14:textId="77777777" w:rsidR="00FA6590" w:rsidRPr="00FE4491" w:rsidRDefault="00FA6590" w:rsidP="00E74C8F">
            <w:pPr>
              <w:pStyle w:val="TableTextColumnHeading"/>
            </w:pPr>
            <w:r w:rsidRPr="00FE4491">
              <w:t>Effectiveness</w:t>
            </w:r>
          </w:p>
        </w:tc>
        <w:tc>
          <w:tcPr>
            <w:tcW w:w="250" w:type="pct"/>
            <w:textDirection w:val="btLr"/>
            <w:vAlign w:val="center"/>
          </w:tcPr>
          <w:p w14:paraId="09250834" w14:textId="77777777" w:rsidR="00FA6590" w:rsidRPr="00FE4491" w:rsidRDefault="00FA6590" w:rsidP="00E74C8F">
            <w:pPr>
              <w:pStyle w:val="TableTextColumnHeading"/>
            </w:pPr>
            <w:r w:rsidRPr="00FE4491">
              <w:t>Efficiency</w:t>
            </w:r>
          </w:p>
        </w:tc>
        <w:tc>
          <w:tcPr>
            <w:tcW w:w="250" w:type="pct"/>
            <w:textDirection w:val="btLr"/>
            <w:vAlign w:val="center"/>
          </w:tcPr>
          <w:p w14:paraId="6CB859B3" w14:textId="025843EF" w:rsidR="00FA6590" w:rsidRPr="00FE4491" w:rsidRDefault="00FA6590">
            <w:pPr>
              <w:pStyle w:val="TableTextColumnHeading"/>
            </w:pPr>
            <w:r w:rsidRPr="00FE4491">
              <w:t xml:space="preserve">Monitoring and </w:t>
            </w:r>
            <w:r w:rsidR="001621F0">
              <w:t>e</w:t>
            </w:r>
            <w:r w:rsidR="001621F0" w:rsidRPr="00FE4491">
              <w:t>valuation</w:t>
            </w:r>
          </w:p>
        </w:tc>
        <w:tc>
          <w:tcPr>
            <w:tcW w:w="250" w:type="pct"/>
            <w:textDirection w:val="btLr"/>
            <w:vAlign w:val="center"/>
          </w:tcPr>
          <w:p w14:paraId="77562BAC" w14:textId="77777777" w:rsidR="00FA6590" w:rsidRPr="00FE4491" w:rsidRDefault="00FA6590" w:rsidP="00E74C8F">
            <w:pPr>
              <w:pStyle w:val="TableTextColumnHeading"/>
            </w:pPr>
            <w:r w:rsidRPr="00FE4491">
              <w:t>Sustainability</w:t>
            </w:r>
          </w:p>
        </w:tc>
        <w:tc>
          <w:tcPr>
            <w:tcW w:w="250" w:type="pct"/>
            <w:textDirection w:val="btLr"/>
            <w:vAlign w:val="center"/>
          </w:tcPr>
          <w:p w14:paraId="3FD66B3B" w14:textId="77777777" w:rsidR="00FA6590" w:rsidRPr="00FE4491" w:rsidRDefault="00FA6590" w:rsidP="00E74C8F">
            <w:pPr>
              <w:pStyle w:val="TableTextColumnHeading"/>
            </w:pPr>
            <w:r w:rsidRPr="00FE4491">
              <w:t>Gender equality</w:t>
            </w:r>
          </w:p>
        </w:tc>
        <w:tc>
          <w:tcPr>
            <w:tcW w:w="250" w:type="pct"/>
            <w:textDirection w:val="btLr"/>
            <w:vAlign w:val="center"/>
          </w:tcPr>
          <w:p w14:paraId="1FDC991E" w14:textId="2CB50EEB" w:rsidR="00FA6590" w:rsidRPr="00FE4491" w:rsidRDefault="00FA6590">
            <w:pPr>
              <w:pStyle w:val="TableTextColumnHeading"/>
            </w:pPr>
            <w:r w:rsidRPr="00FE4491">
              <w:t xml:space="preserve">Risk </w:t>
            </w:r>
            <w:r w:rsidR="001621F0">
              <w:t>m</w:t>
            </w:r>
            <w:r w:rsidR="001621F0" w:rsidRPr="00FE4491">
              <w:t>anagement</w:t>
            </w:r>
          </w:p>
        </w:tc>
      </w:tr>
      <w:tr w:rsidR="006448CC" w:rsidRPr="009D53C4" w14:paraId="2DB56C95" w14:textId="77777777" w:rsidTr="00367FC4">
        <w:trPr>
          <w:trHeight w:val="284"/>
          <w:tblHeader w:val="0"/>
        </w:trPr>
        <w:tc>
          <w:tcPr>
            <w:tcW w:w="1262" w:type="pct"/>
            <w:vMerge w:val="restart"/>
          </w:tcPr>
          <w:p w14:paraId="073450F0" w14:textId="77777777" w:rsidR="00FA6590" w:rsidRPr="00FE4491" w:rsidRDefault="00FA6590" w:rsidP="002E16CE">
            <w:pPr>
              <w:pStyle w:val="TableTextEntries"/>
            </w:pPr>
            <w:r w:rsidRPr="009D53C4">
              <w:t>Delivering Better Education in Laos</w:t>
            </w:r>
          </w:p>
        </w:tc>
        <w:tc>
          <w:tcPr>
            <w:tcW w:w="705" w:type="pct"/>
            <w:vMerge w:val="restart"/>
          </w:tcPr>
          <w:p w14:paraId="7D11B4F7" w14:textId="390A05F1" w:rsidR="00FA6590" w:rsidRPr="00FE4491" w:rsidRDefault="00FA6590">
            <w:pPr>
              <w:pStyle w:val="TableTextEntries"/>
            </w:pPr>
            <w:r>
              <w:t>$9.3 million (2007</w:t>
            </w:r>
            <w:r w:rsidR="00376F77">
              <w:t>–</w:t>
            </w:r>
            <w:r w:rsidRPr="00C87F38">
              <w:t>201</w:t>
            </w:r>
            <w:r w:rsidR="00C87F38" w:rsidRPr="00C87F38">
              <w:t>3</w:t>
            </w:r>
          </w:p>
        </w:tc>
        <w:tc>
          <w:tcPr>
            <w:tcW w:w="400" w:type="pct"/>
          </w:tcPr>
          <w:p w14:paraId="2B586743" w14:textId="77777777" w:rsidR="00FA6590" w:rsidRPr="00FE4491" w:rsidRDefault="00FA6590" w:rsidP="002E16CE">
            <w:pPr>
              <w:pStyle w:val="TableTextEntries"/>
              <w:tabs>
                <w:tab w:val="left" w:pos="579"/>
              </w:tabs>
              <w:ind w:right="-241"/>
            </w:pPr>
            <w:r w:rsidRPr="00FE4491">
              <w:t>2012</w:t>
            </w:r>
          </w:p>
        </w:tc>
        <w:tc>
          <w:tcPr>
            <w:tcW w:w="250" w:type="pct"/>
            <w:gridSpan w:val="2"/>
            <w:shd w:val="clear" w:color="auto" w:fill="92D050"/>
            <w:noWrap/>
          </w:tcPr>
          <w:p w14:paraId="797E2ECF" w14:textId="3B07EF25" w:rsidR="00FA6590" w:rsidRPr="00FE4491" w:rsidRDefault="00F90F57" w:rsidP="002E16CE">
            <w:pPr>
              <w:pStyle w:val="TableTextEntries"/>
              <w:ind w:right="-279"/>
            </w:pPr>
            <w:r>
              <w:t xml:space="preserve"> </w:t>
            </w:r>
            <w:r w:rsidR="00FA6590">
              <w:t>5</w:t>
            </w:r>
            <w:r w:rsidR="00FA6590">
              <w:br/>
            </w:r>
          </w:p>
        </w:tc>
        <w:tc>
          <w:tcPr>
            <w:tcW w:w="250" w:type="pct"/>
            <w:shd w:val="clear" w:color="auto" w:fill="92D050"/>
            <w:noWrap/>
          </w:tcPr>
          <w:p w14:paraId="78D6A140" w14:textId="2F192EDC" w:rsidR="00FA6590" w:rsidRPr="00FE4491" w:rsidRDefault="00F90F57" w:rsidP="009318D7">
            <w:pPr>
              <w:pStyle w:val="TableTextEntries"/>
              <w:ind w:right="-279"/>
            </w:pPr>
            <w:r>
              <w:t xml:space="preserve"> </w:t>
            </w:r>
            <w:r w:rsidR="00FA6590">
              <w:t>5</w:t>
            </w:r>
          </w:p>
        </w:tc>
        <w:tc>
          <w:tcPr>
            <w:tcW w:w="250" w:type="pct"/>
            <w:shd w:val="clear" w:color="auto" w:fill="FFFF00"/>
            <w:noWrap/>
          </w:tcPr>
          <w:p w14:paraId="5CF4FD5F" w14:textId="28571AA1" w:rsidR="00FA6590" w:rsidRPr="00FE4491" w:rsidRDefault="00F90F57" w:rsidP="00C52E7E">
            <w:pPr>
              <w:pStyle w:val="TableTextEntries"/>
              <w:ind w:right="-279"/>
            </w:pPr>
            <w:r>
              <w:t xml:space="preserve"> </w:t>
            </w:r>
            <w:r w:rsidR="00FA6590" w:rsidRPr="00FE4491">
              <w:t>4</w:t>
            </w:r>
          </w:p>
        </w:tc>
        <w:tc>
          <w:tcPr>
            <w:tcW w:w="250" w:type="pct"/>
            <w:shd w:val="clear" w:color="auto" w:fill="FFFF00"/>
            <w:noWrap/>
          </w:tcPr>
          <w:p w14:paraId="3DA91FB8" w14:textId="54313016" w:rsidR="00FA6590" w:rsidRPr="00FE4491" w:rsidRDefault="00F90F57" w:rsidP="002E16CE">
            <w:pPr>
              <w:pStyle w:val="TableTextEntries"/>
              <w:ind w:right="-279"/>
            </w:pPr>
            <w:r>
              <w:t xml:space="preserve"> </w:t>
            </w:r>
            <w:r w:rsidR="00FA6590">
              <w:t>4</w:t>
            </w:r>
          </w:p>
        </w:tc>
        <w:tc>
          <w:tcPr>
            <w:tcW w:w="250" w:type="pct"/>
            <w:shd w:val="clear" w:color="auto" w:fill="FFFF00"/>
            <w:noWrap/>
          </w:tcPr>
          <w:p w14:paraId="1C32B980" w14:textId="189C8916" w:rsidR="00FA6590" w:rsidRPr="00FE4491" w:rsidRDefault="00F90F57" w:rsidP="00C52E7E">
            <w:pPr>
              <w:pStyle w:val="TableTextEntries"/>
              <w:ind w:right="-279"/>
            </w:pPr>
            <w:r>
              <w:t xml:space="preserve"> </w:t>
            </w:r>
            <w:r w:rsidR="00FA6590">
              <w:t>4</w:t>
            </w:r>
          </w:p>
        </w:tc>
        <w:tc>
          <w:tcPr>
            <w:tcW w:w="250" w:type="pct"/>
            <w:shd w:val="clear" w:color="auto" w:fill="FFFF00"/>
            <w:noWrap/>
          </w:tcPr>
          <w:p w14:paraId="61032D4D" w14:textId="77777777" w:rsidR="00FA6590" w:rsidRPr="00FE4491" w:rsidRDefault="00FA6590" w:rsidP="002E16CE">
            <w:pPr>
              <w:pStyle w:val="TableTextEntries"/>
              <w:ind w:right="-279"/>
              <w:jc w:val="center"/>
            </w:pPr>
            <w:r>
              <w:t>4</w:t>
            </w:r>
          </w:p>
        </w:tc>
        <w:tc>
          <w:tcPr>
            <w:tcW w:w="250" w:type="pct"/>
            <w:shd w:val="clear" w:color="auto" w:fill="F79646" w:themeFill="accent6"/>
            <w:noWrap/>
          </w:tcPr>
          <w:p w14:paraId="51EDDFF4" w14:textId="77777777" w:rsidR="00FA6590" w:rsidRPr="00FE4491" w:rsidRDefault="00FA6590" w:rsidP="002E16CE">
            <w:pPr>
              <w:pStyle w:val="TableTextEntries"/>
              <w:jc w:val="center"/>
            </w:pPr>
            <w:r>
              <w:t>I</w:t>
            </w:r>
          </w:p>
        </w:tc>
      </w:tr>
      <w:tr w:rsidR="006448CC" w:rsidRPr="009D53C4" w14:paraId="0591BF9F"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24135AE9" w14:textId="77777777" w:rsidR="00FA6590" w:rsidRPr="00FE4491" w:rsidRDefault="00FA6590" w:rsidP="002E16CE">
            <w:pPr>
              <w:pStyle w:val="TableTextEntries"/>
            </w:pPr>
          </w:p>
        </w:tc>
        <w:tc>
          <w:tcPr>
            <w:tcW w:w="705" w:type="pct"/>
            <w:vMerge/>
          </w:tcPr>
          <w:p w14:paraId="15935AC3" w14:textId="77777777" w:rsidR="00FA6590" w:rsidRPr="00FE4491" w:rsidRDefault="00FA6590" w:rsidP="002E16CE">
            <w:pPr>
              <w:pStyle w:val="TableTextEntries"/>
            </w:pPr>
          </w:p>
        </w:tc>
        <w:tc>
          <w:tcPr>
            <w:tcW w:w="400" w:type="pct"/>
          </w:tcPr>
          <w:p w14:paraId="510DB492" w14:textId="77777777" w:rsidR="00FA6590" w:rsidRPr="00FE4491" w:rsidRDefault="00FA6590" w:rsidP="002E16CE">
            <w:pPr>
              <w:pStyle w:val="TableTextEntries"/>
            </w:pPr>
            <w:r w:rsidRPr="00FE4491">
              <w:t>2011</w:t>
            </w:r>
          </w:p>
        </w:tc>
        <w:tc>
          <w:tcPr>
            <w:tcW w:w="250" w:type="pct"/>
            <w:gridSpan w:val="2"/>
            <w:shd w:val="clear" w:color="auto" w:fill="92D050"/>
            <w:noWrap/>
          </w:tcPr>
          <w:p w14:paraId="15D514B1" w14:textId="6CFCE86F" w:rsidR="00FA6590" w:rsidRPr="00FE4491" w:rsidRDefault="00F90F57" w:rsidP="002E16CE">
            <w:pPr>
              <w:pStyle w:val="TableTextEntries"/>
              <w:jc w:val="center"/>
            </w:pPr>
            <w:r>
              <w:t xml:space="preserve"> </w:t>
            </w:r>
            <w:r w:rsidR="00FA6590">
              <w:t>5</w:t>
            </w:r>
          </w:p>
        </w:tc>
        <w:tc>
          <w:tcPr>
            <w:tcW w:w="250" w:type="pct"/>
            <w:shd w:val="clear" w:color="auto" w:fill="92D050"/>
            <w:noWrap/>
          </w:tcPr>
          <w:p w14:paraId="2A878100" w14:textId="77777777" w:rsidR="00FA6590" w:rsidRPr="00FE4491" w:rsidRDefault="00FA6590" w:rsidP="002E16CE">
            <w:pPr>
              <w:pStyle w:val="TableTextEntries"/>
              <w:jc w:val="center"/>
            </w:pPr>
            <w:r>
              <w:t>5</w:t>
            </w:r>
          </w:p>
        </w:tc>
        <w:tc>
          <w:tcPr>
            <w:tcW w:w="250" w:type="pct"/>
            <w:shd w:val="clear" w:color="auto" w:fill="FFFF00"/>
            <w:noWrap/>
          </w:tcPr>
          <w:p w14:paraId="2B6CA768" w14:textId="77777777" w:rsidR="00FA6590" w:rsidRPr="00FE4491" w:rsidRDefault="00FA6590" w:rsidP="002E16CE">
            <w:pPr>
              <w:pStyle w:val="TableTextEntries"/>
              <w:jc w:val="center"/>
            </w:pPr>
            <w:r>
              <w:t>4</w:t>
            </w:r>
          </w:p>
        </w:tc>
        <w:tc>
          <w:tcPr>
            <w:tcW w:w="250" w:type="pct"/>
            <w:shd w:val="clear" w:color="auto" w:fill="FFFF00"/>
            <w:noWrap/>
          </w:tcPr>
          <w:p w14:paraId="025F026C" w14:textId="77777777" w:rsidR="00FA6590" w:rsidRPr="00FE4491" w:rsidRDefault="00FA6590" w:rsidP="002E16CE">
            <w:pPr>
              <w:pStyle w:val="TableTextEntries"/>
              <w:jc w:val="center"/>
            </w:pPr>
            <w:r>
              <w:t>4</w:t>
            </w:r>
          </w:p>
        </w:tc>
        <w:tc>
          <w:tcPr>
            <w:tcW w:w="250" w:type="pct"/>
            <w:shd w:val="clear" w:color="auto" w:fill="F79646" w:themeFill="accent6"/>
            <w:noWrap/>
          </w:tcPr>
          <w:p w14:paraId="11ECA135" w14:textId="77777777" w:rsidR="00FA6590" w:rsidRPr="00FE4491" w:rsidRDefault="00FA6590" w:rsidP="002E16CE">
            <w:pPr>
              <w:pStyle w:val="TableTextEntries"/>
              <w:jc w:val="center"/>
            </w:pPr>
            <w:r>
              <w:t>3</w:t>
            </w:r>
          </w:p>
        </w:tc>
        <w:tc>
          <w:tcPr>
            <w:tcW w:w="250" w:type="pct"/>
            <w:shd w:val="clear" w:color="auto" w:fill="FFFF00"/>
            <w:noWrap/>
          </w:tcPr>
          <w:p w14:paraId="3DF13C08" w14:textId="77777777" w:rsidR="00FA6590" w:rsidRPr="00FE4491" w:rsidRDefault="00FA6590" w:rsidP="002E16CE">
            <w:pPr>
              <w:pStyle w:val="TableTextEntries"/>
              <w:jc w:val="center"/>
            </w:pPr>
            <w:r>
              <w:t>4</w:t>
            </w:r>
          </w:p>
        </w:tc>
        <w:tc>
          <w:tcPr>
            <w:tcW w:w="250" w:type="pct"/>
            <w:shd w:val="clear" w:color="auto" w:fill="F79646" w:themeFill="accent6"/>
            <w:noWrap/>
          </w:tcPr>
          <w:p w14:paraId="6A98DE36" w14:textId="77777777" w:rsidR="00FA6590" w:rsidRPr="00FE4491" w:rsidRDefault="00FA6590" w:rsidP="002E16CE">
            <w:pPr>
              <w:pStyle w:val="TableTextEntries"/>
              <w:jc w:val="center"/>
            </w:pPr>
            <w:r w:rsidRPr="00FE4491">
              <w:t>I</w:t>
            </w:r>
          </w:p>
        </w:tc>
      </w:tr>
      <w:tr w:rsidR="006448CC" w:rsidRPr="009D53C4" w14:paraId="72DEF7F6" w14:textId="77777777" w:rsidTr="00367FC4">
        <w:trPr>
          <w:trHeight w:val="284"/>
          <w:tblHeader w:val="0"/>
        </w:trPr>
        <w:tc>
          <w:tcPr>
            <w:tcW w:w="1262" w:type="pct"/>
            <w:vMerge w:val="restart"/>
          </w:tcPr>
          <w:p w14:paraId="4370EFDB" w14:textId="77777777" w:rsidR="00FA6590" w:rsidRPr="00FE4491" w:rsidRDefault="00FA6590" w:rsidP="002E16CE">
            <w:pPr>
              <w:pStyle w:val="TableTextEntries"/>
            </w:pPr>
            <w:r w:rsidRPr="009D53C4">
              <w:t>Education For All: Fast Track Initiative</w:t>
            </w:r>
          </w:p>
        </w:tc>
        <w:tc>
          <w:tcPr>
            <w:tcW w:w="705" w:type="pct"/>
            <w:vMerge w:val="restart"/>
          </w:tcPr>
          <w:p w14:paraId="5EAE8E22" w14:textId="5092CDB6" w:rsidR="00FA6590" w:rsidRPr="00FE4491" w:rsidRDefault="00FA6590">
            <w:pPr>
              <w:pStyle w:val="TableTextEntries"/>
            </w:pPr>
            <w:r>
              <w:t>$22.3 million (2010</w:t>
            </w:r>
            <w:r w:rsidR="00376F77">
              <w:t>–</w:t>
            </w:r>
            <w:r>
              <w:t>2013)</w:t>
            </w:r>
          </w:p>
        </w:tc>
        <w:tc>
          <w:tcPr>
            <w:tcW w:w="400" w:type="pct"/>
          </w:tcPr>
          <w:p w14:paraId="698F8591" w14:textId="77777777" w:rsidR="00FA6590" w:rsidRPr="00FE4491" w:rsidRDefault="00FA6590" w:rsidP="002E16CE">
            <w:pPr>
              <w:pStyle w:val="TableTextEntries"/>
            </w:pPr>
            <w:r w:rsidRPr="00FE4491">
              <w:t>2012</w:t>
            </w:r>
          </w:p>
        </w:tc>
        <w:tc>
          <w:tcPr>
            <w:tcW w:w="250" w:type="pct"/>
            <w:gridSpan w:val="2"/>
            <w:shd w:val="clear" w:color="auto" w:fill="92D050"/>
            <w:noWrap/>
          </w:tcPr>
          <w:p w14:paraId="4203F600" w14:textId="0FD92697" w:rsidR="00FA6590" w:rsidRDefault="00F90F57" w:rsidP="002E16CE">
            <w:pPr>
              <w:pStyle w:val="TableTextEntries"/>
              <w:ind w:right="-279"/>
            </w:pPr>
            <w:r>
              <w:t xml:space="preserve"> </w:t>
            </w:r>
            <w:r w:rsidR="00FA6590">
              <w:t>5</w:t>
            </w:r>
          </w:p>
          <w:p w14:paraId="2D012E2D" w14:textId="77777777" w:rsidR="00FA6590" w:rsidRPr="00FE4491" w:rsidRDefault="00FA6590" w:rsidP="002E16CE">
            <w:pPr>
              <w:pStyle w:val="TableTextEntries"/>
              <w:ind w:right="-279"/>
              <w:jc w:val="center"/>
            </w:pPr>
          </w:p>
        </w:tc>
        <w:tc>
          <w:tcPr>
            <w:tcW w:w="250" w:type="pct"/>
            <w:shd w:val="clear" w:color="auto" w:fill="FFFF00"/>
            <w:noWrap/>
          </w:tcPr>
          <w:p w14:paraId="21553576" w14:textId="5266E360" w:rsidR="00FA6590" w:rsidRPr="00FE4491" w:rsidRDefault="00F90F57" w:rsidP="000C579D">
            <w:pPr>
              <w:pStyle w:val="TableTextEntries"/>
              <w:ind w:right="-279"/>
            </w:pPr>
            <w:r>
              <w:t xml:space="preserve"> </w:t>
            </w:r>
            <w:r w:rsidR="00FA6590">
              <w:t>4</w:t>
            </w:r>
          </w:p>
        </w:tc>
        <w:tc>
          <w:tcPr>
            <w:tcW w:w="250" w:type="pct"/>
            <w:shd w:val="clear" w:color="auto" w:fill="FFFF00"/>
            <w:noWrap/>
          </w:tcPr>
          <w:p w14:paraId="5CF0C3C9" w14:textId="16F29EB5" w:rsidR="00FA6590" w:rsidRPr="00FE4491" w:rsidRDefault="00F90F57" w:rsidP="00C52E7E">
            <w:pPr>
              <w:pStyle w:val="TableTextEntries"/>
              <w:ind w:right="-279"/>
            </w:pPr>
            <w:r>
              <w:t xml:space="preserve"> </w:t>
            </w:r>
            <w:r w:rsidR="00FA6590">
              <w:t>4</w:t>
            </w:r>
          </w:p>
        </w:tc>
        <w:tc>
          <w:tcPr>
            <w:tcW w:w="250" w:type="pct"/>
            <w:shd w:val="clear" w:color="auto" w:fill="FFFF00"/>
            <w:noWrap/>
          </w:tcPr>
          <w:p w14:paraId="1B93E0A5" w14:textId="084DD760" w:rsidR="00FA6590" w:rsidRPr="00FE4491" w:rsidRDefault="00F90F57" w:rsidP="002E16CE">
            <w:pPr>
              <w:pStyle w:val="TableTextEntries"/>
              <w:ind w:right="-279"/>
            </w:pPr>
            <w:r>
              <w:t xml:space="preserve"> </w:t>
            </w:r>
            <w:r w:rsidR="00FA6590">
              <w:t>4</w:t>
            </w:r>
          </w:p>
        </w:tc>
        <w:tc>
          <w:tcPr>
            <w:tcW w:w="250" w:type="pct"/>
            <w:shd w:val="clear" w:color="auto" w:fill="FFFF00"/>
            <w:noWrap/>
          </w:tcPr>
          <w:p w14:paraId="131DDFA1" w14:textId="6E53E9A4" w:rsidR="00FA6590" w:rsidRPr="00FE4491" w:rsidRDefault="00F90F57" w:rsidP="00C52E7E">
            <w:pPr>
              <w:pStyle w:val="TableTextEntries"/>
              <w:ind w:right="-279"/>
            </w:pPr>
            <w:r>
              <w:t xml:space="preserve"> </w:t>
            </w:r>
            <w:r w:rsidR="00FA6590">
              <w:t>4</w:t>
            </w:r>
          </w:p>
        </w:tc>
        <w:tc>
          <w:tcPr>
            <w:tcW w:w="250" w:type="pct"/>
            <w:shd w:val="clear" w:color="auto" w:fill="FFFF00"/>
            <w:noWrap/>
          </w:tcPr>
          <w:p w14:paraId="7C18D41D" w14:textId="77777777" w:rsidR="00FA6590" w:rsidRPr="00FE4491" w:rsidRDefault="00FA6590" w:rsidP="002E16CE">
            <w:pPr>
              <w:pStyle w:val="TableTextEntries"/>
              <w:ind w:right="-279"/>
              <w:jc w:val="center"/>
            </w:pPr>
            <w:r>
              <w:t>4</w:t>
            </w:r>
          </w:p>
        </w:tc>
        <w:tc>
          <w:tcPr>
            <w:tcW w:w="250" w:type="pct"/>
            <w:shd w:val="clear" w:color="auto" w:fill="F79646" w:themeFill="accent6"/>
            <w:noWrap/>
          </w:tcPr>
          <w:p w14:paraId="5F8E5851" w14:textId="77777777" w:rsidR="00FA6590" w:rsidRPr="00FE4491" w:rsidRDefault="00FA6590" w:rsidP="002E16CE">
            <w:pPr>
              <w:pStyle w:val="TableTextEntries"/>
              <w:jc w:val="center"/>
            </w:pPr>
            <w:r>
              <w:t>I</w:t>
            </w:r>
          </w:p>
        </w:tc>
      </w:tr>
      <w:tr w:rsidR="006448CC" w:rsidRPr="009D53C4" w14:paraId="122E6D04"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6EDB7EB7" w14:textId="77777777" w:rsidR="00FA6590" w:rsidRPr="00FE4491" w:rsidRDefault="00FA6590" w:rsidP="002E16CE">
            <w:pPr>
              <w:pStyle w:val="TableTextEntries"/>
            </w:pPr>
          </w:p>
        </w:tc>
        <w:tc>
          <w:tcPr>
            <w:tcW w:w="705" w:type="pct"/>
            <w:vMerge/>
          </w:tcPr>
          <w:p w14:paraId="7599377A" w14:textId="77777777" w:rsidR="00FA6590" w:rsidRPr="00FE4491" w:rsidRDefault="00FA6590" w:rsidP="002E16CE">
            <w:pPr>
              <w:pStyle w:val="TableTextEntries"/>
            </w:pPr>
          </w:p>
        </w:tc>
        <w:tc>
          <w:tcPr>
            <w:tcW w:w="400" w:type="pct"/>
          </w:tcPr>
          <w:p w14:paraId="11F22D0C" w14:textId="77777777" w:rsidR="00FA6590" w:rsidRPr="00FE4491" w:rsidRDefault="00FA6590" w:rsidP="002E16CE">
            <w:pPr>
              <w:pStyle w:val="TableTextEntries"/>
            </w:pPr>
            <w:r w:rsidRPr="00FE4491">
              <w:t>2011</w:t>
            </w:r>
          </w:p>
        </w:tc>
        <w:tc>
          <w:tcPr>
            <w:tcW w:w="250" w:type="pct"/>
            <w:gridSpan w:val="2"/>
            <w:shd w:val="clear" w:color="auto" w:fill="92D050"/>
            <w:noWrap/>
          </w:tcPr>
          <w:p w14:paraId="12B6E43A" w14:textId="5ED49DF4" w:rsidR="00FA6590" w:rsidRPr="00FE4491" w:rsidRDefault="00F90F57" w:rsidP="002E16CE">
            <w:pPr>
              <w:pStyle w:val="TableTextEntries"/>
              <w:ind w:right="-279"/>
            </w:pPr>
            <w:r>
              <w:t xml:space="preserve"> </w:t>
            </w:r>
            <w:r w:rsidR="00FA6590">
              <w:t>6</w:t>
            </w:r>
          </w:p>
        </w:tc>
        <w:tc>
          <w:tcPr>
            <w:tcW w:w="250" w:type="pct"/>
            <w:shd w:val="clear" w:color="auto" w:fill="FFFF00"/>
            <w:noWrap/>
          </w:tcPr>
          <w:p w14:paraId="0D5E47C3" w14:textId="62703E4D" w:rsidR="00FA6590" w:rsidRPr="00FE4491" w:rsidRDefault="00F90F57" w:rsidP="000C579D">
            <w:pPr>
              <w:pStyle w:val="TableTextEntries"/>
              <w:ind w:right="-279"/>
            </w:pPr>
            <w:r>
              <w:t xml:space="preserve"> </w:t>
            </w:r>
            <w:r w:rsidR="00FA6590">
              <w:t>4</w:t>
            </w:r>
          </w:p>
        </w:tc>
        <w:tc>
          <w:tcPr>
            <w:tcW w:w="250" w:type="pct"/>
            <w:shd w:val="clear" w:color="auto" w:fill="F79646" w:themeFill="accent6"/>
            <w:noWrap/>
          </w:tcPr>
          <w:p w14:paraId="74F3AA46" w14:textId="6592258B" w:rsidR="00FA6590" w:rsidRPr="00FE4491" w:rsidRDefault="00F90F57" w:rsidP="00C52E7E">
            <w:pPr>
              <w:pStyle w:val="TableTextEntries"/>
              <w:ind w:right="-279"/>
            </w:pPr>
            <w:r>
              <w:t xml:space="preserve"> </w:t>
            </w:r>
            <w:r w:rsidR="00FA6590">
              <w:t>3</w:t>
            </w:r>
          </w:p>
        </w:tc>
        <w:tc>
          <w:tcPr>
            <w:tcW w:w="250" w:type="pct"/>
            <w:shd w:val="clear" w:color="auto" w:fill="FFFF00"/>
            <w:noWrap/>
          </w:tcPr>
          <w:p w14:paraId="42D8469A" w14:textId="7E528331" w:rsidR="00FA6590" w:rsidRPr="00FE4491" w:rsidRDefault="00F90F57" w:rsidP="002E16CE">
            <w:pPr>
              <w:pStyle w:val="TableTextEntries"/>
              <w:ind w:right="-279"/>
            </w:pPr>
            <w:r>
              <w:t xml:space="preserve"> </w:t>
            </w:r>
            <w:r w:rsidR="00FA6590">
              <w:t>4</w:t>
            </w:r>
          </w:p>
        </w:tc>
        <w:tc>
          <w:tcPr>
            <w:tcW w:w="250" w:type="pct"/>
            <w:shd w:val="clear" w:color="auto" w:fill="FFFF00"/>
            <w:noWrap/>
          </w:tcPr>
          <w:p w14:paraId="7E194F7E" w14:textId="77777777" w:rsidR="00FA6590" w:rsidRPr="00FE4491" w:rsidRDefault="00FA6590" w:rsidP="002E16CE">
            <w:pPr>
              <w:pStyle w:val="TableTextEntries"/>
              <w:ind w:right="-279"/>
              <w:jc w:val="center"/>
            </w:pPr>
            <w:r>
              <w:t>4</w:t>
            </w:r>
          </w:p>
        </w:tc>
        <w:tc>
          <w:tcPr>
            <w:tcW w:w="250" w:type="pct"/>
            <w:shd w:val="clear" w:color="auto" w:fill="92D050"/>
            <w:noWrap/>
          </w:tcPr>
          <w:p w14:paraId="2C0B94E7" w14:textId="77777777" w:rsidR="00FA6590" w:rsidRPr="00FE4491" w:rsidRDefault="00FA6590" w:rsidP="002E16CE">
            <w:pPr>
              <w:pStyle w:val="TableTextEntries"/>
              <w:ind w:right="-279"/>
              <w:jc w:val="center"/>
            </w:pPr>
            <w:r>
              <w:t>5</w:t>
            </w:r>
          </w:p>
        </w:tc>
        <w:tc>
          <w:tcPr>
            <w:tcW w:w="250" w:type="pct"/>
            <w:shd w:val="clear" w:color="auto" w:fill="F79646" w:themeFill="accent6"/>
            <w:noWrap/>
          </w:tcPr>
          <w:p w14:paraId="535C2CC5" w14:textId="77777777" w:rsidR="00FA6590" w:rsidRPr="00FE4491" w:rsidRDefault="00FA6590" w:rsidP="002E16CE">
            <w:pPr>
              <w:pStyle w:val="TableTextEntries"/>
              <w:jc w:val="center"/>
            </w:pPr>
            <w:r>
              <w:t>I</w:t>
            </w:r>
          </w:p>
        </w:tc>
      </w:tr>
      <w:tr w:rsidR="006448CC" w:rsidRPr="009D53C4" w14:paraId="6C40F724" w14:textId="77777777" w:rsidTr="00367FC4">
        <w:trPr>
          <w:trHeight w:val="284"/>
          <w:tblHeader w:val="0"/>
        </w:trPr>
        <w:tc>
          <w:tcPr>
            <w:tcW w:w="1262" w:type="pct"/>
            <w:vMerge w:val="restart"/>
          </w:tcPr>
          <w:p w14:paraId="1A18F810" w14:textId="77777777" w:rsidR="00FA6590" w:rsidRPr="00FE4491" w:rsidRDefault="00FA6590" w:rsidP="002E16CE">
            <w:pPr>
              <w:pStyle w:val="TableTextEntries"/>
            </w:pPr>
            <w:r w:rsidRPr="009D53C4">
              <w:t>Laos Enhanced Integrated Framework and Trade Development Facility</w:t>
            </w:r>
          </w:p>
        </w:tc>
        <w:tc>
          <w:tcPr>
            <w:tcW w:w="705" w:type="pct"/>
            <w:vMerge w:val="restart"/>
          </w:tcPr>
          <w:p w14:paraId="4AF14DD6" w14:textId="2AEA8CD2" w:rsidR="00FA6590" w:rsidRPr="00FE4491" w:rsidRDefault="00FA6590">
            <w:pPr>
              <w:pStyle w:val="TableTextEntries"/>
            </w:pPr>
            <w:r>
              <w:t>$3.3</w:t>
            </w:r>
            <w:r w:rsidRPr="009D53C4">
              <w:t>5 million (2007</w:t>
            </w:r>
            <w:r w:rsidR="00376F77">
              <w:t>–</w:t>
            </w:r>
            <w:r w:rsidRPr="009D53C4">
              <w:t>2011)</w:t>
            </w:r>
          </w:p>
        </w:tc>
        <w:tc>
          <w:tcPr>
            <w:tcW w:w="400" w:type="pct"/>
          </w:tcPr>
          <w:p w14:paraId="2643E449" w14:textId="77777777" w:rsidR="00FA6590" w:rsidRPr="00FE4491" w:rsidRDefault="00FA6590" w:rsidP="002E16CE">
            <w:pPr>
              <w:pStyle w:val="TableTextEntries"/>
            </w:pPr>
            <w:r>
              <w:t>2012</w:t>
            </w:r>
          </w:p>
        </w:tc>
        <w:tc>
          <w:tcPr>
            <w:tcW w:w="250" w:type="pct"/>
            <w:gridSpan w:val="2"/>
            <w:vMerge w:val="restart"/>
            <w:shd w:val="clear" w:color="auto" w:fill="92D050"/>
            <w:noWrap/>
          </w:tcPr>
          <w:p w14:paraId="15997A52" w14:textId="77777777" w:rsidR="00FA6590" w:rsidRPr="00FE4491" w:rsidRDefault="00FA6590" w:rsidP="002E16CE">
            <w:pPr>
              <w:pStyle w:val="TableTextEntries"/>
              <w:jc w:val="center"/>
            </w:pPr>
            <w:r>
              <w:t>5</w:t>
            </w:r>
          </w:p>
        </w:tc>
        <w:tc>
          <w:tcPr>
            <w:tcW w:w="250" w:type="pct"/>
            <w:vMerge w:val="restart"/>
            <w:shd w:val="clear" w:color="auto" w:fill="92D050"/>
            <w:noWrap/>
          </w:tcPr>
          <w:p w14:paraId="3BF65F4D" w14:textId="77777777" w:rsidR="00FA6590" w:rsidRPr="00FE4491" w:rsidRDefault="00FA6590" w:rsidP="002E16CE">
            <w:pPr>
              <w:pStyle w:val="TableTextEntries"/>
              <w:jc w:val="center"/>
            </w:pPr>
            <w:r>
              <w:t>5</w:t>
            </w:r>
          </w:p>
        </w:tc>
        <w:tc>
          <w:tcPr>
            <w:tcW w:w="250" w:type="pct"/>
            <w:vMerge w:val="restart"/>
            <w:shd w:val="clear" w:color="auto" w:fill="92D050"/>
            <w:noWrap/>
          </w:tcPr>
          <w:p w14:paraId="75B2D9B2" w14:textId="77777777" w:rsidR="00FA6590" w:rsidRPr="00FE4491" w:rsidRDefault="00FA6590" w:rsidP="002E16CE">
            <w:pPr>
              <w:pStyle w:val="TableTextEntries"/>
              <w:jc w:val="center"/>
            </w:pPr>
            <w:r>
              <w:t>5</w:t>
            </w:r>
          </w:p>
        </w:tc>
        <w:tc>
          <w:tcPr>
            <w:tcW w:w="250" w:type="pct"/>
            <w:vMerge w:val="restart"/>
            <w:shd w:val="clear" w:color="auto" w:fill="FFFF00"/>
            <w:noWrap/>
          </w:tcPr>
          <w:p w14:paraId="695681DD" w14:textId="77777777" w:rsidR="00FA6590" w:rsidRPr="00FE4491" w:rsidRDefault="00FA6590" w:rsidP="002E16CE">
            <w:pPr>
              <w:pStyle w:val="TableTextEntries"/>
              <w:jc w:val="center"/>
            </w:pPr>
            <w:r>
              <w:t>4</w:t>
            </w:r>
          </w:p>
        </w:tc>
        <w:tc>
          <w:tcPr>
            <w:tcW w:w="250" w:type="pct"/>
            <w:vMerge w:val="restart"/>
            <w:shd w:val="clear" w:color="auto" w:fill="FFFF00"/>
            <w:noWrap/>
          </w:tcPr>
          <w:p w14:paraId="36C0F365" w14:textId="77777777" w:rsidR="00FA6590" w:rsidRPr="00FE4491" w:rsidRDefault="00FA6590" w:rsidP="002E16CE">
            <w:pPr>
              <w:pStyle w:val="TableTextEntries"/>
              <w:jc w:val="center"/>
            </w:pPr>
            <w:r>
              <w:t>4</w:t>
            </w:r>
          </w:p>
        </w:tc>
        <w:tc>
          <w:tcPr>
            <w:tcW w:w="250" w:type="pct"/>
            <w:vMerge w:val="restart"/>
            <w:shd w:val="clear" w:color="auto" w:fill="FFFF00"/>
            <w:noWrap/>
          </w:tcPr>
          <w:p w14:paraId="23464A0D" w14:textId="77777777" w:rsidR="00FA6590" w:rsidRPr="00FE4491" w:rsidRDefault="00FA6590" w:rsidP="002E16CE">
            <w:pPr>
              <w:pStyle w:val="TableTextEntries"/>
              <w:jc w:val="center"/>
            </w:pPr>
            <w:r>
              <w:t>4</w:t>
            </w:r>
          </w:p>
        </w:tc>
        <w:tc>
          <w:tcPr>
            <w:tcW w:w="250" w:type="pct"/>
            <w:vMerge w:val="restart"/>
            <w:shd w:val="clear" w:color="auto" w:fill="92D050"/>
            <w:noWrap/>
          </w:tcPr>
          <w:p w14:paraId="5A939ED3" w14:textId="77777777" w:rsidR="00FA6590" w:rsidRPr="00FE4491" w:rsidRDefault="00FA6590" w:rsidP="002E16CE">
            <w:pPr>
              <w:pStyle w:val="TableTextEntries"/>
              <w:jc w:val="center"/>
            </w:pPr>
            <w:r>
              <w:t>M</w:t>
            </w:r>
          </w:p>
        </w:tc>
      </w:tr>
      <w:tr w:rsidR="006448CC" w:rsidRPr="009D53C4" w14:paraId="2EDBAE92"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13560EE6" w14:textId="77777777" w:rsidR="00FA6590" w:rsidRPr="00FE4491" w:rsidRDefault="00FA6590" w:rsidP="002E16CE">
            <w:pPr>
              <w:pStyle w:val="TableTextEntries"/>
            </w:pPr>
          </w:p>
        </w:tc>
        <w:tc>
          <w:tcPr>
            <w:tcW w:w="705" w:type="pct"/>
            <w:vMerge/>
          </w:tcPr>
          <w:p w14:paraId="678659E8" w14:textId="77777777" w:rsidR="00FA6590" w:rsidRPr="00FE4491" w:rsidRDefault="00FA6590" w:rsidP="002E16CE">
            <w:pPr>
              <w:pStyle w:val="TableTextEntries"/>
            </w:pPr>
          </w:p>
        </w:tc>
        <w:tc>
          <w:tcPr>
            <w:tcW w:w="400" w:type="pct"/>
          </w:tcPr>
          <w:p w14:paraId="2833F6A5" w14:textId="77777777" w:rsidR="00FA6590" w:rsidRPr="00FE4491" w:rsidRDefault="00FA6590" w:rsidP="002E16CE">
            <w:pPr>
              <w:pStyle w:val="TableTextEntries"/>
            </w:pPr>
          </w:p>
        </w:tc>
        <w:tc>
          <w:tcPr>
            <w:tcW w:w="250" w:type="pct"/>
            <w:gridSpan w:val="2"/>
            <w:vMerge/>
            <w:shd w:val="clear" w:color="auto" w:fill="92D050"/>
            <w:noWrap/>
          </w:tcPr>
          <w:p w14:paraId="6C89D7DA" w14:textId="77777777" w:rsidR="00FA6590" w:rsidRPr="00FE4491" w:rsidRDefault="00FA6590" w:rsidP="002E16CE">
            <w:pPr>
              <w:pStyle w:val="TableTextEntries"/>
              <w:jc w:val="center"/>
            </w:pPr>
          </w:p>
        </w:tc>
        <w:tc>
          <w:tcPr>
            <w:tcW w:w="250" w:type="pct"/>
            <w:vMerge/>
            <w:shd w:val="clear" w:color="auto" w:fill="92D050"/>
            <w:noWrap/>
          </w:tcPr>
          <w:p w14:paraId="7F2AC412" w14:textId="77777777" w:rsidR="00FA6590" w:rsidRPr="00FE4491" w:rsidRDefault="00FA6590" w:rsidP="002E16CE">
            <w:pPr>
              <w:pStyle w:val="TableTextEntries"/>
              <w:jc w:val="center"/>
            </w:pPr>
          </w:p>
        </w:tc>
        <w:tc>
          <w:tcPr>
            <w:tcW w:w="250" w:type="pct"/>
            <w:vMerge/>
            <w:shd w:val="clear" w:color="auto" w:fill="92D050"/>
            <w:noWrap/>
          </w:tcPr>
          <w:p w14:paraId="26B0ECBD" w14:textId="77777777" w:rsidR="00FA6590" w:rsidRPr="00FE4491" w:rsidRDefault="00FA6590" w:rsidP="002E16CE">
            <w:pPr>
              <w:pStyle w:val="TableTextEntries"/>
              <w:jc w:val="center"/>
            </w:pPr>
          </w:p>
        </w:tc>
        <w:tc>
          <w:tcPr>
            <w:tcW w:w="250" w:type="pct"/>
            <w:vMerge/>
            <w:shd w:val="clear" w:color="auto" w:fill="FFFF00"/>
            <w:noWrap/>
          </w:tcPr>
          <w:p w14:paraId="6C76CE6C" w14:textId="77777777" w:rsidR="00FA6590" w:rsidRPr="00FE4491" w:rsidRDefault="00FA6590" w:rsidP="002E16CE">
            <w:pPr>
              <w:pStyle w:val="TableTextEntries"/>
              <w:jc w:val="center"/>
            </w:pPr>
          </w:p>
        </w:tc>
        <w:tc>
          <w:tcPr>
            <w:tcW w:w="250" w:type="pct"/>
            <w:vMerge/>
            <w:shd w:val="clear" w:color="auto" w:fill="FFFF00"/>
            <w:noWrap/>
          </w:tcPr>
          <w:p w14:paraId="24D9F52E" w14:textId="77777777" w:rsidR="00FA6590" w:rsidRPr="00FE4491" w:rsidRDefault="00FA6590" w:rsidP="002E16CE">
            <w:pPr>
              <w:pStyle w:val="TableTextEntries"/>
              <w:jc w:val="center"/>
            </w:pPr>
          </w:p>
        </w:tc>
        <w:tc>
          <w:tcPr>
            <w:tcW w:w="250" w:type="pct"/>
            <w:vMerge/>
            <w:shd w:val="clear" w:color="auto" w:fill="FFFF00"/>
            <w:noWrap/>
          </w:tcPr>
          <w:p w14:paraId="589FA792" w14:textId="77777777" w:rsidR="00FA6590" w:rsidRPr="00FE4491" w:rsidRDefault="00FA6590" w:rsidP="002E16CE">
            <w:pPr>
              <w:pStyle w:val="TableTextEntries"/>
              <w:jc w:val="center"/>
            </w:pPr>
          </w:p>
        </w:tc>
        <w:tc>
          <w:tcPr>
            <w:tcW w:w="250" w:type="pct"/>
            <w:vMerge/>
            <w:shd w:val="clear" w:color="auto" w:fill="92D050"/>
            <w:noWrap/>
          </w:tcPr>
          <w:p w14:paraId="7FEC7F46" w14:textId="77777777" w:rsidR="00FA6590" w:rsidRPr="00FE4491" w:rsidRDefault="00FA6590" w:rsidP="002E16CE">
            <w:pPr>
              <w:pStyle w:val="TableTextEntries"/>
              <w:jc w:val="center"/>
            </w:pPr>
          </w:p>
        </w:tc>
      </w:tr>
      <w:tr w:rsidR="006448CC" w:rsidRPr="009D53C4" w14:paraId="383A2EFD" w14:textId="77777777" w:rsidTr="00367FC4">
        <w:trPr>
          <w:trHeight w:val="284"/>
          <w:tblHeader w:val="0"/>
        </w:trPr>
        <w:tc>
          <w:tcPr>
            <w:tcW w:w="1262" w:type="pct"/>
            <w:vMerge/>
          </w:tcPr>
          <w:p w14:paraId="3CC4E08B" w14:textId="77777777" w:rsidR="00FA6590" w:rsidRPr="00FE4491" w:rsidRDefault="00FA6590" w:rsidP="002E16CE">
            <w:pPr>
              <w:pStyle w:val="TableTextEntries"/>
            </w:pPr>
          </w:p>
        </w:tc>
        <w:tc>
          <w:tcPr>
            <w:tcW w:w="705" w:type="pct"/>
            <w:vMerge/>
          </w:tcPr>
          <w:p w14:paraId="67E7159A" w14:textId="77777777" w:rsidR="00FA6590" w:rsidRPr="00FE4491" w:rsidRDefault="00FA6590" w:rsidP="002E16CE">
            <w:pPr>
              <w:pStyle w:val="TableTextEntries"/>
            </w:pPr>
          </w:p>
        </w:tc>
        <w:tc>
          <w:tcPr>
            <w:tcW w:w="400" w:type="pct"/>
          </w:tcPr>
          <w:p w14:paraId="27349E5F" w14:textId="77777777" w:rsidR="00FA6590" w:rsidRPr="00FE4491" w:rsidRDefault="00FA6590" w:rsidP="002E16CE">
            <w:pPr>
              <w:pStyle w:val="TableTextEntries"/>
            </w:pPr>
            <w:r>
              <w:t>2011</w:t>
            </w:r>
          </w:p>
        </w:tc>
        <w:tc>
          <w:tcPr>
            <w:tcW w:w="250" w:type="pct"/>
            <w:gridSpan w:val="2"/>
            <w:vMerge w:val="restart"/>
            <w:shd w:val="clear" w:color="auto" w:fill="92D050"/>
            <w:noWrap/>
          </w:tcPr>
          <w:p w14:paraId="28AC6BCB" w14:textId="77777777" w:rsidR="00FA6590" w:rsidRPr="00FE4491" w:rsidRDefault="00FA6590" w:rsidP="002E16CE">
            <w:pPr>
              <w:pStyle w:val="TableTextEntries"/>
              <w:jc w:val="center"/>
            </w:pPr>
            <w:r>
              <w:t>5</w:t>
            </w:r>
          </w:p>
        </w:tc>
        <w:tc>
          <w:tcPr>
            <w:tcW w:w="250" w:type="pct"/>
            <w:vMerge w:val="restart"/>
            <w:shd w:val="clear" w:color="auto" w:fill="92D050"/>
            <w:noWrap/>
          </w:tcPr>
          <w:p w14:paraId="79B016F2" w14:textId="77777777" w:rsidR="00FA6590" w:rsidRPr="00FE4491" w:rsidRDefault="00FA6590" w:rsidP="002E16CE">
            <w:pPr>
              <w:pStyle w:val="TableTextEntries"/>
              <w:jc w:val="center"/>
            </w:pPr>
            <w:r>
              <w:t>5</w:t>
            </w:r>
          </w:p>
        </w:tc>
        <w:tc>
          <w:tcPr>
            <w:tcW w:w="250" w:type="pct"/>
            <w:vMerge w:val="restart"/>
            <w:shd w:val="clear" w:color="auto" w:fill="92D050"/>
            <w:noWrap/>
          </w:tcPr>
          <w:p w14:paraId="736D37B3" w14:textId="77777777" w:rsidR="00FA6590" w:rsidRPr="00FE4491" w:rsidRDefault="00FA6590" w:rsidP="002E16CE">
            <w:pPr>
              <w:pStyle w:val="TableTextEntries"/>
              <w:jc w:val="center"/>
            </w:pPr>
            <w:r>
              <w:t>5</w:t>
            </w:r>
          </w:p>
        </w:tc>
        <w:tc>
          <w:tcPr>
            <w:tcW w:w="250" w:type="pct"/>
            <w:vMerge w:val="restart"/>
            <w:shd w:val="clear" w:color="auto" w:fill="FFFF00"/>
            <w:noWrap/>
          </w:tcPr>
          <w:p w14:paraId="3FFEBC8C" w14:textId="77777777" w:rsidR="00FA6590" w:rsidRPr="00FE4491" w:rsidRDefault="00FA6590" w:rsidP="002E16CE">
            <w:pPr>
              <w:pStyle w:val="TableTextEntries"/>
              <w:jc w:val="center"/>
            </w:pPr>
            <w:r>
              <w:t>4</w:t>
            </w:r>
          </w:p>
        </w:tc>
        <w:tc>
          <w:tcPr>
            <w:tcW w:w="250" w:type="pct"/>
            <w:vMerge w:val="restart"/>
            <w:shd w:val="clear" w:color="auto" w:fill="92D050"/>
            <w:noWrap/>
          </w:tcPr>
          <w:p w14:paraId="2A941DB4" w14:textId="77777777" w:rsidR="00FA6590" w:rsidRPr="00FE4491" w:rsidRDefault="00FA6590" w:rsidP="002E16CE">
            <w:pPr>
              <w:pStyle w:val="TableTextEntries"/>
              <w:jc w:val="center"/>
            </w:pPr>
            <w:r>
              <w:t>5</w:t>
            </w:r>
          </w:p>
        </w:tc>
        <w:tc>
          <w:tcPr>
            <w:tcW w:w="250" w:type="pct"/>
            <w:vMerge w:val="restart"/>
            <w:shd w:val="clear" w:color="auto" w:fill="92D050"/>
            <w:noWrap/>
          </w:tcPr>
          <w:p w14:paraId="0F4449E0" w14:textId="77777777" w:rsidR="00FA6590" w:rsidRPr="00FE4491" w:rsidRDefault="00FA6590" w:rsidP="002E16CE">
            <w:pPr>
              <w:pStyle w:val="TableTextEntries"/>
              <w:jc w:val="center"/>
            </w:pPr>
            <w:r>
              <w:t>5</w:t>
            </w:r>
          </w:p>
        </w:tc>
        <w:tc>
          <w:tcPr>
            <w:tcW w:w="250" w:type="pct"/>
            <w:vMerge w:val="restart"/>
            <w:shd w:val="clear" w:color="auto" w:fill="92D050"/>
            <w:noWrap/>
          </w:tcPr>
          <w:p w14:paraId="49D2D4CA" w14:textId="77777777" w:rsidR="00FA6590" w:rsidRPr="00FE4491" w:rsidRDefault="00FA6590" w:rsidP="002E16CE">
            <w:pPr>
              <w:pStyle w:val="TableTextEntries"/>
              <w:jc w:val="center"/>
            </w:pPr>
            <w:r>
              <w:t>M</w:t>
            </w:r>
          </w:p>
        </w:tc>
      </w:tr>
      <w:tr w:rsidR="006448CC" w:rsidRPr="009D53C4" w14:paraId="478318A3"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2B295F14" w14:textId="77777777" w:rsidR="00FA6590" w:rsidRPr="00FE4491" w:rsidRDefault="00FA6590" w:rsidP="002E16CE">
            <w:pPr>
              <w:pStyle w:val="TableTextEntries"/>
            </w:pPr>
          </w:p>
        </w:tc>
        <w:tc>
          <w:tcPr>
            <w:tcW w:w="705" w:type="pct"/>
          </w:tcPr>
          <w:p w14:paraId="6D313A76" w14:textId="77777777" w:rsidR="00FA6590" w:rsidRPr="00FE4491" w:rsidRDefault="00FA6590" w:rsidP="002E16CE">
            <w:pPr>
              <w:pStyle w:val="TableTextEntries"/>
            </w:pPr>
          </w:p>
        </w:tc>
        <w:tc>
          <w:tcPr>
            <w:tcW w:w="400" w:type="pct"/>
          </w:tcPr>
          <w:p w14:paraId="149CA38D" w14:textId="77777777" w:rsidR="00FA6590" w:rsidRPr="00FE4491" w:rsidRDefault="00FA6590" w:rsidP="002E16CE">
            <w:pPr>
              <w:pStyle w:val="TableTextEntries"/>
            </w:pPr>
          </w:p>
        </w:tc>
        <w:tc>
          <w:tcPr>
            <w:tcW w:w="250" w:type="pct"/>
            <w:gridSpan w:val="2"/>
            <w:vMerge/>
            <w:shd w:val="clear" w:color="auto" w:fill="92D050"/>
            <w:noWrap/>
          </w:tcPr>
          <w:p w14:paraId="583B143D" w14:textId="77777777" w:rsidR="00FA6590" w:rsidRPr="00FE4491" w:rsidRDefault="00FA6590" w:rsidP="002E16CE">
            <w:pPr>
              <w:pStyle w:val="TableTextEntries"/>
              <w:jc w:val="center"/>
            </w:pPr>
          </w:p>
        </w:tc>
        <w:tc>
          <w:tcPr>
            <w:tcW w:w="250" w:type="pct"/>
            <w:vMerge/>
            <w:shd w:val="clear" w:color="auto" w:fill="92D050"/>
            <w:noWrap/>
          </w:tcPr>
          <w:p w14:paraId="6D8454F4" w14:textId="77777777" w:rsidR="00FA6590" w:rsidRPr="00FE4491" w:rsidRDefault="00FA6590" w:rsidP="002E16CE">
            <w:pPr>
              <w:pStyle w:val="TableTextEntries"/>
              <w:jc w:val="center"/>
            </w:pPr>
          </w:p>
        </w:tc>
        <w:tc>
          <w:tcPr>
            <w:tcW w:w="250" w:type="pct"/>
            <w:vMerge/>
            <w:shd w:val="clear" w:color="auto" w:fill="92D050"/>
            <w:noWrap/>
          </w:tcPr>
          <w:p w14:paraId="08BC0AF5" w14:textId="77777777" w:rsidR="00FA6590" w:rsidRPr="00FE4491" w:rsidRDefault="00FA6590" w:rsidP="002E16CE">
            <w:pPr>
              <w:pStyle w:val="TableTextEntries"/>
              <w:jc w:val="center"/>
            </w:pPr>
          </w:p>
        </w:tc>
        <w:tc>
          <w:tcPr>
            <w:tcW w:w="250" w:type="pct"/>
            <w:vMerge/>
            <w:shd w:val="clear" w:color="auto" w:fill="FFFF00"/>
            <w:noWrap/>
          </w:tcPr>
          <w:p w14:paraId="30FD054A" w14:textId="77777777" w:rsidR="00FA6590" w:rsidRPr="00FE4491" w:rsidRDefault="00FA6590" w:rsidP="002E16CE">
            <w:pPr>
              <w:pStyle w:val="TableTextEntries"/>
              <w:jc w:val="center"/>
            </w:pPr>
          </w:p>
        </w:tc>
        <w:tc>
          <w:tcPr>
            <w:tcW w:w="250" w:type="pct"/>
            <w:vMerge/>
            <w:shd w:val="clear" w:color="auto" w:fill="92D050"/>
            <w:noWrap/>
          </w:tcPr>
          <w:p w14:paraId="75C0A8C5" w14:textId="77777777" w:rsidR="00FA6590" w:rsidRPr="00FE4491" w:rsidRDefault="00FA6590" w:rsidP="002E16CE">
            <w:pPr>
              <w:pStyle w:val="TableTextEntries"/>
              <w:jc w:val="center"/>
            </w:pPr>
          </w:p>
        </w:tc>
        <w:tc>
          <w:tcPr>
            <w:tcW w:w="250" w:type="pct"/>
            <w:vMerge/>
            <w:shd w:val="clear" w:color="auto" w:fill="92D050"/>
            <w:noWrap/>
          </w:tcPr>
          <w:p w14:paraId="7B1772F1" w14:textId="77777777" w:rsidR="00FA6590" w:rsidRPr="00FE4491" w:rsidRDefault="00FA6590" w:rsidP="002E16CE">
            <w:pPr>
              <w:pStyle w:val="TableTextEntries"/>
              <w:jc w:val="center"/>
            </w:pPr>
          </w:p>
        </w:tc>
        <w:tc>
          <w:tcPr>
            <w:tcW w:w="250" w:type="pct"/>
            <w:vMerge/>
            <w:shd w:val="clear" w:color="auto" w:fill="92D050"/>
            <w:noWrap/>
          </w:tcPr>
          <w:p w14:paraId="4DA17E9D" w14:textId="77777777" w:rsidR="00FA6590" w:rsidRPr="00FE4491" w:rsidRDefault="00FA6590" w:rsidP="002E16CE">
            <w:pPr>
              <w:pStyle w:val="TableTextEntries"/>
              <w:jc w:val="center"/>
            </w:pPr>
          </w:p>
        </w:tc>
      </w:tr>
      <w:tr w:rsidR="006448CC" w:rsidRPr="009D53C4" w14:paraId="7BEC2703" w14:textId="77777777" w:rsidTr="00367FC4">
        <w:trPr>
          <w:trHeight w:val="284"/>
          <w:tblHeader w:val="0"/>
        </w:trPr>
        <w:tc>
          <w:tcPr>
            <w:tcW w:w="1262" w:type="pct"/>
            <w:vMerge w:val="restart"/>
          </w:tcPr>
          <w:p w14:paraId="0B55099F" w14:textId="77777777" w:rsidR="00FA6590" w:rsidRPr="00FE4491" w:rsidRDefault="00FA6590" w:rsidP="002E16CE">
            <w:pPr>
              <w:pStyle w:val="TableTextEntries"/>
            </w:pPr>
            <w:r w:rsidRPr="009D53C4">
              <w:t>Laos-NGO Cooperation Agreements</w:t>
            </w:r>
          </w:p>
        </w:tc>
        <w:tc>
          <w:tcPr>
            <w:tcW w:w="705" w:type="pct"/>
            <w:vMerge w:val="restart"/>
          </w:tcPr>
          <w:p w14:paraId="585EDB86" w14:textId="77777777" w:rsidR="00FA6590" w:rsidRPr="00FE4491" w:rsidRDefault="00FA6590" w:rsidP="002E16CE">
            <w:pPr>
              <w:pStyle w:val="TableTextEntries"/>
            </w:pPr>
            <w:r w:rsidRPr="009D53C4">
              <w:t>14</w:t>
            </w:r>
            <w:r>
              <w:t>.42</w:t>
            </w:r>
            <w:r w:rsidRPr="009D53C4">
              <w:t xml:space="preserve"> million (2005–201</w:t>
            </w:r>
            <w:r>
              <w:t>4</w:t>
            </w:r>
            <w:r w:rsidRPr="009D53C4">
              <w:t>)</w:t>
            </w:r>
          </w:p>
        </w:tc>
        <w:tc>
          <w:tcPr>
            <w:tcW w:w="400" w:type="pct"/>
          </w:tcPr>
          <w:p w14:paraId="4A187773" w14:textId="77777777" w:rsidR="00FA6590" w:rsidRPr="00FE4491" w:rsidRDefault="00FA6590" w:rsidP="002E16CE">
            <w:pPr>
              <w:pStyle w:val="TableTextEntries"/>
            </w:pPr>
            <w:r>
              <w:t>2012</w:t>
            </w:r>
          </w:p>
        </w:tc>
        <w:tc>
          <w:tcPr>
            <w:tcW w:w="250" w:type="pct"/>
            <w:gridSpan w:val="2"/>
            <w:shd w:val="clear" w:color="auto" w:fill="FFFF00"/>
            <w:noWrap/>
          </w:tcPr>
          <w:p w14:paraId="27AB5377" w14:textId="77777777" w:rsidR="00FA6590" w:rsidRDefault="00FA6590" w:rsidP="002E16CE">
            <w:pPr>
              <w:pStyle w:val="TableTextEntries"/>
              <w:jc w:val="center"/>
            </w:pPr>
            <w:r>
              <w:t>4</w:t>
            </w:r>
          </w:p>
          <w:p w14:paraId="72ADCA27" w14:textId="77777777" w:rsidR="00FA6590" w:rsidRPr="00FE4491" w:rsidRDefault="00FA6590" w:rsidP="002E16CE">
            <w:pPr>
              <w:pStyle w:val="TableTextEntries"/>
              <w:jc w:val="center"/>
            </w:pPr>
          </w:p>
        </w:tc>
        <w:tc>
          <w:tcPr>
            <w:tcW w:w="250" w:type="pct"/>
            <w:shd w:val="clear" w:color="auto" w:fill="FFFF00"/>
            <w:noWrap/>
          </w:tcPr>
          <w:p w14:paraId="103136C7" w14:textId="77777777" w:rsidR="00FA6590" w:rsidRPr="00FE4491" w:rsidRDefault="00FA6590" w:rsidP="002E16CE">
            <w:pPr>
              <w:pStyle w:val="TableTextEntries"/>
              <w:jc w:val="center"/>
            </w:pPr>
            <w:r>
              <w:t>4</w:t>
            </w:r>
          </w:p>
        </w:tc>
        <w:tc>
          <w:tcPr>
            <w:tcW w:w="250" w:type="pct"/>
            <w:shd w:val="clear" w:color="auto" w:fill="FFFF00"/>
            <w:noWrap/>
          </w:tcPr>
          <w:p w14:paraId="4B0F2677" w14:textId="77777777" w:rsidR="00FA6590" w:rsidRPr="00FE4491" w:rsidRDefault="00FA6590" w:rsidP="002E16CE">
            <w:pPr>
              <w:pStyle w:val="TableTextEntries"/>
              <w:jc w:val="center"/>
            </w:pPr>
            <w:r>
              <w:t>4</w:t>
            </w:r>
          </w:p>
        </w:tc>
        <w:tc>
          <w:tcPr>
            <w:tcW w:w="250" w:type="pct"/>
            <w:shd w:val="clear" w:color="auto" w:fill="FFFF00"/>
            <w:noWrap/>
          </w:tcPr>
          <w:p w14:paraId="1F438996" w14:textId="77777777" w:rsidR="00FA6590" w:rsidRPr="00FE4491" w:rsidRDefault="00FA6590" w:rsidP="002E16CE">
            <w:pPr>
              <w:pStyle w:val="TableTextEntries"/>
              <w:jc w:val="center"/>
            </w:pPr>
            <w:r>
              <w:t>4</w:t>
            </w:r>
          </w:p>
        </w:tc>
        <w:tc>
          <w:tcPr>
            <w:tcW w:w="250" w:type="pct"/>
            <w:shd w:val="clear" w:color="auto" w:fill="FFFF00"/>
            <w:noWrap/>
          </w:tcPr>
          <w:p w14:paraId="7D01F79C" w14:textId="77777777" w:rsidR="00FA6590" w:rsidRPr="00FE4491" w:rsidRDefault="00FA6590" w:rsidP="002E16CE">
            <w:pPr>
              <w:pStyle w:val="TableTextEntries"/>
              <w:jc w:val="center"/>
            </w:pPr>
            <w:r>
              <w:t>4</w:t>
            </w:r>
          </w:p>
        </w:tc>
        <w:tc>
          <w:tcPr>
            <w:tcW w:w="250" w:type="pct"/>
            <w:shd w:val="clear" w:color="auto" w:fill="FFFF00"/>
            <w:noWrap/>
          </w:tcPr>
          <w:p w14:paraId="4F851DBF" w14:textId="77777777" w:rsidR="00FA6590" w:rsidRPr="00FE4491" w:rsidRDefault="00FA6590" w:rsidP="002E16CE">
            <w:pPr>
              <w:pStyle w:val="TableTextEntries"/>
              <w:jc w:val="center"/>
            </w:pPr>
            <w:r>
              <w:t>4</w:t>
            </w:r>
          </w:p>
        </w:tc>
        <w:tc>
          <w:tcPr>
            <w:tcW w:w="250" w:type="pct"/>
            <w:shd w:val="clear" w:color="auto" w:fill="92D050"/>
            <w:noWrap/>
          </w:tcPr>
          <w:p w14:paraId="40D30ED0" w14:textId="77777777" w:rsidR="00FA6590" w:rsidRPr="00FE4491" w:rsidRDefault="00FA6590" w:rsidP="002E16CE">
            <w:pPr>
              <w:pStyle w:val="TableTextEntries"/>
              <w:jc w:val="center"/>
            </w:pPr>
            <w:r>
              <w:t>M</w:t>
            </w:r>
          </w:p>
        </w:tc>
      </w:tr>
      <w:tr w:rsidR="006448CC" w:rsidRPr="009D53C4" w14:paraId="228DC6E4" w14:textId="77777777" w:rsidTr="00367FC4">
        <w:trPr>
          <w:cnfStyle w:val="000000010000" w:firstRow="0" w:lastRow="0" w:firstColumn="0" w:lastColumn="0" w:oddVBand="0" w:evenVBand="0" w:oddHBand="0" w:evenHBand="1" w:firstRowFirstColumn="0" w:firstRowLastColumn="0" w:lastRowFirstColumn="0" w:lastRowLastColumn="0"/>
          <w:trHeight w:val="626"/>
          <w:tblHeader w:val="0"/>
        </w:trPr>
        <w:tc>
          <w:tcPr>
            <w:tcW w:w="1262" w:type="pct"/>
            <w:vMerge/>
          </w:tcPr>
          <w:p w14:paraId="2DA19C0C" w14:textId="77777777" w:rsidR="00FA6590" w:rsidRPr="00FE4491" w:rsidRDefault="00FA6590" w:rsidP="002E16CE">
            <w:pPr>
              <w:pStyle w:val="TableTextEntries"/>
            </w:pPr>
          </w:p>
        </w:tc>
        <w:tc>
          <w:tcPr>
            <w:tcW w:w="705" w:type="pct"/>
            <w:vMerge/>
          </w:tcPr>
          <w:p w14:paraId="2BEC38E0" w14:textId="77777777" w:rsidR="00FA6590" w:rsidRPr="00FE4491" w:rsidRDefault="00FA6590" w:rsidP="002E16CE">
            <w:pPr>
              <w:pStyle w:val="TableTextEntries"/>
            </w:pPr>
          </w:p>
        </w:tc>
        <w:tc>
          <w:tcPr>
            <w:tcW w:w="400" w:type="pct"/>
          </w:tcPr>
          <w:p w14:paraId="204EABEA" w14:textId="77777777" w:rsidR="00FA6590" w:rsidRPr="00FE4491" w:rsidRDefault="00FA6590" w:rsidP="002E16CE">
            <w:pPr>
              <w:pStyle w:val="TableTextEntries"/>
            </w:pPr>
            <w:r>
              <w:t>2011</w:t>
            </w:r>
          </w:p>
        </w:tc>
        <w:tc>
          <w:tcPr>
            <w:tcW w:w="250" w:type="pct"/>
            <w:gridSpan w:val="2"/>
            <w:shd w:val="clear" w:color="auto" w:fill="92D050"/>
            <w:noWrap/>
          </w:tcPr>
          <w:p w14:paraId="0525EEE0" w14:textId="77777777" w:rsidR="00FA6590" w:rsidRPr="00FE4491" w:rsidRDefault="00FA6590" w:rsidP="002E16CE">
            <w:pPr>
              <w:pStyle w:val="TableTextEntries"/>
              <w:jc w:val="center"/>
            </w:pPr>
            <w:r>
              <w:t>5</w:t>
            </w:r>
          </w:p>
        </w:tc>
        <w:tc>
          <w:tcPr>
            <w:tcW w:w="250" w:type="pct"/>
            <w:shd w:val="clear" w:color="auto" w:fill="FFFF00"/>
            <w:noWrap/>
          </w:tcPr>
          <w:p w14:paraId="1B49CA10" w14:textId="77777777" w:rsidR="00FA6590" w:rsidRPr="00FE4491" w:rsidRDefault="00FA6590" w:rsidP="002E16CE">
            <w:pPr>
              <w:pStyle w:val="TableTextEntries"/>
              <w:jc w:val="center"/>
            </w:pPr>
            <w:r>
              <w:t>4</w:t>
            </w:r>
          </w:p>
        </w:tc>
        <w:tc>
          <w:tcPr>
            <w:tcW w:w="250" w:type="pct"/>
            <w:shd w:val="clear" w:color="auto" w:fill="FFFF00"/>
            <w:noWrap/>
          </w:tcPr>
          <w:p w14:paraId="78D9949C" w14:textId="77777777" w:rsidR="00FA6590" w:rsidRPr="00FE4491" w:rsidRDefault="00FA6590" w:rsidP="002E16CE">
            <w:pPr>
              <w:pStyle w:val="TableTextEntries"/>
              <w:jc w:val="center"/>
            </w:pPr>
            <w:r>
              <w:t>4</w:t>
            </w:r>
          </w:p>
        </w:tc>
        <w:tc>
          <w:tcPr>
            <w:tcW w:w="250" w:type="pct"/>
            <w:shd w:val="clear" w:color="auto" w:fill="FFFF00"/>
            <w:noWrap/>
          </w:tcPr>
          <w:p w14:paraId="4E272BD8" w14:textId="77777777" w:rsidR="00FA6590" w:rsidRPr="00FE4491" w:rsidRDefault="00FA6590" w:rsidP="002E16CE">
            <w:pPr>
              <w:pStyle w:val="TableTextEntries"/>
              <w:jc w:val="center"/>
            </w:pPr>
            <w:r>
              <w:t>4</w:t>
            </w:r>
          </w:p>
        </w:tc>
        <w:tc>
          <w:tcPr>
            <w:tcW w:w="250" w:type="pct"/>
            <w:shd w:val="clear" w:color="auto" w:fill="FFFF00"/>
            <w:noWrap/>
          </w:tcPr>
          <w:p w14:paraId="4FC9CB05" w14:textId="77777777" w:rsidR="00FA6590" w:rsidRPr="00FE4491" w:rsidRDefault="00FA6590" w:rsidP="002E16CE">
            <w:pPr>
              <w:pStyle w:val="TableTextEntries"/>
              <w:jc w:val="center"/>
            </w:pPr>
            <w:r>
              <w:t>4</w:t>
            </w:r>
          </w:p>
        </w:tc>
        <w:tc>
          <w:tcPr>
            <w:tcW w:w="250" w:type="pct"/>
            <w:shd w:val="clear" w:color="auto" w:fill="F79646" w:themeFill="accent6"/>
            <w:noWrap/>
          </w:tcPr>
          <w:p w14:paraId="0B7E5896" w14:textId="77777777" w:rsidR="00FA6590" w:rsidRPr="00FE4491" w:rsidRDefault="00FA6590" w:rsidP="002E16CE">
            <w:pPr>
              <w:pStyle w:val="TableTextEntries"/>
              <w:jc w:val="center"/>
            </w:pPr>
            <w:r>
              <w:t>3</w:t>
            </w:r>
          </w:p>
        </w:tc>
        <w:tc>
          <w:tcPr>
            <w:tcW w:w="250" w:type="pct"/>
            <w:shd w:val="clear" w:color="auto" w:fill="92D050"/>
            <w:noWrap/>
          </w:tcPr>
          <w:p w14:paraId="091916D6" w14:textId="77777777" w:rsidR="00FA6590" w:rsidRPr="00FE4491" w:rsidRDefault="00FA6590" w:rsidP="002E16CE">
            <w:pPr>
              <w:pStyle w:val="TableTextEntries"/>
              <w:jc w:val="center"/>
            </w:pPr>
            <w:r>
              <w:t>M</w:t>
            </w:r>
          </w:p>
        </w:tc>
      </w:tr>
      <w:tr w:rsidR="006448CC" w:rsidRPr="009D53C4" w14:paraId="780CA705" w14:textId="77777777" w:rsidTr="00367FC4">
        <w:trPr>
          <w:trHeight w:val="284"/>
          <w:tblHeader w:val="0"/>
        </w:trPr>
        <w:tc>
          <w:tcPr>
            <w:tcW w:w="1262" w:type="pct"/>
            <w:vMerge w:val="restart"/>
          </w:tcPr>
          <w:p w14:paraId="3413E6AE" w14:textId="77777777" w:rsidR="00FA6590" w:rsidRPr="00FE4491" w:rsidRDefault="00FA6590" w:rsidP="002E16CE">
            <w:pPr>
              <w:pStyle w:val="TableTextEntries"/>
            </w:pPr>
            <w:r w:rsidRPr="009D53C4">
              <w:t xml:space="preserve">Laos: </w:t>
            </w:r>
            <w:r w:rsidRPr="009D53C4">
              <w:rPr>
                <w:lang w:val="en-US"/>
              </w:rPr>
              <w:t xml:space="preserve">unexploded ordnance </w:t>
            </w:r>
            <w:r w:rsidRPr="009D53C4">
              <w:t>consolidated</w:t>
            </w:r>
          </w:p>
        </w:tc>
        <w:tc>
          <w:tcPr>
            <w:tcW w:w="705" w:type="pct"/>
            <w:vMerge w:val="restart"/>
          </w:tcPr>
          <w:p w14:paraId="7A85707B" w14:textId="77777777" w:rsidR="00FA6590" w:rsidRDefault="00FA6590" w:rsidP="002E16CE">
            <w:pPr>
              <w:pStyle w:val="TableTextEntries"/>
            </w:pPr>
            <w:r w:rsidRPr="009D53C4">
              <w:t>$</w:t>
            </w:r>
            <w:r>
              <w:t>6.7 million</w:t>
            </w:r>
          </w:p>
          <w:p w14:paraId="6C3925A1" w14:textId="77777777" w:rsidR="00FA6590" w:rsidRPr="00FE4491" w:rsidRDefault="00FA6590" w:rsidP="002E16CE">
            <w:pPr>
              <w:pStyle w:val="TableTextEntries"/>
            </w:pPr>
            <w:r w:rsidRPr="009D53C4">
              <w:t>(200</w:t>
            </w:r>
            <w:r>
              <w:t>8</w:t>
            </w:r>
            <w:r w:rsidRPr="009D53C4">
              <w:t>–201</w:t>
            </w:r>
            <w:r>
              <w:t>4</w:t>
            </w:r>
            <w:r w:rsidRPr="009D53C4">
              <w:t>)</w:t>
            </w:r>
          </w:p>
        </w:tc>
        <w:tc>
          <w:tcPr>
            <w:tcW w:w="400" w:type="pct"/>
          </w:tcPr>
          <w:p w14:paraId="67657092" w14:textId="77777777" w:rsidR="00FA6590" w:rsidRPr="00FE4491" w:rsidRDefault="00FA6590" w:rsidP="002E16CE">
            <w:pPr>
              <w:pStyle w:val="TableTextEntries"/>
            </w:pPr>
            <w:r>
              <w:t>2012</w:t>
            </w:r>
          </w:p>
        </w:tc>
        <w:tc>
          <w:tcPr>
            <w:tcW w:w="250" w:type="pct"/>
            <w:gridSpan w:val="2"/>
            <w:vMerge w:val="restart"/>
            <w:shd w:val="clear" w:color="auto" w:fill="92D050"/>
            <w:noWrap/>
          </w:tcPr>
          <w:p w14:paraId="399C7E36" w14:textId="77777777" w:rsidR="00FA6590" w:rsidRPr="00FE4491" w:rsidRDefault="00FA6590" w:rsidP="002E16CE">
            <w:pPr>
              <w:pStyle w:val="TableTextEntries"/>
              <w:jc w:val="center"/>
            </w:pPr>
            <w:r>
              <w:t>6</w:t>
            </w:r>
          </w:p>
        </w:tc>
        <w:tc>
          <w:tcPr>
            <w:tcW w:w="250" w:type="pct"/>
            <w:vMerge w:val="restart"/>
            <w:shd w:val="clear" w:color="auto" w:fill="92D050"/>
            <w:noWrap/>
          </w:tcPr>
          <w:p w14:paraId="43A2AA0B" w14:textId="77777777" w:rsidR="00FA6590" w:rsidRPr="00FE4491" w:rsidRDefault="00FA6590" w:rsidP="002E16CE">
            <w:pPr>
              <w:pStyle w:val="TableTextEntries"/>
              <w:jc w:val="center"/>
            </w:pPr>
            <w:r>
              <w:t>5</w:t>
            </w:r>
          </w:p>
        </w:tc>
        <w:tc>
          <w:tcPr>
            <w:tcW w:w="250" w:type="pct"/>
            <w:vMerge w:val="restart"/>
            <w:shd w:val="clear" w:color="auto" w:fill="FFFF00"/>
            <w:noWrap/>
          </w:tcPr>
          <w:p w14:paraId="52624C53" w14:textId="77777777" w:rsidR="00FA6590" w:rsidRPr="00FE4491" w:rsidRDefault="00FA6590" w:rsidP="002E16CE">
            <w:pPr>
              <w:pStyle w:val="TableTextEntries"/>
              <w:jc w:val="center"/>
            </w:pPr>
            <w:r>
              <w:t>4</w:t>
            </w:r>
          </w:p>
        </w:tc>
        <w:tc>
          <w:tcPr>
            <w:tcW w:w="250" w:type="pct"/>
            <w:vMerge w:val="restart"/>
            <w:shd w:val="clear" w:color="auto" w:fill="FFFF00"/>
            <w:noWrap/>
          </w:tcPr>
          <w:p w14:paraId="2016EE50" w14:textId="77777777" w:rsidR="00FA6590" w:rsidRPr="00FE4491" w:rsidRDefault="00FA6590" w:rsidP="002E16CE">
            <w:pPr>
              <w:pStyle w:val="TableTextEntries"/>
              <w:jc w:val="center"/>
            </w:pPr>
            <w:r>
              <w:t>4</w:t>
            </w:r>
          </w:p>
        </w:tc>
        <w:tc>
          <w:tcPr>
            <w:tcW w:w="250" w:type="pct"/>
            <w:vMerge w:val="restart"/>
            <w:shd w:val="clear" w:color="auto" w:fill="FFFF00"/>
            <w:noWrap/>
          </w:tcPr>
          <w:p w14:paraId="2AC12497" w14:textId="77777777" w:rsidR="00FA6590" w:rsidRPr="00FE4491" w:rsidRDefault="00FA6590" w:rsidP="002E16CE">
            <w:pPr>
              <w:pStyle w:val="TableTextEntries"/>
              <w:jc w:val="center"/>
            </w:pPr>
            <w:r>
              <w:t>4</w:t>
            </w:r>
          </w:p>
        </w:tc>
        <w:tc>
          <w:tcPr>
            <w:tcW w:w="250" w:type="pct"/>
            <w:vMerge w:val="restart"/>
            <w:shd w:val="clear" w:color="auto" w:fill="FFFF00"/>
            <w:noWrap/>
          </w:tcPr>
          <w:p w14:paraId="4EA5912B" w14:textId="77777777" w:rsidR="00FA6590" w:rsidRPr="00FE4491" w:rsidRDefault="00FA6590" w:rsidP="002E16CE">
            <w:pPr>
              <w:pStyle w:val="TableTextEntries"/>
              <w:jc w:val="center"/>
            </w:pPr>
            <w:r>
              <w:t>4</w:t>
            </w:r>
          </w:p>
        </w:tc>
        <w:tc>
          <w:tcPr>
            <w:tcW w:w="250" w:type="pct"/>
            <w:vMerge w:val="restart"/>
            <w:shd w:val="clear" w:color="auto" w:fill="F79646" w:themeFill="accent6"/>
            <w:noWrap/>
          </w:tcPr>
          <w:p w14:paraId="40BEF012" w14:textId="77777777" w:rsidR="00FA6590" w:rsidRPr="00FE4491" w:rsidRDefault="00FA6590" w:rsidP="002E16CE">
            <w:pPr>
              <w:pStyle w:val="TableTextEntries"/>
              <w:jc w:val="center"/>
            </w:pPr>
            <w:r>
              <w:t>I</w:t>
            </w:r>
          </w:p>
        </w:tc>
      </w:tr>
      <w:tr w:rsidR="006448CC" w:rsidRPr="009D53C4" w14:paraId="68CB0CCA" w14:textId="77777777" w:rsidTr="00367FC4">
        <w:trPr>
          <w:cnfStyle w:val="000000010000" w:firstRow="0" w:lastRow="0" w:firstColumn="0" w:lastColumn="0" w:oddVBand="0" w:evenVBand="0" w:oddHBand="0" w:evenHBand="1" w:firstRowFirstColumn="0" w:firstRowLastColumn="0" w:lastRowFirstColumn="0" w:lastRowLastColumn="0"/>
          <w:trHeight w:val="163"/>
          <w:tblHeader w:val="0"/>
        </w:trPr>
        <w:tc>
          <w:tcPr>
            <w:tcW w:w="1262" w:type="pct"/>
            <w:vMerge/>
          </w:tcPr>
          <w:p w14:paraId="18706BC5" w14:textId="77777777" w:rsidR="00FA6590" w:rsidRPr="00FE4491" w:rsidRDefault="00FA6590" w:rsidP="002E16CE">
            <w:pPr>
              <w:pStyle w:val="TableTextEntries"/>
            </w:pPr>
          </w:p>
        </w:tc>
        <w:tc>
          <w:tcPr>
            <w:tcW w:w="705" w:type="pct"/>
            <w:vMerge/>
          </w:tcPr>
          <w:p w14:paraId="2BE32F45" w14:textId="77777777" w:rsidR="00FA6590" w:rsidRPr="00FE4491" w:rsidRDefault="00FA6590" w:rsidP="002E16CE">
            <w:pPr>
              <w:pStyle w:val="TableTextEntries"/>
            </w:pPr>
          </w:p>
        </w:tc>
        <w:tc>
          <w:tcPr>
            <w:tcW w:w="400" w:type="pct"/>
          </w:tcPr>
          <w:p w14:paraId="45994794" w14:textId="77777777" w:rsidR="00FA6590" w:rsidRPr="00FE4491" w:rsidRDefault="00FA6590" w:rsidP="002E16CE">
            <w:pPr>
              <w:pStyle w:val="TableTextEntries"/>
            </w:pPr>
          </w:p>
        </w:tc>
        <w:tc>
          <w:tcPr>
            <w:tcW w:w="250" w:type="pct"/>
            <w:gridSpan w:val="2"/>
            <w:vMerge/>
            <w:shd w:val="clear" w:color="auto" w:fill="92D050"/>
            <w:noWrap/>
          </w:tcPr>
          <w:p w14:paraId="245BC69E" w14:textId="77777777" w:rsidR="00FA6590" w:rsidRPr="00FE4491" w:rsidRDefault="00FA6590" w:rsidP="002E16CE">
            <w:pPr>
              <w:pStyle w:val="TableTextEntries"/>
              <w:jc w:val="center"/>
            </w:pPr>
          </w:p>
        </w:tc>
        <w:tc>
          <w:tcPr>
            <w:tcW w:w="250" w:type="pct"/>
            <w:vMerge/>
            <w:shd w:val="clear" w:color="auto" w:fill="92D050"/>
            <w:noWrap/>
          </w:tcPr>
          <w:p w14:paraId="6FDF6AAC" w14:textId="77777777" w:rsidR="00FA6590" w:rsidRPr="00FE4491" w:rsidRDefault="00FA6590" w:rsidP="002E16CE">
            <w:pPr>
              <w:pStyle w:val="TableTextEntries"/>
              <w:jc w:val="center"/>
            </w:pPr>
          </w:p>
        </w:tc>
        <w:tc>
          <w:tcPr>
            <w:tcW w:w="250" w:type="pct"/>
            <w:vMerge/>
            <w:shd w:val="clear" w:color="auto" w:fill="FFFF00"/>
            <w:noWrap/>
          </w:tcPr>
          <w:p w14:paraId="690C2911" w14:textId="77777777" w:rsidR="00FA6590" w:rsidRPr="00FE4491" w:rsidRDefault="00FA6590" w:rsidP="002E16CE">
            <w:pPr>
              <w:pStyle w:val="TableTextEntries"/>
              <w:jc w:val="center"/>
            </w:pPr>
          </w:p>
        </w:tc>
        <w:tc>
          <w:tcPr>
            <w:tcW w:w="250" w:type="pct"/>
            <w:vMerge/>
            <w:shd w:val="clear" w:color="auto" w:fill="FFFF00"/>
            <w:noWrap/>
          </w:tcPr>
          <w:p w14:paraId="12905043" w14:textId="77777777" w:rsidR="00FA6590" w:rsidRPr="00FE4491" w:rsidRDefault="00FA6590" w:rsidP="002E16CE">
            <w:pPr>
              <w:pStyle w:val="TableTextEntries"/>
              <w:jc w:val="center"/>
            </w:pPr>
          </w:p>
        </w:tc>
        <w:tc>
          <w:tcPr>
            <w:tcW w:w="250" w:type="pct"/>
            <w:vMerge/>
            <w:shd w:val="clear" w:color="auto" w:fill="FFFF00"/>
            <w:noWrap/>
          </w:tcPr>
          <w:p w14:paraId="4563E112" w14:textId="77777777" w:rsidR="00FA6590" w:rsidRPr="00FE4491" w:rsidRDefault="00FA6590" w:rsidP="002E16CE">
            <w:pPr>
              <w:pStyle w:val="TableTextEntries"/>
              <w:jc w:val="center"/>
            </w:pPr>
          </w:p>
        </w:tc>
        <w:tc>
          <w:tcPr>
            <w:tcW w:w="250" w:type="pct"/>
            <w:vMerge/>
            <w:shd w:val="clear" w:color="auto" w:fill="FFFF00"/>
            <w:noWrap/>
          </w:tcPr>
          <w:p w14:paraId="23BE5B5D" w14:textId="77777777" w:rsidR="00FA6590" w:rsidRPr="00FE4491" w:rsidRDefault="00FA6590" w:rsidP="002E16CE">
            <w:pPr>
              <w:pStyle w:val="TableTextEntries"/>
              <w:jc w:val="center"/>
            </w:pPr>
          </w:p>
        </w:tc>
        <w:tc>
          <w:tcPr>
            <w:tcW w:w="250" w:type="pct"/>
            <w:vMerge/>
            <w:shd w:val="clear" w:color="auto" w:fill="F79646" w:themeFill="accent6"/>
            <w:noWrap/>
          </w:tcPr>
          <w:p w14:paraId="58C3C0DF" w14:textId="77777777" w:rsidR="00FA6590" w:rsidRPr="00FE4491" w:rsidRDefault="00FA6590" w:rsidP="002E16CE">
            <w:pPr>
              <w:pStyle w:val="TableTextEntries"/>
              <w:jc w:val="center"/>
            </w:pPr>
          </w:p>
        </w:tc>
      </w:tr>
      <w:tr w:rsidR="006448CC" w:rsidRPr="009D53C4" w14:paraId="3533407D" w14:textId="77777777" w:rsidTr="00367FC4">
        <w:trPr>
          <w:trHeight w:val="284"/>
          <w:tblHeader w:val="0"/>
        </w:trPr>
        <w:tc>
          <w:tcPr>
            <w:tcW w:w="1262" w:type="pct"/>
            <w:vMerge/>
          </w:tcPr>
          <w:p w14:paraId="50B6A328" w14:textId="77777777" w:rsidR="00FA6590" w:rsidRPr="00FE4491" w:rsidRDefault="00FA6590" w:rsidP="002E16CE">
            <w:pPr>
              <w:pStyle w:val="TableTextEntries"/>
            </w:pPr>
          </w:p>
        </w:tc>
        <w:tc>
          <w:tcPr>
            <w:tcW w:w="705" w:type="pct"/>
            <w:vMerge/>
          </w:tcPr>
          <w:p w14:paraId="099E2674" w14:textId="77777777" w:rsidR="00FA6590" w:rsidRPr="00FE4491" w:rsidRDefault="00FA6590" w:rsidP="002E16CE">
            <w:pPr>
              <w:pStyle w:val="TableTextEntries"/>
            </w:pPr>
          </w:p>
        </w:tc>
        <w:tc>
          <w:tcPr>
            <w:tcW w:w="400" w:type="pct"/>
          </w:tcPr>
          <w:p w14:paraId="1335D95B" w14:textId="77777777" w:rsidR="00FA6590" w:rsidRPr="00FE4491" w:rsidRDefault="00FA6590" w:rsidP="002E16CE">
            <w:pPr>
              <w:pStyle w:val="TableTextEntries"/>
            </w:pPr>
            <w:r>
              <w:t>2011</w:t>
            </w:r>
          </w:p>
        </w:tc>
        <w:tc>
          <w:tcPr>
            <w:tcW w:w="250" w:type="pct"/>
            <w:gridSpan w:val="2"/>
            <w:vMerge w:val="restart"/>
            <w:shd w:val="clear" w:color="auto" w:fill="92D050"/>
            <w:noWrap/>
          </w:tcPr>
          <w:p w14:paraId="13E027CA" w14:textId="77777777" w:rsidR="00FA6590" w:rsidRPr="00FE4491" w:rsidRDefault="00FA6590" w:rsidP="002E16CE">
            <w:pPr>
              <w:pStyle w:val="TableTextEntries"/>
              <w:jc w:val="center"/>
            </w:pPr>
            <w:r>
              <w:t>6</w:t>
            </w:r>
          </w:p>
        </w:tc>
        <w:tc>
          <w:tcPr>
            <w:tcW w:w="250" w:type="pct"/>
            <w:vMerge w:val="restart"/>
            <w:shd w:val="clear" w:color="auto" w:fill="FFFF00"/>
            <w:noWrap/>
          </w:tcPr>
          <w:p w14:paraId="19633EE9" w14:textId="77777777" w:rsidR="00FA6590" w:rsidRPr="00FE4491" w:rsidRDefault="00FA6590" w:rsidP="002E16CE">
            <w:pPr>
              <w:pStyle w:val="TableTextEntries"/>
              <w:jc w:val="center"/>
            </w:pPr>
            <w:r>
              <w:t>4</w:t>
            </w:r>
          </w:p>
        </w:tc>
        <w:tc>
          <w:tcPr>
            <w:tcW w:w="250" w:type="pct"/>
            <w:vMerge w:val="restart"/>
            <w:shd w:val="clear" w:color="auto" w:fill="FFFF00"/>
            <w:noWrap/>
          </w:tcPr>
          <w:p w14:paraId="0F7131E9" w14:textId="77777777" w:rsidR="00FA6590" w:rsidRPr="00FE4491" w:rsidRDefault="00FA6590" w:rsidP="002E16CE">
            <w:pPr>
              <w:pStyle w:val="TableTextEntries"/>
              <w:jc w:val="center"/>
            </w:pPr>
            <w:r>
              <w:t>4</w:t>
            </w:r>
          </w:p>
        </w:tc>
        <w:tc>
          <w:tcPr>
            <w:tcW w:w="250" w:type="pct"/>
            <w:vMerge w:val="restart"/>
            <w:shd w:val="clear" w:color="auto" w:fill="FFFF00"/>
            <w:noWrap/>
          </w:tcPr>
          <w:p w14:paraId="04947324" w14:textId="77777777" w:rsidR="00FA6590" w:rsidRPr="00FE4491" w:rsidRDefault="00FA6590" w:rsidP="002E16CE">
            <w:pPr>
              <w:pStyle w:val="TableTextEntries"/>
              <w:jc w:val="center"/>
            </w:pPr>
            <w:r>
              <w:t>4</w:t>
            </w:r>
          </w:p>
        </w:tc>
        <w:tc>
          <w:tcPr>
            <w:tcW w:w="250" w:type="pct"/>
            <w:vMerge w:val="restart"/>
            <w:shd w:val="clear" w:color="auto" w:fill="FFFF00"/>
            <w:noWrap/>
          </w:tcPr>
          <w:p w14:paraId="4E11E818" w14:textId="77777777" w:rsidR="00FA6590" w:rsidRPr="00FE4491" w:rsidRDefault="00FA6590" w:rsidP="002E16CE">
            <w:pPr>
              <w:pStyle w:val="TableTextEntries"/>
              <w:jc w:val="center"/>
            </w:pPr>
            <w:r>
              <w:t>4</w:t>
            </w:r>
          </w:p>
        </w:tc>
        <w:tc>
          <w:tcPr>
            <w:tcW w:w="250" w:type="pct"/>
            <w:vMerge w:val="restart"/>
            <w:shd w:val="clear" w:color="auto" w:fill="FFFF00"/>
            <w:noWrap/>
          </w:tcPr>
          <w:p w14:paraId="2001CD84" w14:textId="77777777" w:rsidR="00FA6590" w:rsidRPr="00FE4491" w:rsidRDefault="00FA6590" w:rsidP="002E16CE">
            <w:pPr>
              <w:pStyle w:val="TableTextEntries"/>
              <w:jc w:val="center"/>
            </w:pPr>
            <w:r>
              <w:t>4</w:t>
            </w:r>
          </w:p>
        </w:tc>
        <w:tc>
          <w:tcPr>
            <w:tcW w:w="250" w:type="pct"/>
            <w:vMerge w:val="restart"/>
            <w:shd w:val="clear" w:color="auto" w:fill="F79646" w:themeFill="accent6"/>
            <w:noWrap/>
          </w:tcPr>
          <w:p w14:paraId="003610E8" w14:textId="77777777" w:rsidR="00FA6590" w:rsidRPr="00FE4491" w:rsidRDefault="00FA6590" w:rsidP="002E16CE">
            <w:pPr>
              <w:pStyle w:val="TableTextEntries"/>
              <w:jc w:val="center"/>
            </w:pPr>
            <w:r>
              <w:t>I</w:t>
            </w:r>
          </w:p>
        </w:tc>
      </w:tr>
      <w:tr w:rsidR="006448CC" w:rsidRPr="009D53C4" w14:paraId="0CE23660" w14:textId="77777777" w:rsidTr="00367FC4">
        <w:trPr>
          <w:cnfStyle w:val="000000010000" w:firstRow="0" w:lastRow="0" w:firstColumn="0" w:lastColumn="0" w:oddVBand="0" w:evenVBand="0" w:oddHBand="0" w:evenHBand="1" w:firstRowFirstColumn="0" w:firstRowLastColumn="0" w:lastRowFirstColumn="0" w:lastRowLastColumn="0"/>
          <w:trHeight w:val="129"/>
          <w:tblHeader w:val="0"/>
        </w:trPr>
        <w:tc>
          <w:tcPr>
            <w:tcW w:w="1262" w:type="pct"/>
            <w:vMerge/>
          </w:tcPr>
          <w:p w14:paraId="0A3DDBB3" w14:textId="77777777" w:rsidR="00FA6590" w:rsidRPr="00FE4491" w:rsidRDefault="00FA6590" w:rsidP="002E16CE">
            <w:pPr>
              <w:pStyle w:val="TableTextEntries"/>
            </w:pPr>
          </w:p>
        </w:tc>
        <w:tc>
          <w:tcPr>
            <w:tcW w:w="705" w:type="pct"/>
            <w:vMerge/>
          </w:tcPr>
          <w:p w14:paraId="02220D31" w14:textId="77777777" w:rsidR="00FA6590" w:rsidRPr="00FE4491" w:rsidRDefault="00FA6590" w:rsidP="002E16CE">
            <w:pPr>
              <w:pStyle w:val="TableTextEntries"/>
            </w:pPr>
          </w:p>
        </w:tc>
        <w:tc>
          <w:tcPr>
            <w:tcW w:w="400" w:type="pct"/>
          </w:tcPr>
          <w:p w14:paraId="6F60B5E3" w14:textId="77777777" w:rsidR="00FA6590" w:rsidRPr="00FE4491" w:rsidRDefault="00FA6590" w:rsidP="002E16CE">
            <w:pPr>
              <w:pStyle w:val="TableTextEntries"/>
            </w:pPr>
          </w:p>
        </w:tc>
        <w:tc>
          <w:tcPr>
            <w:tcW w:w="250" w:type="pct"/>
            <w:gridSpan w:val="2"/>
            <w:vMerge/>
            <w:shd w:val="clear" w:color="auto" w:fill="92D050"/>
            <w:noWrap/>
          </w:tcPr>
          <w:p w14:paraId="6C2EC24C" w14:textId="77777777" w:rsidR="00FA6590" w:rsidRPr="00FE4491" w:rsidRDefault="00FA6590" w:rsidP="002E16CE">
            <w:pPr>
              <w:pStyle w:val="TableTextEntries"/>
              <w:jc w:val="center"/>
            </w:pPr>
          </w:p>
        </w:tc>
        <w:tc>
          <w:tcPr>
            <w:tcW w:w="250" w:type="pct"/>
            <w:vMerge/>
            <w:shd w:val="clear" w:color="auto" w:fill="FFFF00"/>
            <w:noWrap/>
          </w:tcPr>
          <w:p w14:paraId="58E0BFB0" w14:textId="77777777" w:rsidR="00FA6590" w:rsidRPr="00FE4491" w:rsidRDefault="00FA6590" w:rsidP="002E16CE">
            <w:pPr>
              <w:pStyle w:val="TableTextEntries"/>
              <w:jc w:val="center"/>
            </w:pPr>
          </w:p>
        </w:tc>
        <w:tc>
          <w:tcPr>
            <w:tcW w:w="250" w:type="pct"/>
            <w:vMerge/>
            <w:shd w:val="clear" w:color="auto" w:fill="FFFF00"/>
            <w:noWrap/>
          </w:tcPr>
          <w:p w14:paraId="4126BA4C" w14:textId="77777777" w:rsidR="00FA6590" w:rsidRPr="00FE4491" w:rsidRDefault="00FA6590" w:rsidP="002E16CE">
            <w:pPr>
              <w:pStyle w:val="TableTextEntries"/>
              <w:jc w:val="center"/>
            </w:pPr>
          </w:p>
        </w:tc>
        <w:tc>
          <w:tcPr>
            <w:tcW w:w="250" w:type="pct"/>
            <w:vMerge/>
            <w:shd w:val="clear" w:color="auto" w:fill="FFFF00"/>
            <w:noWrap/>
          </w:tcPr>
          <w:p w14:paraId="05C5DD04" w14:textId="77777777" w:rsidR="00FA6590" w:rsidRPr="00FE4491" w:rsidRDefault="00FA6590" w:rsidP="002E16CE">
            <w:pPr>
              <w:pStyle w:val="TableTextEntries"/>
              <w:jc w:val="center"/>
            </w:pPr>
          </w:p>
        </w:tc>
        <w:tc>
          <w:tcPr>
            <w:tcW w:w="250" w:type="pct"/>
            <w:vMerge/>
            <w:shd w:val="clear" w:color="auto" w:fill="FFFF00"/>
            <w:noWrap/>
          </w:tcPr>
          <w:p w14:paraId="12BC890B" w14:textId="77777777" w:rsidR="00FA6590" w:rsidRPr="00FE4491" w:rsidRDefault="00FA6590" w:rsidP="002E16CE">
            <w:pPr>
              <w:pStyle w:val="TableTextEntries"/>
              <w:jc w:val="center"/>
            </w:pPr>
          </w:p>
        </w:tc>
        <w:tc>
          <w:tcPr>
            <w:tcW w:w="250" w:type="pct"/>
            <w:vMerge/>
            <w:shd w:val="clear" w:color="auto" w:fill="FFFF00"/>
            <w:noWrap/>
          </w:tcPr>
          <w:p w14:paraId="65E23360" w14:textId="77777777" w:rsidR="00FA6590" w:rsidRPr="00FE4491" w:rsidRDefault="00FA6590" w:rsidP="002E16CE">
            <w:pPr>
              <w:pStyle w:val="TableTextEntries"/>
              <w:jc w:val="center"/>
            </w:pPr>
          </w:p>
        </w:tc>
        <w:tc>
          <w:tcPr>
            <w:tcW w:w="250" w:type="pct"/>
            <w:vMerge/>
            <w:shd w:val="clear" w:color="auto" w:fill="F79646" w:themeFill="accent6"/>
            <w:noWrap/>
          </w:tcPr>
          <w:p w14:paraId="31D9D58C" w14:textId="77777777" w:rsidR="00FA6590" w:rsidRPr="00FE4491" w:rsidRDefault="00FA6590" w:rsidP="002E16CE">
            <w:pPr>
              <w:pStyle w:val="TableTextEntries"/>
              <w:jc w:val="center"/>
            </w:pPr>
          </w:p>
        </w:tc>
      </w:tr>
      <w:tr w:rsidR="006448CC" w:rsidRPr="009D53C4" w14:paraId="6F0DCB39" w14:textId="77777777" w:rsidTr="00367FC4">
        <w:trPr>
          <w:trHeight w:val="626"/>
          <w:tblHeader w:val="0"/>
        </w:trPr>
        <w:tc>
          <w:tcPr>
            <w:tcW w:w="1262" w:type="pct"/>
            <w:vMerge w:val="restart"/>
          </w:tcPr>
          <w:p w14:paraId="5D4CC489" w14:textId="77777777" w:rsidR="00FA6590" w:rsidRPr="00FE4491" w:rsidRDefault="00FA6590" w:rsidP="002E16CE">
            <w:pPr>
              <w:pStyle w:val="TableTextEntries"/>
            </w:pPr>
            <w:r w:rsidRPr="009D53C4">
              <w:t>Lao PDR Rural Electrification</w:t>
            </w:r>
          </w:p>
        </w:tc>
        <w:tc>
          <w:tcPr>
            <w:tcW w:w="705" w:type="pct"/>
            <w:vMerge w:val="restart"/>
          </w:tcPr>
          <w:p w14:paraId="651C966E" w14:textId="77777777" w:rsidR="00FA6590" w:rsidRPr="00FE4491" w:rsidRDefault="00FA6590" w:rsidP="002E16CE">
            <w:pPr>
              <w:pStyle w:val="TableTextEntries"/>
            </w:pPr>
            <w:r w:rsidRPr="009D53C4">
              <w:t>$1</w:t>
            </w:r>
            <w:r>
              <w:t>3</w:t>
            </w:r>
            <w:r w:rsidRPr="009D53C4">
              <w:t xml:space="preserve"> million (2008–2011)</w:t>
            </w:r>
          </w:p>
        </w:tc>
        <w:tc>
          <w:tcPr>
            <w:tcW w:w="400" w:type="pct"/>
          </w:tcPr>
          <w:p w14:paraId="14C3F1ED" w14:textId="77777777" w:rsidR="00FA6590" w:rsidRPr="00FE4491" w:rsidRDefault="00FA6590" w:rsidP="002E16CE">
            <w:pPr>
              <w:pStyle w:val="TableTextEntries"/>
            </w:pPr>
            <w:r>
              <w:t>2012</w:t>
            </w:r>
          </w:p>
        </w:tc>
        <w:tc>
          <w:tcPr>
            <w:tcW w:w="250" w:type="pct"/>
            <w:gridSpan w:val="2"/>
            <w:shd w:val="clear" w:color="auto" w:fill="92D050"/>
            <w:noWrap/>
          </w:tcPr>
          <w:p w14:paraId="3C24BD28" w14:textId="77777777" w:rsidR="00FA6590" w:rsidRPr="00FE4491" w:rsidRDefault="00FA6590" w:rsidP="002E16CE">
            <w:pPr>
              <w:pStyle w:val="TableTextEntries"/>
              <w:jc w:val="center"/>
            </w:pPr>
            <w:r>
              <w:t>5</w:t>
            </w:r>
          </w:p>
        </w:tc>
        <w:tc>
          <w:tcPr>
            <w:tcW w:w="250" w:type="pct"/>
            <w:shd w:val="clear" w:color="auto" w:fill="92D050"/>
            <w:noWrap/>
          </w:tcPr>
          <w:p w14:paraId="687979E0" w14:textId="77777777" w:rsidR="00FA6590" w:rsidRPr="00FE4491" w:rsidRDefault="00FA6590" w:rsidP="002E16CE">
            <w:pPr>
              <w:pStyle w:val="TableTextEntries"/>
              <w:jc w:val="center"/>
            </w:pPr>
            <w:r>
              <w:t>5</w:t>
            </w:r>
          </w:p>
        </w:tc>
        <w:tc>
          <w:tcPr>
            <w:tcW w:w="250" w:type="pct"/>
            <w:shd w:val="clear" w:color="auto" w:fill="FFFF00"/>
            <w:noWrap/>
          </w:tcPr>
          <w:p w14:paraId="1745781E" w14:textId="77777777" w:rsidR="00FA6590" w:rsidRPr="00FE4491" w:rsidRDefault="00FA6590" w:rsidP="002E16CE">
            <w:pPr>
              <w:pStyle w:val="TableTextEntries"/>
              <w:jc w:val="center"/>
            </w:pPr>
            <w:r>
              <w:t>4</w:t>
            </w:r>
          </w:p>
        </w:tc>
        <w:tc>
          <w:tcPr>
            <w:tcW w:w="250" w:type="pct"/>
            <w:shd w:val="clear" w:color="auto" w:fill="92D050"/>
            <w:noWrap/>
          </w:tcPr>
          <w:p w14:paraId="5F1DE665" w14:textId="77777777" w:rsidR="00FA6590" w:rsidRPr="00FE4491" w:rsidRDefault="00FA6590" w:rsidP="002E16CE">
            <w:pPr>
              <w:pStyle w:val="TableTextEntries"/>
              <w:jc w:val="center"/>
            </w:pPr>
            <w:r>
              <w:t>5</w:t>
            </w:r>
          </w:p>
        </w:tc>
        <w:tc>
          <w:tcPr>
            <w:tcW w:w="250" w:type="pct"/>
            <w:shd w:val="clear" w:color="auto" w:fill="FFFF00"/>
            <w:noWrap/>
          </w:tcPr>
          <w:p w14:paraId="191CA62F" w14:textId="77777777" w:rsidR="00FA6590" w:rsidRPr="00FE4491" w:rsidRDefault="00FA6590" w:rsidP="002E16CE">
            <w:pPr>
              <w:pStyle w:val="TableTextEntries"/>
              <w:jc w:val="center"/>
            </w:pPr>
            <w:r>
              <w:t>4</w:t>
            </w:r>
          </w:p>
        </w:tc>
        <w:tc>
          <w:tcPr>
            <w:tcW w:w="250" w:type="pct"/>
            <w:shd w:val="clear" w:color="auto" w:fill="92D050"/>
            <w:noWrap/>
          </w:tcPr>
          <w:p w14:paraId="7B20055B" w14:textId="77777777" w:rsidR="00FA6590" w:rsidRPr="00DB6B8E" w:rsidRDefault="00FA6590" w:rsidP="002E16CE">
            <w:pPr>
              <w:pStyle w:val="TableTextEntries"/>
              <w:jc w:val="center"/>
              <w:rPr>
                <w:i/>
              </w:rPr>
            </w:pPr>
            <w:r w:rsidRPr="00DB6B8E">
              <w:rPr>
                <w:i/>
              </w:rPr>
              <w:t>6</w:t>
            </w:r>
          </w:p>
        </w:tc>
        <w:tc>
          <w:tcPr>
            <w:tcW w:w="250" w:type="pct"/>
            <w:shd w:val="clear" w:color="auto" w:fill="92D050"/>
            <w:noWrap/>
          </w:tcPr>
          <w:p w14:paraId="167A5B50" w14:textId="77777777" w:rsidR="00FA6590" w:rsidRPr="00FE4491" w:rsidRDefault="00FA6590" w:rsidP="002E16CE">
            <w:pPr>
              <w:pStyle w:val="TableTextEntries"/>
              <w:jc w:val="center"/>
            </w:pPr>
            <w:r>
              <w:t>M</w:t>
            </w:r>
          </w:p>
        </w:tc>
      </w:tr>
      <w:tr w:rsidR="006448CC" w:rsidRPr="009D53C4" w14:paraId="3439B481"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7F3A4EA0" w14:textId="77777777" w:rsidR="00FA6590" w:rsidRPr="00FE4491" w:rsidRDefault="00FA6590" w:rsidP="002E16CE">
            <w:pPr>
              <w:pStyle w:val="TableTextEntries"/>
            </w:pPr>
          </w:p>
        </w:tc>
        <w:tc>
          <w:tcPr>
            <w:tcW w:w="705" w:type="pct"/>
            <w:vMerge/>
          </w:tcPr>
          <w:p w14:paraId="7AE75951" w14:textId="77777777" w:rsidR="00FA6590" w:rsidRPr="00FE4491" w:rsidRDefault="00FA6590" w:rsidP="002E16CE">
            <w:pPr>
              <w:pStyle w:val="TableTextEntries"/>
            </w:pPr>
          </w:p>
        </w:tc>
        <w:tc>
          <w:tcPr>
            <w:tcW w:w="400" w:type="pct"/>
          </w:tcPr>
          <w:p w14:paraId="185A68BF" w14:textId="77777777" w:rsidR="00FA6590" w:rsidRPr="00FE4491" w:rsidRDefault="00FA6590" w:rsidP="002E16CE">
            <w:pPr>
              <w:pStyle w:val="TableTextEntries"/>
            </w:pPr>
            <w:r>
              <w:t>2011</w:t>
            </w:r>
          </w:p>
        </w:tc>
        <w:tc>
          <w:tcPr>
            <w:tcW w:w="250" w:type="pct"/>
            <w:gridSpan w:val="2"/>
            <w:shd w:val="clear" w:color="auto" w:fill="92D050"/>
            <w:noWrap/>
          </w:tcPr>
          <w:p w14:paraId="5F7125A7" w14:textId="77777777" w:rsidR="00FA6590" w:rsidRDefault="00FA6590" w:rsidP="002E16CE">
            <w:pPr>
              <w:pStyle w:val="TableTextEntries"/>
              <w:jc w:val="center"/>
            </w:pPr>
            <w:r>
              <w:t>6</w:t>
            </w:r>
          </w:p>
          <w:p w14:paraId="12BE4F56" w14:textId="77777777" w:rsidR="00FA6590" w:rsidRPr="00FE4491" w:rsidRDefault="00FA6590" w:rsidP="002E16CE">
            <w:pPr>
              <w:pStyle w:val="TableTextEntries"/>
              <w:jc w:val="center"/>
            </w:pPr>
          </w:p>
        </w:tc>
        <w:tc>
          <w:tcPr>
            <w:tcW w:w="250" w:type="pct"/>
            <w:shd w:val="clear" w:color="auto" w:fill="FFFF00"/>
            <w:noWrap/>
          </w:tcPr>
          <w:p w14:paraId="29F65DA7" w14:textId="77777777" w:rsidR="00FA6590" w:rsidRPr="00FE4491" w:rsidRDefault="00FA6590" w:rsidP="002E16CE">
            <w:pPr>
              <w:pStyle w:val="TableTextEntries"/>
              <w:jc w:val="center"/>
            </w:pPr>
            <w:r>
              <w:t>4</w:t>
            </w:r>
          </w:p>
        </w:tc>
        <w:tc>
          <w:tcPr>
            <w:tcW w:w="250" w:type="pct"/>
            <w:shd w:val="clear" w:color="auto" w:fill="FFFF00"/>
            <w:noWrap/>
          </w:tcPr>
          <w:p w14:paraId="6B73871D" w14:textId="77777777" w:rsidR="00FA6590" w:rsidRPr="00FE4491" w:rsidRDefault="00FA6590" w:rsidP="002E16CE">
            <w:pPr>
              <w:pStyle w:val="TableTextEntries"/>
              <w:jc w:val="center"/>
            </w:pPr>
            <w:r>
              <w:t>4</w:t>
            </w:r>
          </w:p>
        </w:tc>
        <w:tc>
          <w:tcPr>
            <w:tcW w:w="250" w:type="pct"/>
            <w:shd w:val="clear" w:color="auto" w:fill="92D050"/>
            <w:noWrap/>
          </w:tcPr>
          <w:p w14:paraId="4A134D42" w14:textId="77777777" w:rsidR="00FA6590" w:rsidRPr="00FE4491" w:rsidRDefault="00FA6590" w:rsidP="002E16CE">
            <w:pPr>
              <w:pStyle w:val="TableTextEntries"/>
              <w:jc w:val="center"/>
            </w:pPr>
            <w:r>
              <w:t>5</w:t>
            </w:r>
          </w:p>
        </w:tc>
        <w:tc>
          <w:tcPr>
            <w:tcW w:w="250" w:type="pct"/>
            <w:shd w:val="clear" w:color="auto" w:fill="FFFF00"/>
            <w:noWrap/>
          </w:tcPr>
          <w:p w14:paraId="6187C234" w14:textId="77777777" w:rsidR="00FA6590" w:rsidRPr="00FE4491" w:rsidRDefault="00FA6590" w:rsidP="002E16CE">
            <w:pPr>
              <w:pStyle w:val="TableTextEntries"/>
              <w:jc w:val="center"/>
            </w:pPr>
            <w:r>
              <w:t>4</w:t>
            </w:r>
          </w:p>
        </w:tc>
        <w:tc>
          <w:tcPr>
            <w:tcW w:w="250" w:type="pct"/>
            <w:shd w:val="clear" w:color="auto" w:fill="92D050"/>
            <w:noWrap/>
          </w:tcPr>
          <w:p w14:paraId="30322DF1" w14:textId="77777777" w:rsidR="00FA6590" w:rsidRPr="00FE4491" w:rsidRDefault="00FA6590" w:rsidP="002E16CE">
            <w:pPr>
              <w:pStyle w:val="TableTextEntries"/>
              <w:jc w:val="center"/>
            </w:pPr>
            <w:r>
              <w:t>5</w:t>
            </w:r>
          </w:p>
        </w:tc>
        <w:tc>
          <w:tcPr>
            <w:tcW w:w="250" w:type="pct"/>
            <w:shd w:val="clear" w:color="auto" w:fill="92D050"/>
            <w:noWrap/>
          </w:tcPr>
          <w:p w14:paraId="1019435B" w14:textId="77777777" w:rsidR="00FA6590" w:rsidRPr="00FE4491" w:rsidRDefault="00FA6590" w:rsidP="002E16CE">
            <w:pPr>
              <w:pStyle w:val="TableTextEntries"/>
              <w:jc w:val="center"/>
            </w:pPr>
            <w:r>
              <w:t>M</w:t>
            </w:r>
          </w:p>
        </w:tc>
      </w:tr>
      <w:tr w:rsidR="006448CC" w:rsidRPr="009D53C4" w14:paraId="34994DA9" w14:textId="77777777" w:rsidTr="00367FC4">
        <w:trPr>
          <w:trHeight w:val="284"/>
          <w:tblHeader w:val="0"/>
        </w:trPr>
        <w:tc>
          <w:tcPr>
            <w:tcW w:w="1262" w:type="pct"/>
            <w:vMerge w:val="restart"/>
          </w:tcPr>
          <w:p w14:paraId="24CE866B" w14:textId="77777777" w:rsidR="00FA6590" w:rsidRPr="00FE4491" w:rsidRDefault="00FA6590" w:rsidP="002E16CE">
            <w:pPr>
              <w:pStyle w:val="TableTextEntries"/>
            </w:pPr>
            <w:r w:rsidRPr="0019341B">
              <w:t>Northern Transport Network Improvement Program</w:t>
            </w:r>
          </w:p>
        </w:tc>
        <w:tc>
          <w:tcPr>
            <w:tcW w:w="705" w:type="pct"/>
            <w:vMerge w:val="restart"/>
          </w:tcPr>
          <w:p w14:paraId="22076A46" w14:textId="77777777" w:rsidR="00FA6590" w:rsidRPr="00FE4491" w:rsidRDefault="00FA6590" w:rsidP="002E16CE">
            <w:pPr>
              <w:pStyle w:val="TableTextEntries"/>
            </w:pPr>
            <w:r w:rsidRPr="0019341B">
              <w:t>$18.8 million (2008–2011)</w:t>
            </w:r>
          </w:p>
        </w:tc>
        <w:tc>
          <w:tcPr>
            <w:tcW w:w="400" w:type="pct"/>
          </w:tcPr>
          <w:p w14:paraId="1184CA23" w14:textId="77777777" w:rsidR="00FA6590" w:rsidRPr="00FE4491" w:rsidRDefault="00FA6590" w:rsidP="002E16CE">
            <w:pPr>
              <w:pStyle w:val="TableTextEntries"/>
            </w:pPr>
            <w:r>
              <w:t>2012</w:t>
            </w:r>
          </w:p>
        </w:tc>
        <w:tc>
          <w:tcPr>
            <w:tcW w:w="250" w:type="pct"/>
            <w:gridSpan w:val="2"/>
            <w:vMerge w:val="restart"/>
            <w:shd w:val="clear" w:color="auto" w:fill="92D050"/>
            <w:noWrap/>
          </w:tcPr>
          <w:p w14:paraId="2E4B57DD" w14:textId="77777777" w:rsidR="00FA6590" w:rsidRPr="00FE4491" w:rsidRDefault="00FA6590" w:rsidP="002E16CE">
            <w:pPr>
              <w:pStyle w:val="TableTextEntries"/>
              <w:jc w:val="center"/>
            </w:pPr>
            <w:r>
              <w:t>6</w:t>
            </w:r>
          </w:p>
        </w:tc>
        <w:tc>
          <w:tcPr>
            <w:tcW w:w="250" w:type="pct"/>
            <w:vMerge w:val="restart"/>
            <w:shd w:val="clear" w:color="auto" w:fill="FFFF00"/>
            <w:noWrap/>
          </w:tcPr>
          <w:p w14:paraId="1B768723" w14:textId="77777777" w:rsidR="00FA6590" w:rsidRPr="00FE4491" w:rsidRDefault="00FA6590" w:rsidP="002E16CE">
            <w:pPr>
              <w:pStyle w:val="TableTextEntries"/>
              <w:jc w:val="center"/>
            </w:pPr>
            <w:r>
              <w:t>4</w:t>
            </w:r>
          </w:p>
        </w:tc>
        <w:tc>
          <w:tcPr>
            <w:tcW w:w="250" w:type="pct"/>
            <w:vMerge w:val="restart"/>
            <w:shd w:val="clear" w:color="auto" w:fill="92D050"/>
            <w:noWrap/>
          </w:tcPr>
          <w:p w14:paraId="2D2B18FE" w14:textId="77777777" w:rsidR="00FA6590" w:rsidRPr="00FE4491" w:rsidRDefault="00FA6590" w:rsidP="002E16CE">
            <w:pPr>
              <w:pStyle w:val="TableTextEntries"/>
              <w:jc w:val="center"/>
            </w:pPr>
            <w:r>
              <w:t>5</w:t>
            </w:r>
          </w:p>
        </w:tc>
        <w:tc>
          <w:tcPr>
            <w:tcW w:w="250" w:type="pct"/>
            <w:vMerge w:val="restart"/>
            <w:shd w:val="clear" w:color="auto" w:fill="FFFF00"/>
            <w:noWrap/>
          </w:tcPr>
          <w:p w14:paraId="696A827E" w14:textId="77777777" w:rsidR="00FA6590" w:rsidRPr="00895E2A" w:rsidRDefault="00FA6590" w:rsidP="002E16CE">
            <w:pPr>
              <w:pStyle w:val="TableTextEntries"/>
              <w:jc w:val="center"/>
            </w:pPr>
            <w:r>
              <w:t>4</w:t>
            </w:r>
          </w:p>
        </w:tc>
        <w:tc>
          <w:tcPr>
            <w:tcW w:w="250" w:type="pct"/>
            <w:vMerge w:val="restart"/>
            <w:shd w:val="clear" w:color="auto" w:fill="FFFF00"/>
            <w:noWrap/>
          </w:tcPr>
          <w:p w14:paraId="361CFAC9" w14:textId="77777777" w:rsidR="00FA6590" w:rsidRPr="00895E2A" w:rsidRDefault="00FA6590" w:rsidP="002E16CE">
            <w:pPr>
              <w:pStyle w:val="TableTextEntries"/>
              <w:jc w:val="center"/>
            </w:pPr>
            <w:r w:rsidRPr="00895E2A">
              <w:t>4</w:t>
            </w:r>
          </w:p>
        </w:tc>
        <w:tc>
          <w:tcPr>
            <w:tcW w:w="250" w:type="pct"/>
            <w:vMerge w:val="restart"/>
            <w:shd w:val="clear" w:color="auto" w:fill="FFFF00"/>
            <w:noWrap/>
          </w:tcPr>
          <w:p w14:paraId="10CDB0C9" w14:textId="77777777" w:rsidR="00FA6590" w:rsidRPr="00895E2A" w:rsidRDefault="00FA6590" w:rsidP="002E16CE">
            <w:pPr>
              <w:pStyle w:val="TableTextEntries"/>
              <w:jc w:val="center"/>
            </w:pPr>
            <w:r w:rsidRPr="00895E2A">
              <w:t>4</w:t>
            </w:r>
          </w:p>
        </w:tc>
        <w:tc>
          <w:tcPr>
            <w:tcW w:w="250" w:type="pct"/>
            <w:vMerge w:val="restart"/>
            <w:shd w:val="clear" w:color="auto" w:fill="92D050"/>
            <w:noWrap/>
          </w:tcPr>
          <w:p w14:paraId="3E03D899" w14:textId="77777777" w:rsidR="00FA6590" w:rsidRPr="00FE4491" w:rsidRDefault="00FA6590" w:rsidP="002E16CE">
            <w:pPr>
              <w:pStyle w:val="TableTextEntries"/>
              <w:jc w:val="center"/>
            </w:pPr>
            <w:r>
              <w:t>M</w:t>
            </w:r>
          </w:p>
        </w:tc>
      </w:tr>
      <w:tr w:rsidR="006448CC" w:rsidRPr="009D53C4" w14:paraId="0B46020B"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78450B55" w14:textId="77777777" w:rsidR="00FA6590" w:rsidRPr="00FE4491" w:rsidRDefault="00FA6590" w:rsidP="002E16CE">
            <w:pPr>
              <w:pStyle w:val="TableTextEntries"/>
            </w:pPr>
          </w:p>
        </w:tc>
        <w:tc>
          <w:tcPr>
            <w:tcW w:w="705" w:type="pct"/>
            <w:vMerge/>
          </w:tcPr>
          <w:p w14:paraId="0BD0ABE6" w14:textId="77777777" w:rsidR="00FA6590" w:rsidRPr="00FE4491" w:rsidRDefault="00FA6590" w:rsidP="002E16CE">
            <w:pPr>
              <w:pStyle w:val="TableTextEntries"/>
            </w:pPr>
          </w:p>
        </w:tc>
        <w:tc>
          <w:tcPr>
            <w:tcW w:w="400" w:type="pct"/>
          </w:tcPr>
          <w:p w14:paraId="5F5F5F4F" w14:textId="77777777" w:rsidR="00FA6590" w:rsidRPr="00FE4491" w:rsidRDefault="00FA6590" w:rsidP="002E16CE">
            <w:pPr>
              <w:pStyle w:val="TableTextEntries"/>
            </w:pPr>
          </w:p>
        </w:tc>
        <w:tc>
          <w:tcPr>
            <w:tcW w:w="250" w:type="pct"/>
            <w:gridSpan w:val="2"/>
            <w:vMerge/>
            <w:shd w:val="clear" w:color="auto" w:fill="92D050"/>
            <w:noWrap/>
          </w:tcPr>
          <w:p w14:paraId="68D841D9" w14:textId="77777777" w:rsidR="00FA6590" w:rsidRPr="00FE4491" w:rsidRDefault="00FA6590" w:rsidP="002E16CE">
            <w:pPr>
              <w:pStyle w:val="TableTextEntries"/>
              <w:jc w:val="center"/>
            </w:pPr>
          </w:p>
        </w:tc>
        <w:tc>
          <w:tcPr>
            <w:tcW w:w="250" w:type="pct"/>
            <w:vMerge/>
            <w:shd w:val="clear" w:color="auto" w:fill="FFFF00"/>
            <w:noWrap/>
          </w:tcPr>
          <w:p w14:paraId="4B630E1A" w14:textId="77777777" w:rsidR="00FA6590" w:rsidRPr="00FE4491" w:rsidRDefault="00FA6590" w:rsidP="002E16CE">
            <w:pPr>
              <w:pStyle w:val="TableTextEntries"/>
              <w:jc w:val="center"/>
            </w:pPr>
          </w:p>
        </w:tc>
        <w:tc>
          <w:tcPr>
            <w:tcW w:w="250" w:type="pct"/>
            <w:vMerge/>
            <w:shd w:val="clear" w:color="auto" w:fill="92D050"/>
            <w:noWrap/>
          </w:tcPr>
          <w:p w14:paraId="3220E758" w14:textId="77777777" w:rsidR="00FA6590" w:rsidRPr="00FE4491" w:rsidRDefault="00FA6590" w:rsidP="002E16CE">
            <w:pPr>
              <w:pStyle w:val="TableTextEntries"/>
              <w:jc w:val="center"/>
            </w:pPr>
          </w:p>
        </w:tc>
        <w:tc>
          <w:tcPr>
            <w:tcW w:w="250" w:type="pct"/>
            <w:vMerge/>
            <w:shd w:val="clear" w:color="auto" w:fill="FFFF00"/>
            <w:noWrap/>
          </w:tcPr>
          <w:p w14:paraId="3357E406" w14:textId="77777777" w:rsidR="00FA6590" w:rsidRPr="00DB6B8E" w:rsidRDefault="00FA6590" w:rsidP="002E16CE">
            <w:pPr>
              <w:pStyle w:val="TableTextEntries"/>
              <w:jc w:val="center"/>
              <w:rPr>
                <w:i/>
              </w:rPr>
            </w:pPr>
          </w:p>
        </w:tc>
        <w:tc>
          <w:tcPr>
            <w:tcW w:w="250" w:type="pct"/>
            <w:vMerge/>
            <w:shd w:val="clear" w:color="auto" w:fill="FFFF00"/>
            <w:noWrap/>
          </w:tcPr>
          <w:p w14:paraId="4DD397D7" w14:textId="77777777" w:rsidR="00FA6590" w:rsidRPr="00DB6B8E" w:rsidRDefault="00FA6590" w:rsidP="002E16CE">
            <w:pPr>
              <w:pStyle w:val="TableTextEntries"/>
              <w:jc w:val="center"/>
              <w:rPr>
                <w:i/>
              </w:rPr>
            </w:pPr>
          </w:p>
        </w:tc>
        <w:tc>
          <w:tcPr>
            <w:tcW w:w="250" w:type="pct"/>
            <w:vMerge/>
            <w:shd w:val="clear" w:color="auto" w:fill="FFFF00"/>
            <w:noWrap/>
          </w:tcPr>
          <w:p w14:paraId="4974EEE4" w14:textId="77777777" w:rsidR="00FA6590" w:rsidRPr="00DB6B8E" w:rsidRDefault="00FA6590" w:rsidP="002E16CE">
            <w:pPr>
              <w:pStyle w:val="TableTextEntries"/>
              <w:jc w:val="center"/>
              <w:rPr>
                <w:i/>
              </w:rPr>
            </w:pPr>
          </w:p>
        </w:tc>
        <w:tc>
          <w:tcPr>
            <w:tcW w:w="250" w:type="pct"/>
            <w:vMerge/>
            <w:shd w:val="clear" w:color="auto" w:fill="92D050"/>
            <w:noWrap/>
          </w:tcPr>
          <w:p w14:paraId="25FD8E3A" w14:textId="77777777" w:rsidR="00FA6590" w:rsidRPr="00FE4491" w:rsidRDefault="00FA6590" w:rsidP="002E16CE">
            <w:pPr>
              <w:pStyle w:val="TableTextEntries"/>
              <w:jc w:val="center"/>
            </w:pPr>
          </w:p>
        </w:tc>
      </w:tr>
      <w:tr w:rsidR="006448CC" w:rsidRPr="009D53C4" w14:paraId="7943DDE7" w14:textId="77777777" w:rsidTr="00367FC4">
        <w:trPr>
          <w:trHeight w:val="284"/>
          <w:tblHeader w:val="0"/>
        </w:trPr>
        <w:tc>
          <w:tcPr>
            <w:tcW w:w="1262" w:type="pct"/>
            <w:vMerge/>
          </w:tcPr>
          <w:p w14:paraId="17C9119A" w14:textId="77777777" w:rsidR="00FA6590" w:rsidRPr="00FE4491" w:rsidRDefault="00FA6590" w:rsidP="002E16CE">
            <w:pPr>
              <w:pStyle w:val="TableTextEntries"/>
            </w:pPr>
          </w:p>
        </w:tc>
        <w:tc>
          <w:tcPr>
            <w:tcW w:w="705" w:type="pct"/>
            <w:vMerge/>
          </w:tcPr>
          <w:p w14:paraId="17B4FDDD" w14:textId="77777777" w:rsidR="00FA6590" w:rsidRPr="00FE4491" w:rsidRDefault="00FA6590" w:rsidP="002E16CE">
            <w:pPr>
              <w:pStyle w:val="TableTextEntries"/>
            </w:pPr>
          </w:p>
        </w:tc>
        <w:tc>
          <w:tcPr>
            <w:tcW w:w="400" w:type="pct"/>
          </w:tcPr>
          <w:p w14:paraId="157BD49D" w14:textId="77777777" w:rsidR="00FA6590" w:rsidRPr="00FE4491" w:rsidRDefault="00FA6590" w:rsidP="002E16CE">
            <w:pPr>
              <w:pStyle w:val="TableTextEntries"/>
            </w:pPr>
            <w:r>
              <w:t>2011</w:t>
            </w:r>
          </w:p>
        </w:tc>
        <w:tc>
          <w:tcPr>
            <w:tcW w:w="250" w:type="pct"/>
            <w:gridSpan w:val="2"/>
            <w:shd w:val="clear" w:color="auto" w:fill="92D050"/>
            <w:noWrap/>
          </w:tcPr>
          <w:p w14:paraId="4A984FE5" w14:textId="77777777" w:rsidR="00FA6590" w:rsidRDefault="00FA6590" w:rsidP="002E16CE">
            <w:pPr>
              <w:pStyle w:val="TableTextEntries"/>
              <w:jc w:val="center"/>
            </w:pPr>
            <w:r w:rsidRPr="00A06950">
              <w:t>6</w:t>
            </w:r>
          </w:p>
          <w:p w14:paraId="503DDB42" w14:textId="77777777" w:rsidR="00FA6590" w:rsidRPr="00A06950" w:rsidRDefault="00FA6590" w:rsidP="002E16CE">
            <w:pPr>
              <w:pStyle w:val="TableTextEntries"/>
              <w:jc w:val="center"/>
            </w:pPr>
          </w:p>
        </w:tc>
        <w:tc>
          <w:tcPr>
            <w:tcW w:w="250" w:type="pct"/>
            <w:shd w:val="clear" w:color="auto" w:fill="F79646" w:themeFill="accent6"/>
            <w:noWrap/>
          </w:tcPr>
          <w:p w14:paraId="70114F5C" w14:textId="77777777" w:rsidR="00FA6590" w:rsidRPr="00A06950" w:rsidRDefault="00FA6590" w:rsidP="002E16CE">
            <w:pPr>
              <w:pStyle w:val="TableTextEntries"/>
              <w:jc w:val="center"/>
            </w:pPr>
            <w:r w:rsidRPr="00A06950">
              <w:t>3</w:t>
            </w:r>
          </w:p>
        </w:tc>
        <w:tc>
          <w:tcPr>
            <w:tcW w:w="250" w:type="pct"/>
            <w:shd w:val="clear" w:color="auto" w:fill="FFFF00"/>
            <w:noWrap/>
          </w:tcPr>
          <w:p w14:paraId="631E7B33" w14:textId="77777777" w:rsidR="00FA6590" w:rsidRPr="00A06950" w:rsidRDefault="00FA6590" w:rsidP="002E16CE">
            <w:pPr>
              <w:pStyle w:val="TableTextEntries"/>
              <w:jc w:val="center"/>
            </w:pPr>
            <w:r w:rsidRPr="00A06950">
              <w:t>4</w:t>
            </w:r>
          </w:p>
        </w:tc>
        <w:tc>
          <w:tcPr>
            <w:tcW w:w="250" w:type="pct"/>
            <w:shd w:val="clear" w:color="auto" w:fill="FFFF00"/>
            <w:noWrap/>
          </w:tcPr>
          <w:p w14:paraId="23693A42" w14:textId="77777777" w:rsidR="00FA6590" w:rsidRPr="00A06950" w:rsidRDefault="00FA6590" w:rsidP="002E16CE">
            <w:pPr>
              <w:pStyle w:val="TableTextEntries"/>
              <w:jc w:val="center"/>
            </w:pPr>
            <w:r w:rsidRPr="00A06950">
              <w:t>4</w:t>
            </w:r>
          </w:p>
        </w:tc>
        <w:tc>
          <w:tcPr>
            <w:tcW w:w="250" w:type="pct"/>
            <w:shd w:val="clear" w:color="auto" w:fill="FFFF00"/>
            <w:noWrap/>
          </w:tcPr>
          <w:p w14:paraId="16ECAA94" w14:textId="77777777" w:rsidR="00FA6590" w:rsidRPr="00A06950" w:rsidRDefault="00FA6590" w:rsidP="002E16CE">
            <w:pPr>
              <w:pStyle w:val="TableTextEntries"/>
              <w:jc w:val="center"/>
            </w:pPr>
            <w:r w:rsidRPr="00A06950">
              <w:t>4</w:t>
            </w:r>
          </w:p>
        </w:tc>
        <w:tc>
          <w:tcPr>
            <w:tcW w:w="250" w:type="pct"/>
            <w:shd w:val="clear" w:color="auto" w:fill="F79646" w:themeFill="accent6"/>
            <w:noWrap/>
          </w:tcPr>
          <w:p w14:paraId="1058B6E0" w14:textId="77777777" w:rsidR="00FA6590" w:rsidRPr="00A06950" w:rsidRDefault="00FA6590" w:rsidP="002E16CE">
            <w:pPr>
              <w:pStyle w:val="TableTextEntries"/>
              <w:jc w:val="center"/>
            </w:pPr>
            <w:r w:rsidRPr="00A06950">
              <w:t>3</w:t>
            </w:r>
          </w:p>
        </w:tc>
        <w:tc>
          <w:tcPr>
            <w:tcW w:w="250" w:type="pct"/>
            <w:shd w:val="clear" w:color="auto" w:fill="F79646" w:themeFill="accent6"/>
            <w:noWrap/>
          </w:tcPr>
          <w:p w14:paraId="366C7150" w14:textId="77777777" w:rsidR="00FA6590" w:rsidRPr="00A06950" w:rsidRDefault="00FA6590" w:rsidP="002E16CE">
            <w:pPr>
              <w:pStyle w:val="TableTextEntries"/>
              <w:jc w:val="center"/>
            </w:pPr>
            <w:r w:rsidRPr="00A06950">
              <w:t>I</w:t>
            </w:r>
          </w:p>
        </w:tc>
      </w:tr>
      <w:tr w:rsidR="006448CC" w:rsidRPr="009D53C4" w14:paraId="36C1E963"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val="restart"/>
          </w:tcPr>
          <w:p w14:paraId="3BA4F0F0" w14:textId="77777777" w:rsidR="00FA6590" w:rsidRPr="00FE4491" w:rsidRDefault="00FA6590" w:rsidP="002E16CE">
            <w:pPr>
              <w:pStyle w:val="TableTextEntries"/>
            </w:pPr>
            <w:r w:rsidRPr="0019341B">
              <w:t>Poverty Reduction Fund</w:t>
            </w:r>
          </w:p>
        </w:tc>
        <w:tc>
          <w:tcPr>
            <w:tcW w:w="705" w:type="pct"/>
            <w:vMerge w:val="restart"/>
          </w:tcPr>
          <w:p w14:paraId="41BBF124" w14:textId="77777777" w:rsidR="00FA6590" w:rsidRPr="00FE4491" w:rsidRDefault="00FA6590" w:rsidP="002E16CE">
            <w:pPr>
              <w:pStyle w:val="TableTextEntries"/>
            </w:pPr>
            <w:r w:rsidRPr="0019341B">
              <w:t>$21 million (2011–201</w:t>
            </w:r>
            <w:r>
              <w:t>6</w:t>
            </w:r>
            <w:r w:rsidRPr="0019341B">
              <w:t>)</w:t>
            </w:r>
          </w:p>
        </w:tc>
        <w:tc>
          <w:tcPr>
            <w:tcW w:w="400" w:type="pct"/>
          </w:tcPr>
          <w:p w14:paraId="621ED6A1" w14:textId="77777777" w:rsidR="00FA6590" w:rsidRPr="00FE4491" w:rsidRDefault="00FA6590" w:rsidP="002E16CE">
            <w:pPr>
              <w:pStyle w:val="TableTextEntries"/>
            </w:pPr>
            <w:r>
              <w:t>2012</w:t>
            </w:r>
          </w:p>
        </w:tc>
        <w:tc>
          <w:tcPr>
            <w:tcW w:w="250" w:type="pct"/>
            <w:gridSpan w:val="2"/>
            <w:shd w:val="clear" w:color="auto" w:fill="92D050"/>
            <w:noWrap/>
          </w:tcPr>
          <w:p w14:paraId="541CD58C" w14:textId="77777777" w:rsidR="00FA6590" w:rsidRDefault="00FA6590" w:rsidP="002E16CE">
            <w:pPr>
              <w:pStyle w:val="TableTextEntries"/>
              <w:jc w:val="center"/>
            </w:pPr>
            <w:r>
              <w:t>6</w:t>
            </w:r>
          </w:p>
          <w:p w14:paraId="71394DBF" w14:textId="77777777" w:rsidR="00FA6590" w:rsidRPr="00FE4491" w:rsidRDefault="00FA6590" w:rsidP="002E16CE">
            <w:pPr>
              <w:pStyle w:val="TableTextEntries"/>
              <w:jc w:val="center"/>
            </w:pPr>
          </w:p>
        </w:tc>
        <w:tc>
          <w:tcPr>
            <w:tcW w:w="250" w:type="pct"/>
            <w:shd w:val="clear" w:color="auto" w:fill="F79646" w:themeFill="accent6"/>
            <w:noWrap/>
          </w:tcPr>
          <w:p w14:paraId="3E689C30" w14:textId="77777777" w:rsidR="00FA6590" w:rsidRPr="00FE4491" w:rsidRDefault="00FA6590" w:rsidP="002E16CE">
            <w:pPr>
              <w:pStyle w:val="TableTextEntries"/>
              <w:jc w:val="center"/>
            </w:pPr>
            <w:r>
              <w:t>3</w:t>
            </w:r>
          </w:p>
        </w:tc>
        <w:tc>
          <w:tcPr>
            <w:tcW w:w="250" w:type="pct"/>
            <w:shd w:val="clear" w:color="auto" w:fill="F79646" w:themeFill="accent6"/>
            <w:noWrap/>
          </w:tcPr>
          <w:p w14:paraId="4E3CA465" w14:textId="77777777" w:rsidR="00FA6590" w:rsidRPr="00FE4491" w:rsidRDefault="00FA6590" w:rsidP="002E16CE">
            <w:pPr>
              <w:pStyle w:val="TableTextEntries"/>
              <w:jc w:val="center"/>
            </w:pPr>
            <w:r>
              <w:t>3</w:t>
            </w:r>
          </w:p>
        </w:tc>
        <w:tc>
          <w:tcPr>
            <w:tcW w:w="250" w:type="pct"/>
            <w:shd w:val="clear" w:color="auto" w:fill="92D050"/>
            <w:noWrap/>
          </w:tcPr>
          <w:p w14:paraId="077B910F" w14:textId="77777777" w:rsidR="00FA6590" w:rsidRPr="00BA5EEA" w:rsidRDefault="00FA6590" w:rsidP="002E16CE">
            <w:pPr>
              <w:pStyle w:val="TableTextEntries"/>
              <w:jc w:val="center"/>
            </w:pPr>
            <w:r w:rsidRPr="00BA5EEA">
              <w:t>5</w:t>
            </w:r>
          </w:p>
        </w:tc>
        <w:tc>
          <w:tcPr>
            <w:tcW w:w="250" w:type="pct"/>
            <w:shd w:val="clear" w:color="auto" w:fill="FFFF00"/>
            <w:noWrap/>
          </w:tcPr>
          <w:p w14:paraId="2A78A22D" w14:textId="77777777" w:rsidR="00FA6590" w:rsidRPr="00BA5EEA" w:rsidRDefault="00FA6590" w:rsidP="002E16CE">
            <w:pPr>
              <w:pStyle w:val="TableTextEntries"/>
              <w:jc w:val="center"/>
            </w:pPr>
            <w:r w:rsidRPr="00BA5EEA">
              <w:t>4</w:t>
            </w:r>
          </w:p>
        </w:tc>
        <w:tc>
          <w:tcPr>
            <w:tcW w:w="250" w:type="pct"/>
            <w:shd w:val="clear" w:color="auto" w:fill="92D050"/>
            <w:noWrap/>
          </w:tcPr>
          <w:p w14:paraId="70F254E3" w14:textId="77777777" w:rsidR="00FA6590" w:rsidRPr="00BA5EEA" w:rsidRDefault="00FA6590" w:rsidP="002E16CE">
            <w:pPr>
              <w:pStyle w:val="TableTextEntries"/>
              <w:jc w:val="center"/>
            </w:pPr>
            <w:r w:rsidRPr="00BA5EEA">
              <w:t>5</w:t>
            </w:r>
          </w:p>
        </w:tc>
        <w:tc>
          <w:tcPr>
            <w:tcW w:w="250" w:type="pct"/>
            <w:shd w:val="clear" w:color="auto" w:fill="F79646" w:themeFill="accent6"/>
            <w:noWrap/>
          </w:tcPr>
          <w:p w14:paraId="1BAF7FAE" w14:textId="77777777" w:rsidR="00FA6590" w:rsidRPr="00FE4491" w:rsidRDefault="00FA6590" w:rsidP="002E16CE">
            <w:pPr>
              <w:pStyle w:val="TableTextEntries"/>
              <w:jc w:val="center"/>
            </w:pPr>
            <w:r>
              <w:t>I</w:t>
            </w:r>
          </w:p>
        </w:tc>
      </w:tr>
      <w:tr w:rsidR="006448CC" w:rsidRPr="009D53C4" w14:paraId="58286498" w14:textId="77777777" w:rsidTr="00367FC4">
        <w:trPr>
          <w:trHeight w:val="284"/>
          <w:tblHeader w:val="0"/>
        </w:trPr>
        <w:tc>
          <w:tcPr>
            <w:tcW w:w="1262" w:type="pct"/>
            <w:vMerge/>
          </w:tcPr>
          <w:p w14:paraId="48235720" w14:textId="77777777" w:rsidR="00FA6590" w:rsidRPr="00FE4491" w:rsidRDefault="00FA6590" w:rsidP="002E16CE">
            <w:pPr>
              <w:pStyle w:val="TableTextEntries"/>
            </w:pPr>
          </w:p>
        </w:tc>
        <w:tc>
          <w:tcPr>
            <w:tcW w:w="705" w:type="pct"/>
            <w:vMerge/>
          </w:tcPr>
          <w:p w14:paraId="0ED25081" w14:textId="77777777" w:rsidR="00FA6590" w:rsidRPr="00FE4491" w:rsidRDefault="00FA6590" w:rsidP="002E16CE">
            <w:pPr>
              <w:pStyle w:val="TableTextEntries"/>
            </w:pPr>
          </w:p>
        </w:tc>
        <w:tc>
          <w:tcPr>
            <w:tcW w:w="400" w:type="pct"/>
          </w:tcPr>
          <w:p w14:paraId="35670B3A" w14:textId="77777777" w:rsidR="00FA6590" w:rsidRPr="00FE4491" w:rsidRDefault="00FA6590" w:rsidP="002E16CE">
            <w:pPr>
              <w:pStyle w:val="TableTextEntries"/>
            </w:pPr>
            <w:r>
              <w:t>QAE</w:t>
            </w:r>
          </w:p>
        </w:tc>
        <w:tc>
          <w:tcPr>
            <w:tcW w:w="250" w:type="pct"/>
            <w:gridSpan w:val="2"/>
            <w:vMerge w:val="restart"/>
            <w:shd w:val="clear" w:color="auto" w:fill="92D050"/>
            <w:noWrap/>
          </w:tcPr>
          <w:p w14:paraId="4D2689E9" w14:textId="77777777" w:rsidR="00FA6590" w:rsidRPr="00FE4491" w:rsidRDefault="00FA6590" w:rsidP="002E16CE">
            <w:pPr>
              <w:pStyle w:val="TableTextEntries"/>
              <w:jc w:val="center"/>
            </w:pPr>
            <w:r>
              <w:t>5</w:t>
            </w:r>
          </w:p>
        </w:tc>
        <w:tc>
          <w:tcPr>
            <w:tcW w:w="250" w:type="pct"/>
            <w:vMerge w:val="restart"/>
            <w:shd w:val="clear" w:color="auto" w:fill="92D050"/>
            <w:noWrap/>
          </w:tcPr>
          <w:p w14:paraId="5A858151" w14:textId="77777777" w:rsidR="00FA6590" w:rsidRPr="0068284B" w:rsidRDefault="00FA6590" w:rsidP="002E16CE">
            <w:pPr>
              <w:pStyle w:val="TableTextEntries"/>
              <w:jc w:val="center"/>
            </w:pPr>
            <w:r w:rsidRPr="0068284B">
              <w:t>5</w:t>
            </w:r>
          </w:p>
        </w:tc>
        <w:tc>
          <w:tcPr>
            <w:tcW w:w="250" w:type="pct"/>
            <w:vMerge w:val="restart"/>
            <w:shd w:val="clear" w:color="auto" w:fill="FFFF00"/>
            <w:noWrap/>
          </w:tcPr>
          <w:p w14:paraId="4EBED9D1" w14:textId="77777777" w:rsidR="00FA6590" w:rsidRPr="0068284B" w:rsidRDefault="00FA6590" w:rsidP="002E16CE">
            <w:pPr>
              <w:pStyle w:val="TableTextEntries"/>
              <w:jc w:val="center"/>
            </w:pPr>
            <w:r w:rsidRPr="0068284B">
              <w:t>4</w:t>
            </w:r>
          </w:p>
        </w:tc>
        <w:tc>
          <w:tcPr>
            <w:tcW w:w="250" w:type="pct"/>
            <w:vMerge w:val="restart"/>
            <w:shd w:val="clear" w:color="auto" w:fill="FFFF00"/>
            <w:noWrap/>
          </w:tcPr>
          <w:p w14:paraId="0AB6F528" w14:textId="77777777" w:rsidR="00FA6590" w:rsidRPr="00BA5EEA" w:rsidRDefault="00FA6590" w:rsidP="002E16CE">
            <w:pPr>
              <w:pStyle w:val="TableTextEntries"/>
              <w:jc w:val="center"/>
            </w:pPr>
            <w:r w:rsidRPr="00BA5EEA">
              <w:t>4</w:t>
            </w:r>
          </w:p>
        </w:tc>
        <w:tc>
          <w:tcPr>
            <w:tcW w:w="250" w:type="pct"/>
            <w:vMerge w:val="restart"/>
            <w:shd w:val="clear" w:color="auto" w:fill="FFFF00"/>
            <w:noWrap/>
          </w:tcPr>
          <w:p w14:paraId="27E7A4EC" w14:textId="77777777" w:rsidR="00FA6590" w:rsidRPr="00BA5EEA" w:rsidRDefault="00FA6590" w:rsidP="002E16CE">
            <w:pPr>
              <w:pStyle w:val="TableTextEntries"/>
              <w:jc w:val="center"/>
            </w:pPr>
            <w:r w:rsidRPr="00BA5EEA">
              <w:t>4</w:t>
            </w:r>
          </w:p>
        </w:tc>
        <w:tc>
          <w:tcPr>
            <w:tcW w:w="250" w:type="pct"/>
            <w:vMerge w:val="restart"/>
            <w:shd w:val="clear" w:color="auto" w:fill="F79646" w:themeFill="accent6"/>
            <w:noWrap/>
          </w:tcPr>
          <w:p w14:paraId="7CAEBDB5" w14:textId="77777777" w:rsidR="00FA6590" w:rsidRPr="00BA5EEA" w:rsidRDefault="00FA6590" w:rsidP="002E16CE">
            <w:pPr>
              <w:pStyle w:val="TableTextEntries"/>
              <w:jc w:val="center"/>
            </w:pPr>
            <w:r w:rsidRPr="00BA5EEA">
              <w:t>3</w:t>
            </w:r>
          </w:p>
        </w:tc>
        <w:tc>
          <w:tcPr>
            <w:tcW w:w="250" w:type="pct"/>
            <w:vMerge w:val="restart"/>
            <w:noWrap/>
          </w:tcPr>
          <w:p w14:paraId="56B0D000" w14:textId="77777777" w:rsidR="00FA6590" w:rsidRPr="00FE4491" w:rsidRDefault="00FA6590" w:rsidP="002E16CE">
            <w:pPr>
              <w:pStyle w:val="TableTextEntries"/>
              <w:jc w:val="center"/>
            </w:pPr>
            <w:r>
              <w:t>N/A</w:t>
            </w:r>
          </w:p>
        </w:tc>
      </w:tr>
      <w:tr w:rsidR="00FA6590" w:rsidRPr="009D53C4" w14:paraId="1377E838"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vMerge/>
          </w:tcPr>
          <w:p w14:paraId="20A7F7D5" w14:textId="77777777" w:rsidR="00FA6590" w:rsidRPr="00FE4491" w:rsidRDefault="00FA6590" w:rsidP="002E16CE">
            <w:pPr>
              <w:pStyle w:val="TableTextEntries"/>
            </w:pPr>
          </w:p>
        </w:tc>
        <w:tc>
          <w:tcPr>
            <w:tcW w:w="705" w:type="pct"/>
            <w:vMerge/>
          </w:tcPr>
          <w:p w14:paraId="66DB6D55" w14:textId="77777777" w:rsidR="00FA6590" w:rsidRPr="00FE4491" w:rsidRDefault="00FA6590" w:rsidP="002E16CE">
            <w:pPr>
              <w:pStyle w:val="TableTextEntries"/>
            </w:pPr>
          </w:p>
        </w:tc>
        <w:tc>
          <w:tcPr>
            <w:tcW w:w="400" w:type="pct"/>
          </w:tcPr>
          <w:p w14:paraId="0AFE569C" w14:textId="77777777" w:rsidR="00FA6590" w:rsidRPr="00FE4491" w:rsidRDefault="00FA6590" w:rsidP="002E16CE">
            <w:pPr>
              <w:pStyle w:val="TableTextEntries"/>
            </w:pPr>
            <w:r>
              <w:t>2011</w:t>
            </w:r>
          </w:p>
        </w:tc>
        <w:tc>
          <w:tcPr>
            <w:tcW w:w="250" w:type="pct"/>
            <w:gridSpan w:val="2"/>
            <w:vMerge/>
            <w:noWrap/>
          </w:tcPr>
          <w:p w14:paraId="5A4D5465" w14:textId="77777777" w:rsidR="00FA6590" w:rsidRPr="00FE4491" w:rsidRDefault="00FA6590" w:rsidP="002E16CE">
            <w:pPr>
              <w:pStyle w:val="TableTextEntries"/>
              <w:jc w:val="center"/>
            </w:pPr>
          </w:p>
        </w:tc>
        <w:tc>
          <w:tcPr>
            <w:tcW w:w="250" w:type="pct"/>
            <w:vMerge/>
            <w:noWrap/>
          </w:tcPr>
          <w:p w14:paraId="63AB8998" w14:textId="77777777" w:rsidR="00FA6590" w:rsidRPr="00FE4491" w:rsidRDefault="00FA6590" w:rsidP="002E16CE">
            <w:pPr>
              <w:pStyle w:val="TableTextEntries"/>
              <w:jc w:val="center"/>
            </w:pPr>
          </w:p>
        </w:tc>
        <w:tc>
          <w:tcPr>
            <w:tcW w:w="250" w:type="pct"/>
            <w:vMerge/>
            <w:noWrap/>
          </w:tcPr>
          <w:p w14:paraId="46CA836E" w14:textId="77777777" w:rsidR="00FA6590" w:rsidRPr="00FE4491" w:rsidRDefault="00FA6590" w:rsidP="002E16CE">
            <w:pPr>
              <w:pStyle w:val="TableTextEntries"/>
              <w:jc w:val="center"/>
            </w:pPr>
          </w:p>
        </w:tc>
        <w:tc>
          <w:tcPr>
            <w:tcW w:w="250" w:type="pct"/>
            <w:vMerge/>
            <w:noWrap/>
          </w:tcPr>
          <w:p w14:paraId="6220EC6C" w14:textId="77777777" w:rsidR="00FA6590" w:rsidRPr="00DB6B8E" w:rsidRDefault="00FA6590" w:rsidP="002E16CE">
            <w:pPr>
              <w:pStyle w:val="TableTextEntries"/>
              <w:jc w:val="center"/>
              <w:rPr>
                <w:i/>
              </w:rPr>
            </w:pPr>
          </w:p>
        </w:tc>
        <w:tc>
          <w:tcPr>
            <w:tcW w:w="250" w:type="pct"/>
            <w:vMerge/>
            <w:noWrap/>
          </w:tcPr>
          <w:p w14:paraId="241AE6CB" w14:textId="77777777" w:rsidR="00FA6590" w:rsidRPr="00DB6B8E" w:rsidRDefault="00FA6590" w:rsidP="002E16CE">
            <w:pPr>
              <w:pStyle w:val="TableTextEntries"/>
              <w:jc w:val="center"/>
              <w:rPr>
                <w:i/>
              </w:rPr>
            </w:pPr>
          </w:p>
        </w:tc>
        <w:tc>
          <w:tcPr>
            <w:tcW w:w="250" w:type="pct"/>
            <w:vMerge/>
            <w:noWrap/>
          </w:tcPr>
          <w:p w14:paraId="3714C161" w14:textId="77777777" w:rsidR="00FA6590" w:rsidRPr="00DB6B8E" w:rsidRDefault="00FA6590" w:rsidP="002E16CE">
            <w:pPr>
              <w:pStyle w:val="TableTextEntries"/>
              <w:jc w:val="center"/>
              <w:rPr>
                <w:i/>
              </w:rPr>
            </w:pPr>
          </w:p>
        </w:tc>
        <w:tc>
          <w:tcPr>
            <w:tcW w:w="250" w:type="pct"/>
            <w:vMerge/>
            <w:noWrap/>
          </w:tcPr>
          <w:p w14:paraId="324B7297" w14:textId="77777777" w:rsidR="00FA6590" w:rsidRPr="00FE4491" w:rsidRDefault="00FA6590" w:rsidP="002E16CE">
            <w:pPr>
              <w:pStyle w:val="TableTextEntries"/>
              <w:jc w:val="center"/>
            </w:pPr>
          </w:p>
        </w:tc>
      </w:tr>
      <w:tr w:rsidR="006448CC" w:rsidRPr="009D53C4" w14:paraId="7EFE51E9" w14:textId="77777777" w:rsidTr="00367FC4">
        <w:trPr>
          <w:trHeight w:val="284"/>
          <w:tblHeader w:val="0"/>
        </w:trPr>
        <w:tc>
          <w:tcPr>
            <w:tcW w:w="1262" w:type="pct"/>
          </w:tcPr>
          <w:p w14:paraId="7A146C41" w14:textId="77777777" w:rsidR="00FA6590" w:rsidRPr="00FE4491" w:rsidRDefault="00FA6590" w:rsidP="002E16CE">
            <w:pPr>
              <w:pStyle w:val="TableTextEntries"/>
            </w:pPr>
            <w:r w:rsidRPr="0019341B">
              <w:t>Lao-Australian Scholarships Program</w:t>
            </w:r>
          </w:p>
        </w:tc>
        <w:tc>
          <w:tcPr>
            <w:tcW w:w="705" w:type="pct"/>
            <w:vMerge w:val="restart"/>
          </w:tcPr>
          <w:p w14:paraId="7C89F77D" w14:textId="032915A1" w:rsidR="00FA6590" w:rsidRPr="00FE4491" w:rsidRDefault="00FA6590" w:rsidP="002E16CE">
            <w:pPr>
              <w:pStyle w:val="TableTextEntries"/>
            </w:pPr>
            <w:proofErr w:type="spellStart"/>
            <w:r w:rsidRPr="0019341B">
              <w:t>Approx</w:t>
            </w:r>
            <w:proofErr w:type="spellEnd"/>
            <w:r w:rsidRPr="0019341B">
              <w:t xml:space="preserve"> $7 million a year</w:t>
            </w:r>
          </w:p>
        </w:tc>
        <w:tc>
          <w:tcPr>
            <w:tcW w:w="400" w:type="pct"/>
          </w:tcPr>
          <w:p w14:paraId="53E87C9B" w14:textId="77777777" w:rsidR="00FA6590" w:rsidRPr="00FE4491" w:rsidRDefault="00FA6590" w:rsidP="002E16CE">
            <w:pPr>
              <w:pStyle w:val="TableTextEntries"/>
            </w:pPr>
            <w:r>
              <w:t>2012</w:t>
            </w:r>
          </w:p>
        </w:tc>
        <w:tc>
          <w:tcPr>
            <w:tcW w:w="250" w:type="pct"/>
            <w:gridSpan w:val="2"/>
            <w:shd w:val="clear" w:color="auto" w:fill="92D050"/>
            <w:noWrap/>
          </w:tcPr>
          <w:p w14:paraId="19012C70" w14:textId="77777777" w:rsidR="00FA6590" w:rsidRPr="00B9191F" w:rsidRDefault="00FA6590" w:rsidP="002E16CE">
            <w:pPr>
              <w:pStyle w:val="TableTextEntries"/>
              <w:jc w:val="center"/>
            </w:pPr>
            <w:r w:rsidRPr="00B9191F">
              <w:t>6</w:t>
            </w:r>
          </w:p>
        </w:tc>
        <w:tc>
          <w:tcPr>
            <w:tcW w:w="250" w:type="pct"/>
            <w:shd w:val="clear" w:color="auto" w:fill="92D050"/>
            <w:noWrap/>
          </w:tcPr>
          <w:p w14:paraId="5D128E44" w14:textId="77777777" w:rsidR="00FA6590" w:rsidRPr="00B9191F" w:rsidRDefault="00FA6590" w:rsidP="002E16CE">
            <w:pPr>
              <w:pStyle w:val="TableTextEntries"/>
              <w:jc w:val="center"/>
            </w:pPr>
            <w:r w:rsidRPr="00B9191F">
              <w:t>5</w:t>
            </w:r>
          </w:p>
        </w:tc>
        <w:tc>
          <w:tcPr>
            <w:tcW w:w="250" w:type="pct"/>
            <w:shd w:val="clear" w:color="auto" w:fill="92D050"/>
            <w:noWrap/>
          </w:tcPr>
          <w:p w14:paraId="2BE8AEC8" w14:textId="77777777" w:rsidR="00FA6590" w:rsidRPr="00B9191F" w:rsidRDefault="00FA6590" w:rsidP="002E16CE">
            <w:pPr>
              <w:pStyle w:val="TableTextEntries"/>
              <w:jc w:val="center"/>
            </w:pPr>
            <w:r w:rsidRPr="00B9191F">
              <w:t>5</w:t>
            </w:r>
          </w:p>
        </w:tc>
        <w:tc>
          <w:tcPr>
            <w:tcW w:w="250" w:type="pct"/>
            <w:shd w:val="clear" w:color="auto" w:fill="92D050"/>
            <w:noWrap/>
          </w:tcPr>
          <w:p w14:paraId="1885ED99" w14:textId="77777777" w:rsidR="00FA6590" w:rsidRPr="00B9191F" w:rsidRDefault="00FA6590" w:rsidP="002E16CE">
            <w:pPr>
              <w:pStyle w:val="TableTextEntries"/>
              <w:jc w:val="center"/>
            </w:pPr>
            <w:r w:rsidRPr="00B9191F">
              <w:t>5</w:t>
            </w:r>
          </w:p>
        </w:tc>
        <w:tc>
          <w:tcPr>
            <w:tcW w:w="250" w:type="pct"/>
            <w:shd w:val="clear" w:color="auto" w:fill="92D050"/>
            <w:noWrap/>
          </w:tcPr>
          <w:p w14:paraId="64F8D03C" w14:textId="77777777" w:rsidR="00FA6590" w:rsidRPr="00B9191F" w:rsidRDefault="00FA6590" w:rsidP="002E16CE">
            <w:pPr>
              <w:pStyle w:val="TableTextEntries"/>
              <w:jc w:val="center"/>
            </w:pPr>
            <w:r w:rsidRPr="00B9191F">
              <w:t>5</w:t>
            </w:r>
          </w:p>
        </w:tc>
        <w:tc>
          <w:tcPr>
            <w:tcW w:w="250" w:type="pct"/>
            <w:shd w:val="clear" w:color="auto" w:fill="92D050"/>
            <w:noWrap/>
          </w:tcPr>
          <w:p w14:paraId="38597CD7" w14:textId="77777777" w:rsidR="00FA6590" w:rsidRPr="00B9191F" w:rsidRDefault="00FA6590" w:rsidP="002E16CE">
            <w:pPr>
              <w:pStyle w:val="TableTextEntries"/>
              <w:jc w:val="center"/>
            </w:pPr>
            <w:r>
              <w:t>5</w:t>
            </w:r>
          </w:p>
        </w:tc>
        <w:tc>
          <w:tcPr>
            <w:tcW w:w="250" w:type="pct"/>
            <w:shd w:val="clear" w:color="auto" w:fill="F79646" w:themeFill="accent6"/>
            <w:noWrap/>
          </w:tcPr>
          <w:p w14:paraId="5C172549" w14:textId="77777777" w:rsidR="00FA6590" w:rsidRPr="00B9191F" w:rsidRDefault="00FA6590" w:rsidP="002E16CE">
            <w:pPr>
              <w:pStyle w:val="TableTextEntries"/>
              <w:jc w:val="center"/>
            </w:pPr>
            <w:r>
              <w:t>I</w:t>
            </w:r>
          </w:p>
        </w:tc>
      </w:tr>
      <w:tr w:rsidR="006448CC" w:rsidRPr="00784100" w14:paraId="7AAFB757"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tcPr>
          <w:p w14:paraId="7D99432A" w14:textId="77777777" w:rsidR="00FA6590" w:rsidRPr="00FE4491" w:rsidRDefault="00FA6590" w:rsidP="002E16CE">
            <w:pPr>
              <w:pStyle w:val="TableTextEntries"/>
            </w:pPr>
          </w:p>
        </w:tc>
        <w:tc>
          <w:tcPr>
            <w:tcW w:w="705" w:type="pct"/>
            <w:vMerge/>
          </w:tcPr>
          <w:p w14:paraId="7BB29545" w14:textId="77777777" w:rsidR="00FA6590" w:rsidRPr="00FE4491" w:rsidRDefault="00FA6590" w:rsidP="002E16CE">
            <w:pPr>
              <w:pStyle w:val="TableTextEntries"/>
            </w:pPr>
          </w:p>
        </w:tc>
        <w:tc>
          <w:tcPr>
            <w:tcW w:w="400" w:type="pct"/>
          </w:tcPr>
          <w:p w14:paraId="0D157161" w14:textId="77777777" w:rsidR="00FA6590" w:rsidRPr="00FE4491" w:rsidRDefault="00FA6590" w:rsidP="002E16CE">
            <w:pPr>
              <w:pStyle w:val="TableTextEntries"/>
            </w:pPr>
            <w:r>
              <w:t>2011</w:t>
            </w:r>
          </w:p>
        </w:tc>
        <w:tc>
          <w:tcPr>
            <w:tcW w:w="250" w:type="pct"/>
            <w:gridSpan w:val="2"/>
            <w:shd w:val="clear" w:color="auto" w:fill="92D050"/>
            <w:noWrap/>
          </w:tcPr>
          <w:p w14:paraId="0AAB4CB7" w14:textId="77777777" w:rsidR="00FA6590" w:rsidRPr="00784100" w:rsidRDefault="00FA6590" w:rsidP="002E16CE">
            <w:pPr>
              <w:pStyle w:val="TableTextEntries"/>
              <w:jc w:val="center"/>
            </w:pPr>
            <w:r>
              <w:t>6</w:t>
            </w:r>
          </w:p>
        </w:tc>
        <w:tc>
          <w:tcPr>
            <w:tcW w:w="250" w:type="pct"/>
            <w:shd w:val="clear" w:color="auto" w:fill="92D050"/>
            <w:noWrap/>
          </w:tcPr>
          <w:p w14:paraId="68AABDFA" w14:textId="77777777" w:rsidR="00FA6590" w:rsidRPr="00784100" w:rsidRDefault="00FA6590" w:rsidP="002E16CE">
            <w:pPr>
              <w:pStyle w:val="TableTextEntries"/>
              <w:jc w:val="center"/>
            </w:pPr>
            <w:r w:rsidRPr="00784100">
              <w:t>5</w:t>
            </w:r>
          </w:p>
        </w:tc>
        <w:tc>
          <w:tcPr>
            <w:tcW w:w="250" w:type="pct"/>
            <w:shd w:val="clear" w:color="auto" w:fill="92D050"/>
            <w:noWrap/>
          </w:tcPr>
          <w:p w14:paraId="7947142E" w14:textId="77777777" w:rsidR="00FA6590" w:rsidRPr="00784100" w:rsidRDefault="00FA6590" w:rsidP="002E16CE">
            <w:pPr>
              <w:pStyle w:val="TableTextEntries"/>
              <w:jc w:val="center"/>
            </w:pPr>
            <w:r w:rsidRPr="00784100">
              <w:t>5</w:t>
            </w:r>
          </w:p>
        </w:tc>
        <w:tc>
          <w:tcPr>
            <w:tcW w:w="250" w:type="pct"/>
            <w:shd w:val="clear" w:color="auto" w:fill="92D050"/>
            <w:noWrap/>
          </w:tcPr>
          <w:p w14:paraId="36DE2C49" w14:textId="77777777" w:rsidR="00FA6590" w:rsidRPr="00784100" w:rsidRDefault="00FA6590" w:rsidP="002E16CE">
            <w:pPr>
              <w:pStyle w:val="TableTextEntries"/>
              <w:jc w:val="center"/>
            </w:pPr>
            <w:r w:rsidRPr="00784100">
              <w:t>5</w:t>
            </w:r>
          </w:p>
        </w:tc>
        <w:tc>
          <w:tcPr>
            <w:tcW w:w="250" w:type="pct"/>
            <w:shd w:val="clear" w:color="auto" w:fill="92D050"/>
            <w:noWrap/>
          </w:tcPr>
          <w:p w14:paraId="0455C4DD" w14:textId="77777777" w:rsidR="00FA6590" w:rsidRPr="00784100" w:rsidRDefault="00FA6590" w:rsidP="002E16CE">
            <w:pPr>
              <w:pStyle w:val="TableTextEntries"/>
              <w:jc w:val="center"/>
            </w:pPr>
            <w:r>
              <w:t>5</w:t>
            </w:r>
          </w:p>
        </w:tc>
        <w:tc>
          <w:tcPr>
            <w:tcW w:w="250" w:type="pct"/>
            <w:shd w:val="clear" w:color="auto" w:fill="92D050"/>
            <w:noWrap/>
          </w:tcPr>
          <w:p w14:paraId="696E0BAE" w14:textId="77777777" w:rsidR="00FA6590" w:rsidRPr="00784100" w:rsidRDefault="00FA6590" w:rsidP="002E16CE">
            <w:pPr>
              <w:pStyle w:val="TableTextEntries"/>
              <w:jc w:val="center"/>
            </w:pPr>
            <w:r>
              <w:t>5</w:t>
            </w:r>
          </w:p>
        </w:tc>
        <w:tc>
          <w:tcPr>
            <w:tcW w:w="250" w:type="pct"/>
            <w:shd w:val="clear" w:color="auto" w:fill="92D050"/>
            <w:noWrap/>
          </w:tcPr>
          <w:p w14:paraId="3DC2F14C" w14:textId="77777777" w:rsidR="00FA6590" w:rsidRPr="00784100" w:rsidRDefault="00FA6590" w:rsidP="002E16CE">
            <w:pPr>
              <w:pStyle w:val="TableTextEntries"/>
              <w:jc w:val="center"/>
            </w:pPr>
            <w:r>
              <w:t>M</w:t>
            </w:r>
          </w:p>
        </w:tc>
      </w:tr>
      <w:tr w:rsidR="006448CC" w:rsidRPr="009D53C4" w14:paraId="2B89A03F" w14:textId="77777777" w:rsidTr="00367FC4">
        <w:trPr>
          <w:trHeight w:val="284"/>
          <w:tblHeader w:val="0"/>
        </w:trPr>
        <w:tc>
          <w:tcPr>
            <w:tcW w:w="1262" w:type="pct"/>
          </w:tcPr>
          <w:p w14:paraId="277064FB" w14:textId="77777777" w:rsidR="00FA6590" w:rsidRPr="00FE4491" w:rsidRDefault="00FA6590" w:rsidP="002E16CE">
            <w:pPr>
              <w:pStyle w:val="TableTextEntries"/>
            </w:pPr>
            <w:r w:rsidRPr="0019341B">
              <w:lastRenderedPageBreak/>
              <w:t>Poverty Reduction Support Operation and Public Financial Management Strengthening Program support</w:t>
            </w:r>
          </w:p>
        </w:tc>
        <w:tc>
          <w:tcPr>
            <w:tcW w:w="705" w:type="pct"/>
          </w:tcPr>
          <w:p w14:paraId="1DDEBC39" w14:textId="77777777" w:rsidR="00FA6590" w:rsidRPr="00FE4491" w:rsidRDefault="00FA6590" w:rsidP="002E16CE">
            <w:pPr>
              <w:pStyle w:val="TableTextEntries"/>
            </w:pPr>
            <w:r w:rsidRPr="0019341B">
              <w:t>$1</w:t>
            </w:r>
            <w:r>
              <w:t>3</w:t>
            </w:r>
            <w:r w:rsidRPr="0019341B">
              <w:t>.</w:t>
            </w:r>
            <w:r>
              <w:t>4</w:t>
            </w:r>
            <w:r w:rsidRPr="0019341B">
              <w:t xml:space="preserve"> million (200</w:t>
            </w:r>
            <w:r>
              <w:t>8</w:t>
            </w:r>
            <w:r w:rsidRPr="0019341B">
              <w:t>–201</w:t>
            </w:r>
            <w:r>
              <w:t>4</w:t>
            </w:r>
            <w:r w:rsidRPr="0019341B">
              <w:t>)</w:t>
            </w:r>
          </w:p>
        </w:tc>
        <w:tc>
          <w:tcPr>
            <w:tcW w:w="400" w:type="pct"/>
          </w:tcPr>
          <w:p w14:paraId="04E79264" w14:textId="77777777" w:rsidR="00FA6590" w:rsidRPr="00FE4491" w:rsidRDefault="00FA6590" w:rsidP="002E16CE">
            <w:pPr>
              <w:pStyle w:val="TableTextEntries"/>
            </w:pPr>
            <w:r>
              <w:t>2012</w:t>
            </w:r>
          </w:p>
        </w:tc>
        <w:tc>
          <w:tcPr>
            <w:tcW w:w="250" w:type="pct"/>
            <w:gridSpan w:val="2"/>
            <w:shd w:val="clear" w:color="auto" w:fill="FFFF00"/>
            <w:noWrap/>
          </w:tcPr>
          <w:p w14:paraId="42E7C096" w14:textId="77777777" w:rsidR="00FA6590" w:rsidRPr="009A73E1" w:rsidRDefault="00FA6590" w:rsidP="002E16CE">
            <w:pPr>
              <w:pStyle w:val="TableTextEntries"/>
              <w:jc w:val="center"/>
            </w:pPr>
            <w:r w:rsidRPr="009A73E1">
              <w:t>4</w:t>
            </w:r>
          </w:p>
        </w:tc>
        <w:tc>
          <w:tcPr>
            <w:tcW w:w="250" w:type="pct"/>
            <w:shd w:val="clear" w:color="auto" w:fill="FFFF00"/>
            <w:noWrap/>
          </w:tcPr>
          <w:p w14:paraId="4FD409CE" w14:textId="77777777" w:rsidR="00FA6590" w:rsidRPr="009A73E1" w:rsidRDefault="00FA6590" w:rsidP="002E16CE">
            <w:pPr>
              <w:pStyle w:val="TableTextEntries"/>
              <w:jc w:val="center"/>
            </w:pPr>
            <w:r w:rsidRPr="009A73E1">
              <w:t>4</w:t>
            </w:r>
          </w:p>
        </w:tc>
        <w:tc>
          <w:tcPr>
            <w:tcW w:w="250" w:type="pct"/>
            <w:shd w:val="clear" w:color="auto" w:fill="F79646" w:themeFill="accent6"/>
            <w:noWrap/>
          </w:tcPr>
          <w:p w14:paraId="1488F4C3" w14:textId="77777777" w:rsidR="00FA6590" w:rsidRPr="009A73E1" w:rsidRDefault="00FA6590" w:rsidP="002E16CE">
            <w:pPr>
              <w:pStyle w:val="TableTextEntries"/>
              <w:jc w:val="center"/>
            </w:pPr>
            <w:r w:rsidRPr="009A73E1">
              <w:t>3</w:t>
            </w:r>
          </w:p>
        </w:tc>
        <w:tc>
          <w:tcPr>
            <w:tcW w:w="250" w:type="pct"/>
            <w:shd w:val="clear" w:color="auto" w:fill="F79646" w:themeFill="accent6"/>
            <w:noWrap/>
          </w:tcPr>
          <w:p w14:paraId="652296E8" w14:textId="77777777" w:rsidR="00FA6590" w:rsidRPr="009A73E1" w:rsidRDefault="00FA6590" w:rsidP="002E16CE">
            <w:pPr>
              <w:pStyle w:val="TableTextEntries"/>
              <w:jc w:val="center"/>
            </w:pPr>
            <w:r w:rsidRPr="009A73E1">
              <w:t>3</w:t>
            </w:r>
          </w:p>
        </w:tc>
        <w:tc>
          <w:tcPr>
            <w:tcW w:w="250" w:type="pct"/>
            <w:shd w:val="clear" w:color="auto" w:fill="FFFF00"/>
            <w:noWrap/>
          </w:tcPr>
          <w:p w14:paraId="7B0439B7" w14:textId="77777777" w:rsidR="00FA6590" w:rsidRPr="009A73E1" w:rsidRDefault="00FA6590" w:rsidP="002E16CE">
            <w:pPr>
              <w:pStyle w:val="TableTextEntries"/>
              <w:jc w:val="center"/>
            </w:pPr>
            <w:r w:rsidRPr="009A73E1">
              <w:t>4</w:t>
            </w:r>
          </w:p>
        </w:tc>
        <w:tc>
          <w:tcPr>
            <w:tcW w:w="250" w:type="pct"/>
            <w:shd w:val="clear" w:color="auto" w:fill="FF0000"/>
            <w:noWrap/>
          </w:tcPr>
          <w:p w14:paraId="6C270FD9" w14:textId="77777777" w:rsidR="00FA6590" w:rsidRPr="009A73E1" w:rsidRDefault="00FA6590" w:rsidP="002E16CE">
            <w:pPr>
              <w:pStyle w:val="TableTextEntries"/>
              <w:jc w:val="center"/>
            </w:pPr>
            <w:r w:rsidRPr="009A73E1">
              <w:t>2</w:t>
            </w:r>
          </w:p>
        </w:tc>
        <w:tc>
          <w:tcPr>
            <w:tcW w:w="250" w:type="pct"/>
            <w:shd w:val="clear" w:color="auto" w:fill="F79646" w:themeFill="accent6"/>
            <w:noWrap/>
          </w:tcPr>
          <w:p w14:paraId="3197E71A" w14:textId="77777777" w:rsidR="00FA6590" w:rsidRPr="009A73E1" w:rsidRDefault="00FA6590" w:rsidP="002E16CE">
            <w:pPr>
              <w:pStyle w:val="TableTextEntries"/>
              <w:jc w:val="center"/>
            </w:pPr>
            <w:r w:rsidRPr="009A73E1">
              <w:t>I</w:t>
            </w:r>
          </w:p>
        </w:tc>
      </w:tr>
      <w:tr w:rsidR="006448CC" w:rsidRPr="009D53C4" w14:paraId="3D0644AF" w14:textId="77777777" w:rsidTr="00367FC4">
        <w:trPr>
          <w:cnfStyle w:val="000000010000" w:firstRow="0" w:lastRow="0" w:firstColumn="0" w:lastColumn="0" w:oddVBand="0" w:evenVBand="0" w:oddHBand="0" w:evenHBand="1" w:firstRowFirstColumn="0" w:firstRowLastColumn="0" w:lastRowFirstColumn="0" w:lastRowLastColumn="0"/>
          <w:trHeight w:val="284"/>
          <w:tblHeader w:val="0"/>
        </w:trPr>
        <w:tc>
          <w:tcPr>
            <w:tcW w:w="1262" w:type="pct"/>
          </w:tcPr>
          <w:p w14:paraId="59D55585" w14:textId="77777777" w:rsidR="00FA6590" w:rsidRPr="00FE4491" w:rsidRDefault="00FA6590" w:rsidP="002E16CE">
            <w:pPr>
              <w:pStyle w:val="TableTextEntries"/>
            </w:pPr>
          </w:p>
        </w:tc>
        <w:tc>
          <w:tcPr>
            <w:tcW w:w="705" w:type="pct"/>
          </w:tcPr>
          <w:p w14:paraId="683EB7D7" w14:textId="77777777" w:rsidR="00FA6590" w:rsidRPr="00FE4491" w:rsidRDefault="00FA6590" w:rsidP="002E16CE">
            <w:pPr>
              <w:pStyle w:val="TableTextEntries"/>
            </w:pPr>
          </w:p>
        </w:tc>
        <w:tc>
          <w:tcPr>
            <w:tcW w:w="400" w:type="pct"/>
          </w:tcPr>
          <w:p w14:paraId="491F9BDB" w14:textId="77777777" w:rsidR="00FA6590" w:rsidRPr="00FE4491" w:rsidRDefault="00FA6590" w:rsidP="002E16CE">
            <w:pPr>
              <w:pStyle w:val="TableTextEntries"/>
            </w:pPr>
            <w:r>
              <w:t>2011</w:t>
            </w:r>
          </w:p>
        </w:tc>
        <w:tc>
          <w:tcPr>
            <w:tcW w:w="250" w:type="pct"/>
            <w:gridSpan w:val="2"/>
            <w:shd w:val="clear" w:color="auto" w:fill="FFFF00"/>
            <w:noWrap/>
          </w:tcPr>
          <w:p w14:paraId="5CAAF7D9" w14:textId="77777777" w:rsidR="00FA6590" w:rsidRPr="009A73E1" w:rsidRDefault="00FA6590" w:rsidP="002E16CE">
            <w:pPr>
              <w:pStyle w:val="TableTextEntries"/>
              <w:jc w:val="center"/>
            </w:pPr>
            <w:r>
              <w:t>4</w:t>
            </w:r>
          </w:p>
        </w:tc>
        <w:tc>
          <w:tcPr>
            <w:tcW w:w="250" w:type="pct"/>
            <w:shd w:val="clear" w:color="auto" w:fill="FFFF00"/>
            <w:noWrap/>
          </w:tcPr>
          <w:p w14:paraId="25F33120" w14:textId="77777777" w:rsidR="00FA6590" w:rsidRPr="009A73E1" w:rsidRDefault="00FA6590" w:rsidP="002E16CE">
            <w:pPr>
              <w:pStyle w:val="TableTextEntries"/>
              <w:jc w:val="center"/>
            </w:pPr>
            <w:r>
              <w:t>4</w:t>
            </w:r>
          </w:p>
        </w:tc>
        <w:tc>
          <w:tcPr>
            <w:tcW w:w="250" w:type="pct"/>
            <w:shd w:val="clear" w:color="auto" w:fill="F79646" w:themeFill="accent6"/>
            <w:noWrap/>
          </w:tcPr>
          <w:p w14:paraId="7DB064AC" w14:textId="77777777" w:rsidR="00FA6590" w:rsidRPr="009A73E1" w:rsidRDefault="00FA6590" w:rsidP="002E16CE">
            <w:pPr>
              <w:pStyle w:val="TableTextEntries"/>
              <w:jc w:val="center"/>
            </w:pPr>
            <w:r>
              <w:t>3</w:t>
            </w:r>
          </w:p>
        </w:tc>
        <w:tc>
          <w:tcPr>
            <w:tcW w:w="250" w:type="pct"/>
            <w:shd w:val="clear" w:color="auto" w:fill="F79646" w:themeFill="accent6"/>
            <w:noWrap/>
          </w:tcPr>
          <w:p w14:paraId="731328B2" w14:textId="77777777" w:rsidR="00FA6590" w:rsidRPr="009A73E1" w:rsidRDefault="00FA6590" w:rsidP="002E16CE">
            <w:pPr>
              <w:pStyle w:val="TableTextEntries"/>
              <w:jc w:val="center"/>
            </w:pPr>
            <w:r>
              <w:t>3</w:t>
            </w:r>
          </w:p>
        </w:tc>
        <w:tc>
          <w:tcPr>
            <w:tcW w:w="250" w:type="pct"/>
            <w:shd w:val="clear" w:color="auto" w:fill="FFFF00"/>
            <w:noWrap/>
          </w:tcPr>
          <w:p w14:paraId="410D2B93" w14:textId="77777777" w:rsidR="00FA6590" w:rsidRPr="009A73E1" w:rsidRDefault="00FA6590" w:rsidP="002E16CE">
            <w:pPr>
              <w:pStyle w:val="TableTextEntries"/>
              <w:jc w:val="center"/>
            </w:pPr>
            <w:r>
              <w:t>4</w:t>
            </w:r>
          </w:p>
        </w:tc>
        <w:tc>
          <w:tcPr>
            <w:tcW w:w="250" w:type="pct"/>
            <w:shd w:val="clear" w:color="auto" w:fill="FF0000"/>
            <w:noWrap/>
          </w:tcPr>
          <w:p w14:paraId="314D8A6F" w14:textId="77777777" w:rsidR="00FA6590" w:rsidRPr="009A73E1" w:rsidRDefault="00FA6590" w:rsidP="002E16CE">
            <w:pPr>
              <w:pStyle w:val="TableTextEntries"/>
              <w:jc w:val="center"/>
            </w:pPr>
            <w:r w:rsidRPr="009A73E1">
              <w:t>2</w:t>
            </w:r>
          </w:p>
        </w:tc>
        <w:tc>
          <w:tcPr>
            <w:tcW w:w="250" w:type="pct"/>
            <w:shd w:val="clear" w:color="auto" w:fill="F79646" w:themeFill="accent6"/>
            <w:noWrap/>
          </w:tcPr>
          <w:p w14:paraId="06C48A9C" w14:textId="77777777" w:rsidR="00FA6590" w:rsidRPr="009A73E1" w:rsidRDefault="00FA6590" w:rsidP="002E16CE">
            <w:pPr>
              <w:pStyle w:val="TableTextEntries"/>
              <w:jc w:val="center"/>
            </w:pPr>
            <w:r w:rsidRPr="009A73E1">
              <w:t>I</w:t>
            </w:r>
          </w:p>
        </w:tc>
      </w:tr>
    </w:tbl>
    <w:p w14:paraId="3485C863" w14:textId="77777777" w:rsidR="009318D7" w:rsidRPr="009318D7" w:rsidRDefault="009318D7" w:rsidP="003E5B0C">
      <w:pPr>
        <w:pStyle w:val="Note"/>
      </w:pPr>
      <w:r w:rsidRPr="009318D7">
        <w:t>Definitions of rating scale:</w:t>
      </w:r>
      <w:r w:rsidRPr="009318D7">
        <w:tab/>
      </w:r>
    </w:p>
    <w:p w14:paraId="0B655D80" w14:textId="77777777" w:rsidR="009318D7" w:rsidRPr="009318D7" w:rsidRDefault="009318D7" w:rsidP="003E5B0C">
      <w:pPr>
        <w:pStyle w:val="Note"/>
      </w:pPr>
      <w:r w:rsidRPr="009318D7">
        <w:t>Satisfactory (4, 5 and 6)</w:t>
      </w:r>
    </w:p>
    <w:p w14:paraId="4AC0C1AE" w14:textId="77777777" w:rsidR="009318D7" w:rsidRPr="009318D7" w:rsidRDefault="009318D7" w:rsidP="003E5B0C">
      <w:pPr>
        <w:pStyle w:val="Note"/>
      </w:pPr>
      <w:r w:rsidRPr="00F740D8">
        <w:rPr>
          <w:color w:val="92D050"/>
        </w:rPr>
        <w:sym w:font="Webdings" w:char="F067"/>
      </w:r>
      <w:r w:rsidRPr="00F740D8">
        <w:rPr>
          <w:color w:val="92D050"/>
        </w:rPr>
        <w:t xml:space="preserve"> </w:t>
      </w:r>
      <w:r w:rsidRPr="009318D7">
        <w:t>= 6 = Very high quality</w:t>
      </w:r>
    </w:p>
    <w:p w14:paraId="5FD3034E" w14:textId="77777777" w:rsidR="009318D7" w:rsidRPr="009318D7" w:rsidRDefault="009318D7" w:rsidP="003E5B0C">
      <w:pPr>
        <w:pStyle w:val="Note"/>
      </w:pPr>
      <w:r w:rsidRPr="00F740D8">
        <w:rPr>
          <w:color w:val="92D050"/>
        </w:rPr>
        <w:sym w:font="Webdings" w:char="F067"/>
      </w:r>
      <w:r w:rsidRPr="00F740D8">
        <w:rPr>
          <w:color w:val="92D050"/>
        </w:rPr>
        <w:t xml:space="preserve"> </w:t>
      </w:r>
      <w:r w:rsidRPr="009318D7">
        <w:t>= 5 = Good quality</w:t>
      </w:r>
    </w:p>
    <w:p w14:paraId="3D32B209" w14:textId="77777777" w:rsidR="009318D7" w:rsidRPr="009318D7" w:rsidRDefault="009318D7" w:rsidP="003E5B0C">
      <w:pPr>
        <w:pStyle w:val="Note"/>
      </w:pPr>
      <w:r w:rsidRPr="009318D7">
        <w:rPr>
          <w:color w:val="FFFF00"/>
        </w:rPr>
        <w:sym w:font="Webdings" w:char="F067"/>
      </w:r>
      <w:r w:rsidRPr="009318D7">
        <w:t xml:space="preserve"> = 4 = Adequate quality, needs some work</w:t>
      </w:r>
      <w:r>
        <w:t xml:space="preserve"> </w:t>
      </w:r>
    </w:p>
    <w:p w14:paraId="5CE4CFEB" w14:textId="77777777" w:rsidR="009318D7" w:rsidRPr="009318D7" w:rsidRDefault="009318D7" w:rsidP="003E5B0C">
      <w:pPr>
        <w:pStyle w:val="Note"/>
      </w:pPr>
      <w:r w:rsidRPr="009318D7">
        <w:t>Less than satisfactory (1, 2 and 3)</w:t>
      </w:r>
    </w:p>
    <w:p w14:paraId="5109639B" w14:textId="77777777" w:rsidR="009318D7" w:rsidRPr="009318D7" w:rsidRDefault="009318D7" w:rsidP="003E5B0C">
      <w:pPr>
        <w:pStyle w:val="Note"/>
      </w:pPr>
      <w:r w:rsidRPr="009318D7">
        <w:rPr>
          <w:color w:val="F79646"/>
        </w:rPr>
        <w:sym w:font="Webdings" w:char="F067"/>
      </w:r>
      <w:r w:rsidRPr="009318D7">
        <w:t xml:space="preserve"> = 3 = Less than adequate quality; needs significant work</w:t>
      </w:r>
    </w:p>
    <w:p w14:paraId="703F0719" w14:textId="77777777" w:rsidR="009318D7" w:rsidRPr="009318D7" w:rsidRDefault="009318D7" w:rsidP="003E5B0C">
      <w:pPr>
        <w:pStyle w:val="Note"/>
      </w:pPr>
      <w:r w:rsidRPr="009318D7">
        <w:rPr>
          <w:color w:val="FF0000"/>
        </w:rPr>
        <w:sym w:font="Webdings" w:char="F067"/>
      </w:r>
      <w:r w:rsidRPr="009318D7">
        <w:t xml:space="preserve"> = 2 = Poor quality; needs major work to improve</w:t>
      </w:r>
    </w:p>
    <w:p w14:paraId="3D004976" w14:textId="77777777" w:rsidR="009318D7" w:rsidRPr="009318D7" w:rsidRDefault="009318D7" w:rsidP="003E5B0C">
      <w:pPr>
        <w:pStyle w:val="Note"/>
      </w:pPr>
      <w:r w:rsidRPr="009318D7">
        <w:rPr>
          <w:color w:val="FF0000"/>
        </w:rPr>
        <w:sym w:font="Webdings" w:char="F067"/>
      </w:r>
      <w:r w:rsidRPr="009318D7">
        <w:t xml:space="preserve"> = 1 = Very poor quality; needs major overhaul</w:t>
      </w:r>
    </w:p>
    <w:p w14:paraId="4F0F059D" w14:textId="77777777" w:rsidR="009318D7" w:rsidRPr="009318D7" w:rsidRDefault="009318D7" w:rsidP="003E5B0C">
      <w:pPr>
        <w:pStyle w:val="Note"/>
      </w:pPr>
    </w:p>
    <w:p w14:paraId="0E573865" w14:textId="77777777" w:rsidR="009318D7" w:rsidRPr="009318D7" w:rsidRDefault="009318D7" w:rsidP="003E5B0C">
      <w:pPr>
        <w:pStyle w:val="Note"/>
      </w:pPr>
      <w:r w:rsidRPr="009318D7">
        <w:t>Risk Management scale:</w:t>
      </w:r>
    </w:p>
    <w:p w14:paraId="431B44CC" w14:textId="4E317D67" w:rsidR="00505F90" w:rsidRDefault="009318D7" w:rsidP="003E5B0C">
      <w:pPr>
        <w:pStyle w:val="Note"/>
      </w:pPr>
      <w:r w:rsidRPr="00F740D8">
        <w:rPr>
          <w:color w:val="92D050"/>
        </w:rPr>
        <w:sym w:font="Webdings" w:char="F067"/>
      </w:r>
      <w:r w:rsidR="00F90F57">
        <w:rPr>
          <w:color w:val="92D050"/>
        </w:rPr>
        <w:t xml:space="preserve"> </w:t>
      </w:r>
      <w:r w:rsidRPr="009318D7">
        <w:t xml:space="preserve">Mature (M). Indicates the initiative manager conducts risk discussions on at least a monthly basis with all </w:t>
      </w:r>
    </w:p>
    <w:p w14:paraId="082B123E" w14:textId="3AB53656" w:rsidR="009318D7" w:rsidRPr="009318D7" w:rsidRDefault="00F90F57" w:rsidP="003E5B0C">
      <w:pPr>
        <w:pStyle w:val="Note"/>
      </w:pPr>
      <w:r>
        <w:t xml:space="preserve"> </w:t>
      </w:r>
      <w:proofErr w:type="gramStart"/>
      <w:r w:rsidR="009318D7" w:rsidRPr="009318D7">
        <w:t>stakeholders</w:t>
      </w:r>
      <w:proofErr w:type="gramEnd"/>
      <w:r w:rsidR="009318D7" w:rsidRPr="009318D7">
        <w:t xml:space="preserve"> and updates the risk registry quarterly. </w:t>
      </w:r>
    </w:p>
    <w:p w14:paraId="7767769D" w14:textId="06B0E5BC" w:rsidR="00505F90" w:rsidRDefault="009318D7" w:rsidP="003E5B0C">
      <w:pPr>
        <w:pStyle w:val="Note"/>
      </w:pPr>
      <w:r w:rsidRPr="009318D7">
        <w:rPr>
          <w:color w:val="F79646"/>
        </w:rPr>
        <w:sym w:font="Webdings" w:char="F067"/>
      </w:r>
      <w:r w:rsidR="00F90F57">
        <w:t xml:space="preserve"> </w:t>
      </w:r>
      <w:r w:rsidRPr="009318D7">
        <w:t xml:space="preserve">Intermediate (I). Indicates the initiative manager conducts ad-hoc risk discussion and updates the risk register </w:t>
      </w:r>
    </w:p>
    <w:p w14:paraId="573E57AD" w14:textId="6E979D94" w:rsidR="009318D7" w:rsidRPr="009318D7" w:rsidRDefault="00F90F57" w:rsidP="003E5B0C">
      <w:pPr>
        <w:pStyle w:val="Note"/>
      </w:pPr>
      <w:r>
        <w:t xml:space="preserve"> </w:t>
      </w:r>
      <w:proofErr w:type="gramStart"/>
      <w:r w:rsidR="009318D7" w:rsidRPr="009318D7">
        <w:t>occasionally</w:t>
      </w:r>
      <w:proofErr w:type="gramEnd"/>
      <w:r w:rsidR="009318D7" w:rsidRPr="009318D7">
        <w:t xml:space="preserve">. </w:t>
      </w:r>
    </w:p>
    <w:p w14:paraId="0DB65E65" w14:textId="60EB02BA" w:rsidR="00505F90" w:rsidRDefault="009318D7" w:rsidP="003E5B0C">
      <w:pPr>
        <w:pStyle w:val="Note"/>
      </w:pPr>
      <w:r w:rsidRPr="009318D7">
        <w:rPr>
          <w:color w:val="FF0000"/>
        </w:rPr>
        <w:sym w:font="Webdings" w:char="F067"/>
      </w:r>
      <w:r w:rsidR="00F90F57">
        <w:t xml:space="preserve"> </w:t>
      </w:r>
      <w:proofErr w:type="gramStart"/>
      <w:r w:rsidRPr="009318D7">
        <w:t>Basic (B).</w:t>
      </w:r>
      <w:proofErr w:type="gramEnd"/>
      <w:r w:rsidRPr="009318D7">
        <w:t xml:space="preserve"> Indicates there are limited or few risk discussions and the risk register has not been updated in the past 12 </w:t>
      </w:r>
    </w:p>
    <w:p w14:paraId="284FF44D" w14:textId="12B80697" w:rsidR="009318D7" w:rsidRPr="009318D7" w:rsidRDefault="00F90F57" w:rsidP="003E5B0C">
      <w:pPr>
        <w:pStyle w:val="Note"/>
      </w:pPr>
      <w:r>
        <w:t xml:space="preserve"> </w:t>
      </w:r>
      <w:proofErr w:type="gramStart"/>
      <w:r w:rsidR="009318D7" w:rsidRPr="009318D7">
        <w:t>months</w:t>
      </w:r>
      <w:proofErr w:type="gramEnd"/>
      <w:r w:rsidR="009318D7" w:rsidRPr="009318D7">
        <w:t>.</w:t>
      </w:r>
    </w:p>
    <w:p w14:paraId="1E5BFCE0" w14:textId="77777777" w:rsidR="009318D7" w:rsidRDefault="009318D7" w:rsidP="009318D7"/>
    <w:p w14:paraId="4A00DB1E" w14:textId="77777777" w:rsidR="00071B95" w:rsidRDefault="00071B95" w:rsidP="00071B95">
      <w:pPr>
        <w:sectPr w:rsidR="00071B95" w:rsidSect="004614F1">
          <w:headerReference w:type="default" r:id="rId17"/>
          <w:footerReference w:type="default" r:id="rId18"/>
          <w:headerReference w:type="first" r:id="rId19"/>
          <w:footerReference w:type="first" r:id="rId20"/>
          <w:pgSz w:w="11906" w:h="16838" w:code="9"/>
          <w:pgMar w:top="2268" w:right="1701" w:bottom="907" w:left="1871" w:header="709" w:footer="454" w:gutter="0"/>
          <w:cols w:space="708"/>
          <w:docGrid w:linePitch="360"/>
        </w:sectPr>
      </w:pPr>
    </w:p>
    <w:p w14:paraId="1DE2DB27" w14:textId="77777777" w:rsidR="000D45DD" w:rsidRPr="00367FC4" w:rsidRDefault="000D45DD" w:rsidP="00367FC4">
      <w:pPr>
        <w:pStyle w:val="Heading1"/>
      </w:pPr>
      <w:r w:rsidRPr="00367FC4">
        <w:lastRenderedPageBreak/>
        <w:t>Annex C</w:t>
      </w:r>
    </w:p>
    <w:p w14:paraId="22FE2510" w14:textId="6022BD1E" w:rsidR="000D45DD" w:rsidRPr="00367FC4" w:rsidRDefault="000D45DD" w:rsidP="00367FC4">
      <w:pPr>
        <w:pStyle w:val="Heading2"/>
      </w:pPr>
      <w:r w:rsidRPr="00367FC4">
        <w:t xml:space="preserve">Evaluation, </w:t>
      </w:r>
      <w:r w:rsidR="00D72F61" w:rsidRPr="00367FC4">
        <w:t>review and other analytical work pipeline planning</w:t>
      </w:r>
    </w:p>
    <w:p w14:paraId="0AE08BA4" w14:textId="017908C7" w:rsidR="000D45DD" w:rsidRPr="00367FC4" w:rsidRDefault="000D45DD" w:rsidP="00367FC4">
      <w:pPr>
        <w:pStyle w:val="Caption"/>
      </w:pPr>
      <w:r w:rsidRPr="00367FC4">
        <w:t xml:space="preserve">Table 1: List of </w:t>
      </w:r>
      <w:r w:rsidR="00D72F61" w:rsidRPr="00367FC4">
        <w:t xml:space="preserve">evaluations, reviews and other analytical work </w:t>
      </w:r>
      <w:r w:rsidRPr="00367FC4">
        <w:t>completed</w:t>
      </w:r>
      <w:r w:rsidRPr="00C645CE">
        <w:rPr>
          <w:vertAlign w:val="superscript"/>
        </w:rPr>
        <w:footnoteReference w:id="53"/>
      </w:r>
      <w:r w:rsidRPr="00367FC4">
        <w:t xml:space="preserve"> </w:t>
      </w:r>
      <w:r w:rsidR="00D72F61" w:rsidRPr="00367FC4">
        <w:t>from</w:t>
      </w:r>
      <w:r w:rsidRPr="00367FC4">
        <w:t xml:space="preserve"> Jan</w:t>
      </w:r>
      <w:r w:rsidR="00D72F61" w:rsidRPr="00367FC4">
        <w:t>uary</w:t>
      </w:r>
      <w:r w:rsidRPr="00367FC4">
        <w:t xml:space="preserve"> 2012 </w:t>
      </w:r>
      <w:r w:rsidR="00D72F61" w:rsidRPr="00367FC4">
        <w:t xml:space="preserve">to </w:t>
      </w:r>
      <w:r w:rsidRPr="00367FC4">
        <w:t>June 2013</w:t>
      </w:r>
    </w:p>
    <w:tbl>
      <w:tblPr>
        <w:tblStyle w:val="APPR"/>
        <w:tblW w:w="5000" w:type="pct"/>
        <w:tblLook w:val="04A0" w:firstRow="1" w:lastRow="0" w:firstColumn="1" w:lastColumn="0" w:noHBand="0" w:noVBand="1"/>
      </w:tblPr>
      <w:tblGrid>
        <w:gridCol w:w="3087"/>
        <w:gridCol w:w="1549"/>
        <w:gridCol w:w="2140"/>
        <w:gridCol w:w="1689"/>
        <w:gridCol w:w="2025"/>
        <w:gridCol w:w="1840"/>
        <w:gridCol w:w="1605"/>
      </w:tblGrid>
      <w:tr w:rsidR="000D45DD" w:rsidRPr="00071B95" w14:paraId="7A325552"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6359C83A" w14:textId="1B52648E" w:rsidR="000D45DD" w:rsidRPr="00367FC4" w:rsidRDefault="000D45DD" w:rsidP="00367FC4">
            <w:pPr>
              <w:pStyle w:val="TableTextColumnHeading"/>
              <w:rPr>
                <w:b/>
              </w:rPr>
            </w:pPr>
            <w:r w:rsidRPr="00367FC4">
              <w:rPr>
                <w:b/>
              </w:rPr>
              <w:t xml:space="preserve">Name of </w:t>
            </w:r>
            <w:r w:rsidR="00D72F61" w:rsidRPr="00367FC4">
              <w:rPr>
                <w:b/>
              </w:rPr>
              <w:t>initiative</w:t>
            </w:r>
          </w:p>
        </w:tc>
        <w:tc>
          <w:tcPr>
            <w:tcW w:w="1463" w:type="dxa"/>
          </w:tcPr>
          <w:p w14:paraId="06633503" w14:textId="77777777" w:rsidR="000D45DD" w:rsidRPr="00367FC4" w:rsidRDefault="000D45DD" w:rsidP="00367FC4">
            <w:pPr>
              <w:pStyle w:val="TableTextColumnHeading"/>
              <w:rPr>
                <w:b/>
              </w:rPr>
            </w:pPr>
            <w:proofErr w:type="spellStart"/>
            <w:r w:rsidRPr="00367FC4">
              <w:rPr>
                <w:b/>
              </w:rPr>
              <w:t>Aidworks</w:t>
            </w:r>
            <w:proofErr w:type="spellEnd"/>
            <w:r w:rsidRPr="00367FC4">
              <w:rPr>
                <w:b/>
              </w:rPr>
              <w:t xml:space="preserve"> number</w:t>
            </w:r>
          </w:p>
        </w:tc>
        <w:tc>
          <w:tcPr>
            <w:tcW w:w="2031" w:type="dxa"/>
          </w:tcPr>
          <w:p w14:paraId="26F562B2" w14:textId="77777777" w:rsidR="000D45DD" w:rsidRPr="00367FC4" w:rsidRDefault="000D45DD" w:rsidP="00367FC4">
            <w:pPr>
              <w:pStyle w:val="TableTextColumnHeading"/>
              <w:rPr>
                <w:b/>
              </w:rPr>
            </w:pPr>
            <w:r w:rsidRPr="00367FC4">
              <w:rPr>
                <w:b/>
              </w:rPr>
              <w:t>Type of evaluation</w:t>
            </w:r>
            <w:r w:rsidRPr="00C645CE">
              <w:rPr>
                <w:sz w:val="20"/>
                <w:vertAlign w:val="superscript"/>
              </w:rPr>
              <w:footnoteReference w:id="54"/>
            </w:r>
          </w:p>
        </w:tc>
        <w:tc>
          <w:tcPr>
            <w:tcW w:w="1598" w:type="dxa"/>
          </w:tcPr>
          <w:p w14:paraId="2ED81FC1" w14:textId="42E86026" w:rsidR="000D45DD" w:rsidRPr="00367FC4" w:rsidRDefault="000D45DD" w:rsidP="00367FC4">
            <w:pPr>
              <w:pStyle w:val="TableTextColumnHeading"/>
              <w:rPr>
                <w:b/>
              </w:rPr>
            </w:pPr>
            <w:r w:rsidRPr="00367FC4">
              <w:rPr>
                <w:b/>
              </w:rPr>
              <w:t xml:space="preserve">Date </w:t>
            </w:r>
            <w:r w:rsidR="00D72F61" w:rsidRPr="00367FC4">
              <w:rPr>
                <w:b/>
              </w:rPr>
              <w:t xml:space="preserve">evaluation </w:t>
            </w:r>
            <w:r w:rsidRPr="00367FC4">
              <w:rPr>
                <w:b/>
              </w:rPr>
              <w:t>report received</w:t>
            </w:r>
          </w:p>
        </w:tc>
        <w:tc>
          <w:tcPr>
            <w:tcW w:w="1921" w:type="dxa"/>
          </w:tcPr>
          <w:p w14:paraId="344707D4" w14:textId="65F8FB9E" w:rsidR="000D45DD" w:rsidRPr="00367FC4" w:rsidRDefault="000D45DD" w:rsidP="00367FC4">
            <w:pPr>
              <w:pStyle w:val="TableTextColumnHeading"/>
              <w:rPr>
                <w:b/>
              </w:rPr>
            </w:pPr>
            <w:r w:rsidRPr="00367FC4">
              <w:rPr>
                <w:b/>
              </w:rPr>
              <w:t xml:space="preserve">Date </w:t>
            </w:r>
            <w:r w:rsidR="00D72F61" w:rsidRPr="00367FC4">
              <w:rPr>
                <w:b/>
              </w:rPr>
              <w:t xml:space="preserve">evaluation </w:t>
            </w:r>
            <w:r w:rsidRPr="00367FC4">
              <w:rPr>
                <w:b/>
              </w:rPr>
              <w:t xml:space="preserve">report </w:t>
            </w:r>
            <w:r w:rsidR="00D72F61" w:rsidRPr="00367FC4">
              <w:rPr>
                <w:b/>
              </w:rPr>
              <w:t xml:space="preserve">uploaded </w:t>
            </w:r>
            <w:r w:rsidRPr="00367FC4">
              <w:rPr>
                <w:b/>
              </w:rPr>
              <w:t xml:space="preserve">into </w:t>
            </w:r>
            <w:proofErr w:type="spellStart"/>
            <w:r w:rsidRPr="00367FC4">
              <w:rPr>
                <w:b/>
              </w:rPr>
              <w:t>Aidworks</w:t>
            </w:r>
            <w:proofErr w:type="spellEnd"/>
          </w:p>
        </w:tc>
        <w:tc>
          <w:tcPr>
            <w:tcW w:w="1743" w:type="dxa"/>
          </w:tcPr>
          <w:p w14:paraId="24042C41" w14:textId="1BD9C36D" w:rsidR="000D45DD" w:rsidRPr="00367FC4" w:rsidRDefault="000D45DD" w:rsidP="00367FC4">
            <w:pPr>
              <w:pStyle w:val="TableTextColumnHeading"/>
              <w:rPr>
                <w:b/>
              </w:rPr>
            </w:pPr>
            <w:r w:rsidRPr="00367FC4">
              <w:rPr>
                <w:b/>
              </w:rPr>
              <w:t xml:space="preserve">Date </w:t>
            </w:r>
            <w:r w:rsidR="00D72F61" w:rsidRPr="00367FC4">
              <w:rPr>
                <w:b/>
              </w:rPr>
              <w:t xml:space="preserve">management </w:t>
            </w:r>
            <w:r w:rsidRPr="00367FC4">
              <w:rPr>
                <w:b/>
              </w:rPr>
              <w:t xml:space="preserve">response uploaded into </w:t>
            </w:r>
            <w:proofErr w:type="spellStart"/>
            <w:r w:rsidRPr="00367FC4">
              <w:rPr>
                <w:b/>
              </w:rPr>
              <w:t>Aidworks</w:t>
            </w:r>
            <w:proofErr w:type="spellEnd"/>
          </w:p>
        </w:tc>
        <w:tc>
          <w:tcPr>
            <w:tcW w:w="1503" w:type="dxa"/>
          </w:tcPr>
          <w:p w14:paraId="4F228417" w14:textId="77777777" w:rsidR="000D45DD" w:rsidRPr="00367FC4" w:rsidRDefault="000D45DD" w:rsidP="00367FC4">
            <w:pPr>
              <w:pStyle w:val="TableTextColumnHeading"/>
              <w:rPr>
                <w:b/>
              </w:rPr>
            </w:pPr>
            <w:r w:rsidRPr="00367FC4">
              <w:rPr>
                <w:b/>
              </w:rPr>
              <w:t>Published on website</w:t>
            </w:r>
          </w:p>
        </w:tc>
      </w:tr>
      <w:tr w:rsidR="000D45DD" w:rsidRPr="00071B95" w14:paraId="2BECB9C4"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78002B5D" w14:textId="77777777" w:rsidR="000D45DD" w:rsidRPr="00367FC4" w:rsidRDefault="000D45DD" w:rsidP="00367FC4">
            <w:pPr>
              <w:pStyle w:val="TableTextEntries"/>
              <w:rPr>
                <w:b w:val="0"/>
              </w:rPr>
            </w:pPr>
            <w:r w:rsidRPr="00367FC4">
              <w:rPr>
                <w:b w:val="0"/>
              </w:rPr>
              <w:t xml:space="preserve">Lao- Australia Basic Education Project </w:t>
            </w:r>
          </w:p>
        </w:tc>
        <w:tc>
          <w:tcPr>
            <w:tcW w:w="1463" w:type="dxa"/>
          </w:tcPr>
          <w:p w14:paraId="398C834D" w14:textId="77777777" w:rsidR="000D45DD" w:rsidRPr="00367FC4" w:rsidRDefault="000D45DD" w:rsidP="00367FC4">
            <w:pPr>
              <w:pStyle w:val="TableTextEntries"/>
              <w:rPr>
                <w:b w:val="0"/>
              </w:rPr>
            </w:pPr>
            <w:r w:rsidRPr="00367FC4">
              <w:rPr>
                <w:b w:val="0"/>
              </w:rPr>
              <w:t>INH976</w:t>
            </w:r>
          </w:p>
        </w:tc>
        <w:tc>
          <w:tcPr>
            <w:tcW w:w="2031" w:type="dxa"/>
          </w:tcPr>
          <w:p w14:paraId="5E95E5D5" w14:textId="6C19BA0C" w:rsidR="000D45DD" w:rsidRPr="00367FC4" w:rsidRDefault="000D45DD" w:rsidP="00367FC4">
            <w:pPr>
              <w:pStyle w:val="TableTextEntries"/>
              <w:rPr>
                <w:b w:val="0"/>
              </w:rPr>
            </w:pPr>
            <w:r w:rsidRPr="00367FC4">
              <w:rPr>
                <w:b w:val="0"/>
              </w:rPr>
              <w:t xml:space="preserve">Independent </w:t>
            </w:r>
            <w:r w:rsidR="00D72F61" w:rsidRPr="00367FC4">
              <w:rPr>
                <w:b w:val="0"/>
              </w:rPr>
              <w:t>outcome &amp; sustainability e</w:t>
            </w:r>
            <w:r w:rsidRPr="00367FC4">
              <w:rPr>
                <w:b w:val="0"/>
              </w:rPr>
              <w:t xml:space="preserve">valuation </w:t>
            </w:r>
          </w:p>
        </w:tc>
        <w:tc>
          <w:tcPr>
            <w:tcW w:w="1598" w:type="dxa"/>
          </w:tcPr>
          <w:p w14:paraId="379EF372" w14:textId="1A30FD67" w:rsidR="000D45DD" w:rsidRPr="00367FC4" w:rsidRDefault="000D45DD" w:rsidP="00367FC4">
            <w:pPr>
              <w:pStyle w:val="TableTextEntries"/>
              <w:rPr>
                <w:b w:val="0"/>
              </w:rPr>
            </w:pPr>
            <w:r w:rsidRPr="00367FC4">
              <w:rPr>
                <w:b w:val="0"/>
              </w:rPr>
              <w:t>Feb</w:t>
            </w:r>
            <w:r w:rsidR="00D72F61" w:rsidRPr="00367FC4">
              <w:rPr>
                <w:b w:val="0"/>
              </w:rPr>
              <w:t>ruary</w:t>
            </w:r>
            <w:r w:rsidRPr="00367FC4">
              <w:rPr>
                <w:b w:val="0"/>
              </w:rPr>
              <w:t xml:space="preserve"> 2013</w:t>
            </w:r>
          </w:p>
        </w:tc>
        <w:tc>
          <w:tcPr>
            <w:tcW w:w="1921" w:type="dxa"/>
          </w:tcPr>
          <w:p w14:paraId="67EE38CC" w14:textId="0C2AFD13" w:rsidR="000D45DD" w:rsidRPr="00367FC4" w:rsidRDefault="000D45DD" w:rsidP="00367FC4">
            <w:pPr>
              <w:pStyle w:val="TableTextEntries"/>
              <w:rPr>
                <w:b w:val="0"/>
              </w:rPr>
            </w:pPr>
            <w:r w:rsidRPr="00367FC4">
              <w:rPr>
                <w:b w:val="0"/>
              </w:rPr>
              <w:t>26 February</w:t>
            </w:r>
            <w:r w:rsidR="00B90EB9" w:rsidRPr="00367FC4">
              <w:rPr>
                <w:b w:val="0"/>
              </w:rPr>
              <w:t xml:space="preserve"> </w:t>
            </w:r>
            <w:r w:rsidRPr="00367FC4">
              <w:rPr>
                <w:b w:val="0"/>
              </w:rPr>
              <w:t>2013</w:t>
            </w:r>
          </w:p>
        </w:tc>
        <w:tc>
          <w:tcPr>
            <w:tcW w:w="1743" w:type="dxa"/>
          </w:tcPr>
          <w:p w14:paraId="3905E8E4" w14:textId="77777777" w:rsidR="000D45DD" w:rsidRPr="00367FC4" w:rsidRDefault="000D45DD" w:rsidP="00367FC4">
            <w:pPr>
              <w:pStyle w:val="TableTextEntries"/>
              <w:rPr>
                <w:b w:val="0"/>
              </w:rPr>
            </w:pPr>
            <w:r w:rsidRPr="00367FC4">
              <w:rPr>
                <w:b w:val="0"/>
              </w:rPr>
              <w:t>N/A</w:t>
            </w:r>
          </w:p>
        </w:tc>
        <w:tc>
          <w:tcPr>
            <w:tcW w:w="1503" w:type="dxa"/>
          </w:tcPr>
          <w:p w14:paraId="32C43331" w14:textId="77777777" w:rsidR="000D45DD" w:rsidRPr="00367FC4" w:rsidRDefault="000D45DD" w:rsidP="00367FC4">
            <w:pPr>
              <w:pStyle w:val="TableTextEntries"/>
              <w:rPr>
                <w:b w:val="0"/>
              </w:rPr>
            </w:pPr>
            <w:r w:rsidRPr="00367FC4">
              <w:rPr>
                <w:b w:val="0"/>
              </w:rPr>
              <w:t>No</w:t>
            </w:r>
          </w:p>
        </w:tc>
      </w:tr>
      <w:tr w:rsidR="000D45DD" w:rsidRPr="00071B95" w14:paraId="442ABA88"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339F5B50" w14:textId="77777777" w:rsidR="000D45DD" w:rsidRPr="00367FC4" w:rsidRDefault="000D45DD" w:rsidP="00367FC4">
            <w:pPr>
              <w:pStyle w:val="TableTextEntries"/>
              <w:rPr>
                <w:b w:val="0"/>
              </w:rPr>
            </w:pPr>
            <w:r w:rsidRPr="00367FC4">
              <w:rPr>
                <w:b w:val="0"/>
              </w:rPr>
              <w:t>Education For All: Fast Track Initiative</w:t>
            </w:r>
          </w:p>
        </w:tc>
        <w:tc>
          <w:tcPr>
            <w:tcW w:w="1463" w:type="dxa"/>
          </w:tcPr>
          <w:p w14:paraId="037ECE01" w14:textId="77777777" w:rsidR="000D45DD" w:rsidRPr="00367FC4" w:rsidRDefault="000D45DD" w:rsidP="00367FC4">
            <w:pPr>
              <w:pStyle w:val="TableTextEntries"/>
              <w:rPr>
                <w:b w:val="0"/>
              </w:rPr>
            </w:pPr>
            <w:r w:rsidRPr="00367FC4">
              <w:rPr>
                <w:b w:val="0"/>
              </w:rPr>
              <w:t>INJ396</w:t>
            </w:r>
          </w:p>
        </w:tc>
        <w:tc>
          <w:tcPr>
            <w:tcW w:w="2031" w:type="dxa"/>
          </w:tcPr>
          <w:p w14:paraId="32B1A9D9" w14:textId="6DD8A40E" w:rsidR="000D45DD" w:rsidRPr="00367FC4" w:rsidRDefault="000D45DD" w:rsidP="00367FC4">
            <w:pPr>
              <w:pStyle w:val="TableTextEntries"/>
              <w:rPr>
                <w:b w:val="0"/>
              </w:rPr>
            </w:pPr>
            <w:r w:rsidRPr="00367FC4">
              <w:rPr>
                <w:b w:val="0"/>
              </w:rPr>
              <w:t xml:space="preserve">Joint </w:t>
            </w:r>
            <w:r w:rsidR="00D72F61" w:rsidRPr="00367FC4">
              <w:rPr>
                <w:b w:val="0"/>
              </w:rPr>
              <w:t>mid</w:t>
            </w:r>
            <w:r w:rsidR="00FC39B1">
              <w:rPr>
                <w:b w:val="0"/>
              </w:rPr>
              <w:t>-</w:t>
            </w:r>
            <w:r w:rsidR="00D72F61" w:rsidRPr="00367FC4">
              <w:rPr>
                <w:b w:val="0"/>
              </w:rPr>
              <w:t xml:space="preserve">term review </w:t>
            </w:r>
          </w:p>
        </w:tc>
        <w:tc>
          <w:tcPr>
            <w:tcW w:w="1598" w:type="dxa"/>
          </w:tcPr>
          <w:p w14:paraId="64CDA71F" w14:textId="77777777" w:rsidR="000D45DD" w:rsidRPr="00367FC4" w:rsidRDefault="000D45DD" w:rsidP="00367FC4">
            <w:pPr>
              <w:pStyle w:val="TableTextEntries"/>
              <w:rPr>
                <w:b w:val="0"/>
              </w:rPr>
            </w:pPr>
            <w:r w:rsidRPr="00367FC4">
              <w:rPr>
                <w:b w:val="0"/>
              </w:rPr>
              <w:t>October 2012</w:t>
            </w:r>
          </w:p>
        </w:tc>
        <w:tc>
          <w:tcPr>
            <w:tcW w:w="1921" w:type="dxa"/>
          </w:tcPr>
          <w:p w14:paraId="4091406E" w14:textId="77777777" w:rsidR="000D45DD" w:rsidRPr="00367FC4" w:rsidRDefault="000D45DD" w:rsidP="00367FC4">
            <w:pPr>
              <w:pStyle w:val="TableTextEntries"/>
              <w:rPr>
                <w:b w:val="0"/>
              </w:rPr>
            </w:pPr>
            <w:r w:rsidRPr="00367FC4">
              <w:rPr>
                <w:b w:val="0"/>
              </w:rPr>
              <w:t>28 May 2013</w:t>
            </w:r>
          </w:p>
        </w:tc>
        <w:tc>
          <w:tcPr>
            <w:tcW w:w="1743" w:type="dxa"/>
          </w:tcPr>
          <w:p w14:paraId="1F619295" w14:textId="77777777" w:rsidR="000D45DD" w:rsidRPr="00367FC4" w:rsidRDefault="000D45DD" w:rsidP="00367FC4">
            <w:pPr>
              <w:pStyle w:val="TableTextEntries"/>
              <w:rPr>
                <w:b w:val="0"/>
              </w:rPr>
            </w:pPr>
            <w:r w:rsidRPr="00367FC4">
              <w:rPr>
                <w:b w:val="0"/>
              </w:rPr>
              <w:t>N/A</w:t>
            </w:r>
          </w:p>
        </w:tc>
        <w:tc>
          <w:tcPr>
            <w:tcW w:w="1503" w:type="dxa"/>
          </w:tcPr>
          <w:p w14:paraId="7D4110B4" w14:textId="77777777" w:rsidR="000D45DD" w:rsidRPr="00367FC4" w:rsidRDefault="000D45DD" w:rsidP="00367FC4">
            <w:pPr>
              <w:pStyle w:val="TableTextEntries"/>
              <w:rPr>
                <w:b w:val="0"/>
              </w:rPr>
            </w:pPr>
            <w:r w:rsidRPr="00367FC4">
              <w:rPr>
                <w:b w:val="0"/>
              </w:rPr>
              <w:t>No</w:t>
            </w:r>
          </w:p>
        </w:tc>
      </w:tr>
      <w:tr w:rsidR="000D45DD" w:rsidRPr="00071B95" w14:paraId="5A12B980"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3642D809" w14:textId="77777777" w:rsidR="000D45DD" w:rsidRPr="00367FC4" w:rsidRDefault="000D45DD" w:rsidP="00367FC4">
            <w:pPr>
              <w:pStyle w:val="TableTextEntries"/>
              <w:rPr>
                <w:b w:val="0"/>
              </w:rPr>
            </w:pPr>
            <w:r w:rsidRPr="00367FC4">
              <w:rPr>
                <w:b w:val="0"/>
              </w:rPr>
              <w:t>Situational Analysis on Disability Inclusive on Education</w:t>
            </w:r>
          </w:p>
        </w:tc>
        <w:tc>
          <w:tcPr>
            <w:tcW w:w="1463" w:type="dxa"/>
          </w:tcPr>
          <w:p w14:paraId="3D66A8F0" w14:textId="77777777" w:rsidR="000D45DD" w:rsidRPr="00367FC4" w:rsidRDefault="000D45DD" w:rsidP="00367FC4">
            <w:pPr>
              <w:pStyle w:val="TableTextEntries"/>
              <w:rPr>
                <w:b w:val="0"/>
              </w:rPr>
            </w:pPr>
            <w:r w:rsidRPr="00367FC4">
              <w:rPr>
                <w:b w:val="0"/>
              </w:rPr>
              <w:t>N/A</w:t>
            </w:r>
          </w:p>
        </w:tc>
        <w:tc>
          <w:tcPr>
            <w:tcW w:w="2031" w:type="dxa"/>
          </w:tcPr>
          <w:p w14:paraId="266BC699" w14:textId="77777777" w:rsidR="000D45DD" w:rsidRPr="00367FC4" w:rsidRDefault="000D45DD" w:rsidP="00367FC4">
            <w:pPr>
              <w:pStyle w:val="TableTextEntries"/>
              <w:rPr>
                <w:b w:val="0"/>
              </w:rPr>
            </w:pPr>
            <w:r w:rsidRPr="00367FC4">
              <w:rPr>
                <w:b w:val="0"/>
              </w:rPr>
              <w:t>Thematic study</w:t>
            </w:r>
          </w:p>
        </w:tc>
        <w:tc>
          <w:tcPr>
            <w:tcW w:w="1598" w:type="dxa"/>
          </w:tcPr>
          <w:p w14:paraId="0FAE9308" w14:textId="77777777" w:rsidR="000D45DD" w:rsidRPr="00367FC4" w:rsidRDefault="000D45DD" w:rsidP="00367FC4">
            <w:pPr>
              <w:pStyle w:val="TableTextEntries"/>
              <w:rPr>
                <w:b w:val="0"/>
              </w:rPr>
            </w:pPr>
            <w:r w:rsidRPr="00367FC4">
              <w:rPr>
                <w:b w:val="0"/>
              </w:rPr>
              <w:t>September 2012</w:t>
            </w:r>
          </w:p>
        </w:tc>
        <w:tc>
          <w:tcPr>
            <w:tcW w:w="1921" w:type="dxa"/>
          </w:tcPr>
          <w:p w14:paraId="374B5D45" w14:textId="77777777" w:rsidR="000D45DD" w:rsidRPr="00367FC4" w:rsidRDefault="000D45DD" w:rsidP="00367FC4">
            <w:pPr>
              <w:pStyle w:val="TableTextEntries"/>
              <w:rPr>
                <w:b w:val="0"/>
              </w:rPr>
            </w:pPr>
            <w:r w:rsidRPr="00367FC4">
              <w:rPr>
                <w:b w:val="0"/>
              </w:rPr>
              <w:t>N/A</w:t>
            </w:r>
          </w:p>
        </w:tc>
        <w:tc>
          <w:tcPr>
            <w:tcW w:w="1743" w:type="dxa"/>
          </w:tcPr>
          <w:p w14:paraId="6145DEDB" w14:textId="77777777" w:rsidR="000D45DD" w:rsidRPr="00367FC4" w:rsidRDefault="000D45DD" w:rsidP="00367FC4">
            <w:pPr>
              <w:pStyle w:val="TableTextEntries"/>
              <w:rPr>
                <w:b w:val="0"/>
              </w:rPr>
            </w:pPr>
            <w:r w:rsidRPr="00367FC4">
              <w:rPr>
                <w:b w:val="0"/>
              </w:rPr>
              <w:t>N/A</w:t>
            </w:r>
          </w:p>
        </w:tc>
        <w:tc>
          <w:tcPr>
            <w:tcW w:w="1503" w:type="dxa"/>
          </w:tcPr>
          <w:p w14:paraId="508359A4" w14:textId="77777777" w:rsidR="000D45DD" w:rsidRPr="00367FC4" w:rsidRDefault="000D45DD" w:rsidP="00367FC4">
            <w:pPr>
              <w:pStyle w:val="TableTextEntries"/>
              <w:rPr>
                <w:b w:val="0"/>
              </w:rPr>
            </w:pPr>
            <w:r w:rsidRPr="00367FC4">
              <w:rPr>
                <w:b w:val="0"/>
              </w:rPr>
              <w:t>No</w:t>
            </w:r>
          </w:p>
        </w:tc>
      </w:tr>
      <w:tr w:rsidR="000D45DD" w:rsidRPr="00071B95" w14:paraId="1F63BE5A"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1B6343EF" w14:textId="53F2F57D" w:rsidR="000D45DD" w:rsidRPr="00367FC4" w:rsidRDefault="00FB69E9" w:rsidP="00367FC4">
            <w:pPr>
              <w:pStyle w:val="TableTextEntries"/>
              <w:rPr>
                <w:b w:val="0"/>
              </w:rPr>
            </w:pPr>
            <w:r>
              <w:rPr>
                <w:b w:val="0"/>
              </w:rPr>
              <w:t xml:space="preserve">The aid </w:t>
            </w:r>
            <w:r w:rsidR="00586840">
              <w:rPr>
                <w:b w:val="0"/>
              </w:rPr>
              <w:t>program</w:t>
            </w:r>
            <w:r>
              <w:rPr>
                <w:b w:val="0"/>
              </w:rPr>
              <w:t xml:space="preserve"> </w:t>
            </w:r>
            <w:r w:rsidR="000D45DD" w:rsidRPr="00367FC4">
              <w:rPr>
                <w:b w:val="0"/>
              </w:rPr>
              <w:t>Education Sector Situational Analysis</w:t>
            </w:r>
          </w:p>
          <w:p w14:paraId="4A31F8E5" w14:textId="77777777" w:rsidR="000D45DD" w:rsidRPr="00367FC4" w:rsidRDefault="000D45DD" w:rsidP="00367FC4">
            <w:pPr>
              <w:pStyle w:val="TableTextEntries"/>
              <w:rPr>
                <w:b w:val="0"/>
              </w:rPr>
            </w:pPr>
          </w:p>
        </w:tc>
        <w:tc>
          <w:tcPr>
            <w:tcW w:w="1463" w:type="dxa"/>
          </w:tcPr>
          <w:p w14:paraId="7A26578F" w14:textId="77777777" w:rsidR="000D45DD" w:rsidRPr="00367FC4" w:rsidRDefault="000D45DD" w:rsidP="00367FC4">
            <w:pPr>
              <w:pStyle w:val="TableTextEntries"/>
              <w:rPr>
                <w:b w:val="0"/>
              </w:rPr>
            </w:pPr>
            <w:r w:rsidRPr="00367FC4">
              <w:rPr>
                <w:b w:val="0"/>
              </w:rPr>
              <w:t>N/A</w:t>
            </w:r>
          </w:p>
        </w:tc>
        <w:tc>
          <w:tcPr>
            <w:tcW w:w="2031" w:type="dxa"/>
          </w:tcPr>
          <w:p w14:paraId="2BF9F825" w14:textId="683B7886" w:rsidR="000D45DD" w:rsidRPr="00367FC4" w:rsidRDefault="000D45DD" w:rsidP="00367FC4">
            <w:pPr>
              <w:pStyle w:val="TableTextEntries"/>
              <w:rPr>
                <w:b w:val="0"/>
              </w:rPr>
            </w:pPr>
            <w:r w:rsidRPr="00367FC4">
              <w:rPr>
                <w:b w:val="0"/>
              </w:rPr>
              <w:t xml:space="preserve">Sector </w:t>
            </w:r>
            <w:r w:rsidR="00D72F61" w:rsidRPr="00367FC4">
              <w:rPr>
                <w:b w:val="0"/>
              </w:rPr>
              <w:t>analysis</w:t>
            </w:r>
          </w:p>
        </w:tc>
        <w:tc>
          <w:tcPr>
            <w:tcW w:w="1598" w:type="dxa"/>
          </w:tcPr>
          <w:p w14:paraId="2FB16C33" w14:textId="77777777" w:rsidR="000D45DD" w:rsidRPr="00367FC4" w:rsidRDefault="000D45DD" w:rsidP="00367FC4">
            <w:pPr>
              <w:pStyle w:val="TableTextEntries"/>
              <w:rPr>
                <w:b w:val="0"/>
              </w:rPr>
            </w:pPr>
            <w:r w:rsidRPr="00367FC4">
              <w:rPr>
                <w:b w:val="0"/>
              </w:rPr>
              <w:t>January 2013</w:t>
            </w:r>
          </w:p>
        </w:tc>
        <w:tc>
          <w:tcPr>
            <w:tcW w:w="1921" w:type="dxa"/>
          </w:tcPr>
          <w:p w14:paraId="4490A250" w14:textId="77777777" w:rsidR="000D45DD" w:rsidRPr="00367FC4" w:rsidRDefault="000D45DD" w:rsidP="00367FC4">
            <w:pPr>
              <w:pStyle w:val="TableTextEntries"/>
              <w:rPr>
                <w:b w:val="0"/>
              </w:rPr>
            </w:pPr>
            <w:r w:rsidRPr="00367FC4">
              <w:rPr>
                <w:b w:val="0"/>
              </w:rPr>
              <w:t>N/A</w:t>
            </w:r>
          </w:p>
        </w:tc>
        <w:tc>
          <w:tcPr>
            <w:tcW w:w="1743" w:type="dxa"/>
          </w:tcPr>
          <w:p w14:paraId="7BAFC355" w14:textId="77777777" w:rsidR="000D45DD" w:rsidRPr="00367FC4" w:rsidRDefault="000D45DD" w:rsidP="00367FC4">
            <w:pPr>
              <w:pStyle w:val="TableTextEntries"/>
              <w:rPr>
                <w:b w:val="0"/>
              </w:rPr>
            </w:pPr>
            <w:r w:rsidRPr="00367FC4">
              <w:rPr>
                <w:b w:val="0"/>
              </w:rPr>
              <w:t>N/A</w:t>
            </w:r>
          </w:p>
        </w:tc>
        <w:tc>
          <w:tcPr>
            <w:tcW w:w="1503" w:type="dxa"/>
          </w:tcPr>
          <w:p w14:paraId="20E57FC7" w14:textId="77777777" w:rsidR="000D45DD" w:rsidRPr="00367FC4" w:rsidRDefault="000D45DD" w:rsidP="00367FC4">
            <w:pPr>
              <w:pStyle w:val="TableTextEntries"/>
              <w:rPr>
                <w:b w:val="0"/>
              </w:rPr>
            </w:pPr>
            <w:r w:rsidRPr="00367FC4">
              <w:rPr>
                <w:b w:val="0"/>
              </w:rPr>
              <w:t>No</w:t>
            </w:r>
          </w:p>
        </w:tc>
      </w:tr>
      <w:tr w:rsidR="000D45DD" w:rsidRPr="00071B95" w14:paraId="321DA618"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508A39FE" w14:textId="77777777" w:rsidR="000D45DD" w:rsidRPr="00367FC4" w:rsidRDefault="000D45DD" w:rsidP="00367FC4">
            <w:pPr>
              <w:pStyle w:val="TableTextEntries"/>
              <w:rPr>
                <w:b w:val="0"/>
              </w:rPr>
            </w:pPr>
            <w:r w:rsidRPr="00367FC4">
              <w:rPr>
                <w:b w:val="0"/>
              </w:rPr>
              <w:t>Trade Development Facility</w:t>
            </w:r>
          </w:p>
        </w:tc>
        <w:tc>
          <w:tcPr>
            <w:tcW w:w="1463" w:type="dxa"/>
          </w:tcPr>
          <w:p w14:paraId="61DFA10F" w14:textId="77777777" w:rsidR="000D45DD" w:rsidRPr="00367FC4" w:rsidRDefault="000D45DD" w:rsidP="00367FC4">
            <w:pPr>
              <w:pStyle w:val="TableTextEntries"/>
              <w:rPr>
                <w:b w:val="0"/>
              </w:rPr>
            </w:pPr>
            <w:r w:rsidRPr="00367FC4">
              <w:rPr>
                <w:b w:val="0"/>
              </w:rPr>
              <w:t>INH726</w:t>
            </w:r>
          </w:p>
        </w:tc>
        <w:tc>
          <w:tcPr>
            <w:tcW w:w="2031" w:type="dxa"/>
          </w:tcPr>
          <w:p w14:paraId="5B32A9D8" w14:textId="2218B272" w:rsidR="000D45DD" w:rsidRPr="00367FC4" w:rsidRDefault="000D45DD" w:rsidP="00367FC4">
            <w:pPr>
              <w:pStyle w:val="TableTextEntries"/>
              <w:rPr>
                <w:b w:val="0"/>
              </w:rPr>
            </w:pPr>
            <w:r w:rsidRPr="00367FC4">
              <w:rPr>
                <w:b w:val="0"/>
              </w:rPr>
              <w:t xml:space="preserve">Independent </w:t>
            </w:r>
            <w:r w:rsidR="00D72F61" w:rsidRPr="00367FC4">
              <w:rPr>
                <w:b w:val="0"/>
              </w:rPr>
              <w:t>completion report</w:t>
            </w:r>
          </w:p>
        </w:tc>
        <w:tc>
          <w:tcPr>
            <w:tcW w:w="1598" w:type="dxa"/>
          </w:tcPr>
          <w:p w14:paraId="41AAA4CD" w14:textId="77777777" w:rsidR="000D45DD" w:rsidRPr="00367FC4" w:rsidRDefault="000D45DD" w:rsidP="00367FC4">
            <w:pPr>
              <w:pStyle w:val="TableTextEntries"/>
              <w:rPr>
                <w:b w:val="0"/>
              </w:rPr>
            </w:pPr>
            <w:r w:rsidRPr="00367FC4">
              <w:rPr>
                <w:b w:val="0"/>
              </w:rPr>
              <w:t>June 2013</w:t>
            </w:r>
          </w:p>
        </w:tc>
        <w:tc>
          <w:tcPr>
            <w:tcW w:w="1921" w:type="dxa"/>
          </w:tcPr>
          <w:p w14:paraId="4A812470" w14:textId="28827703" w:rsidR="000D45DD" w:rsidRPr="00367FC4" w:rsidRDefault="000D45DD" w:rsidP="00367FC4">
            <w:pPr>
              <w:pStyle w:val="TableTextEntries"/>
              <w:rPr>
                <w:b w:val="0"/>
              </w:rPr>
            </w:pPr>
            <w:r w:rsidRPr="00367FC4">
              <w:rPr>
                <w:b w:val="0"/>
              </w:rPr>
              <w:t>September 2013</w:t>
            </w:r>
          </w:p>
        </w:tc>
        <w:tc>
          <w:tcPr>
            <w:tcW w:w="1743" w:type="dxa"/>
          </w:tcPr>
          <w:p w14:paraId="575FBFF7" w14:textId="77777777" w:rsidR="000D45DD" w:rsidRPr="00367FC4" w:rsidRDefault="000D45DD" w:rsidP="00367FC4">
            <w:pPr>
              <w:pStyle w:val="TableTextEntries"/>
              <w:rPr>
                <w:b w:val="0"/>
              </w:rPr>
            </w:pPr>
            <w:r w:rsidRPr="00367FC4">
              <w:rPr>
                <w:b w:val="0"/>
              </w:rPr>
              <w:t>N/A</w:t>
            </w:r>
          </w:p>
        </w:tc>
        <w:tc>
          <w:tcPr>
            <w:tcW w:w="1503" w:type="dxa"/>
          </w:tcPr>
          <w:p w14:paraId="0F545A6C" w14:textId="77777777" w:rsidR="000D45DD" w:rsidRPr="00367FC4" w:rsidRDefault="000D45DD" w:rsidP="00367FC4">
            <w:pPr>
              <w:pStyle w:val="TableTextEntries"/>
              <w:rPr>
                <w:b w:val="0"/>
              </w:rPr>
            </w:pPr>
            <w:r w:rsidRPr="00367FC4">
              <w:rPr>
                <w:b w:val="0"/>
              </w:rPr>
              <w:t>No</w:t>
            </w:r>
          </w:p>
        </w:tc>
      </w:tr>
      <w:tr w:rsidR="000D45DD" w:rsidRPr="00071B95" w14:paraId="7182C06E"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3679BDC9" w14:textId="77777777" w:rsidR="000D45DD" w:rsidRPr="00367FC4" w:rsidRDefault="000D45DD" w:rsidP="00367FC4">
            <w:pPr>
              <w:pStyle w:val="TableTextEntries"/>
              <w:rPr>
                <w:b w:val="0"/>
              </w:rPr>
            </w:pPr>
            <w:r w:rsidRPr="00367FC4">
              <w:rPr>
                <w:b w:val="0"/>
              </w:rPr>
              <w:t>Lao PDR Rural Electrification</w:t>
            </w:r>
          </w:p>
        </w:tc>
        <w:tc>
          <w:tcPr>
            <w:tcW w:w="1463" w:type="dxa"/>
          </w:tcPr>
          <w:p w14:paraId="7772A467" w14:textId="77777777" w:rsidR="000D45DD" w:rsidRPr="00367FC4" w:rsidRDefault="000D45DD" w:rsidP="00367FC4">
            <w:pPr>
              <w:pStyle w:val="TableTextEntries"/>
              <w:rPr>
                <w:b w:val="0"/>
              </w:rPr>
            </w:pPr>
            <w:r w:rsidRPr="00367FC4">
              <w:rPr>
                <w:b w:val="0"/>
              </w:rPr>
              <w:t>INH748</w:t>
            </w:r>
          </w:p>
        </w:tc>
        <w:tc>
          <w:tcPr>
            <w:tcW w:w="2031" w:type="dxa"/>
          </w:tcPr>
          <w:p w14:paraId="041A0233" w14:textId="470EA008" w:rsidR="000D45DD" w:rsidRPr="00367FC4" w:rsidRDefault="000D45DD" w:rsidP="00367FC4">
            <w:pPr>
              <w:pStyle w:val="TableTextEntries"/>
              <w:rPr>
                <w:b w:val="0"/>
              </w:rPr>
            </w:pPr>
            <w:r w:rsidRPr="00367FC4">
              <w:rPr>
                <w:b w:val="0"/>
              </w:rPr>
              <w:t xml:space="preserve">Independent </w:t>
            </w:r>
            <w:r w:rsidR="00D72F61" w:rsidRPr="00367FC4">
              <w:rPr>
                <w:b w:val="0"/>
              </w:rPr>
              <w:t>progress rep</w:t>
            </w:r>
            <w:r w:rsidRPr="00367FC4">
              <w:rPr>
                <w:b w:val="0"/>
              </w:rPr>
              <w:t>ort and W</w:t>
            </w:r>
            <w:r w:rsidR="00D72F61" w:rsidRPr="00367FC4">
              <w:rPr>
                <w:b w:val="0"/>
              </w:rPr>
              <w:t xml:space="preserve">orld </w:t>
            </w:r>
            <w:r w:rsidRPr="00367FC4">
              <w:rPr>
                <w:b w:val="0"/>
              </w:rPr>
              <w:t>B</w:t>
            </w:r>
            <w:r w:rsidR="00D72F61" w:rsidRPr="00367FC4">
              <w:rPr>
                <w:b w:val="0"/>
              </w:rPr>
              <w:t>ank</w:t>
            </w:r>
            <w:r w:rsidRPr="00367FC4">
              <w:rPr>
                <w:b w:val="0"/>
              </w:rPr>
              <w:t xml:space="preserve"> </w:t>
            </w:r>
            <w:r w:rsidR="00D72F61" w:rsidRPr="00367FC4">
              <w:rPr>
                <w:b w:val="0"/>
              </w:rPr>
              <w:t>implementation completion report</w:t>
            </w:r>
          </w:p>
        </w:tc>
        <w:tc>
          <w:tcPr>
            <w:tcW w:w="1598" w:type="dxa"/>
          </w:tcPr>
          <w:p w14:paraId="74D31EE3" w14:textId="77777777" w:rsidR="000D45DD" w:rsidRPr="00367FC4" w:rsidRDefault="000D45DD" w:rsidP="00367FC4">
            <w:pPr>
              <w:pStyle w:val="TableTextEntries"/>
              <w:rPr>
                <w:b w:val="0"/>
              </w:rPr>
            </w:pPr>
            <w:r w:rsidRPr="00367FC4">
              <w:rPr>
                <w:b w:val="0"/>
              </w:rPr>
              <w:t>April 2013</w:t>
            </w:r>
          </w:p>
          <w:p w14:paraId="6254EBCA" w14:textId="77777777" w:rsidR="000D45DD" w:rsidRPr="00367FC4" w:rsidRDefault="000D45DD" w:rsidP="00367FC4">
            <w:pPr>
              <w:pStyle w:val="TableTextEntries"/>
              <w:rPr>
                <w:b w:val="0"/>
              </w:rPr>
            </w:pPr>
          </w:p>
          <w:p w14:paraId="6EE69200" w14:textId="77777777" w:rsidR="000D45DD" w:rsidRPr="00367FC4" w:rsidRDefault="000D45DD" w:rsidP="00367FC4">
            <w:pPr>
              <w:pStyle w:val="TableTextEntries"/>
              <w:rPr>
                <w:b w:val="0"/>
              </w:rPr>
            </w:pPr>
            <w:r w:rsidRPr="00367FC4">
              <w:rPr>
                <w:b w:val="0"/>
              </w:rPr>
              <w:t>April 2013</w:t>
            </w:r>
          </w:p>
        </w:tc>
        <w:tc>
          <w:tcPr>
            <w:tcW w:w="1921" w:type="dxa"/>
          </w:tcPr>
          <w:p w14:paraId="1E7C003D" w14:textId="77777777" w:rsidR="000D45DD" w:rsidRPr="00367FC4" w:rsidRDefault="000D45DD" w:rsidP="00367FC4">
            <w:pPr>
              <w:pStyle w:val="TableTextEntries"/>
              <w:rPr>
                <w:b w:val="0"/>
              </w:rPr>
            </w:pPr>
            <w:r w:rsidRPr="00367FC4">
              <w:rPr>
                <w:b w:val="0"/>
              </w:rPr>
              <w:t>May 2013</w:t>
            </w:r>
          </w:p>
          <w:p w14:paraId="1621EFEA" w14:textId="77777777" w:rsidR="000D45DD" w:rsidRPr="00367FC4" w:rsidRDefault="000D45DD" w:rsidP="00367FC4">
            <w:pPr>
              <w:pStyle w:val="TableTextEntries"/>
              <w:rPr>
                <w:b w:val="0"/>
              </w:rPr>
            </w:pPr>
          </w:p>
          <w:p w14:paraId="2EFDAFFD" w14:textId="77777777" w:rsidR="000D45DD" w:rsidRPr="00367FC4" w:rsidRDefault="000D45DD" w:rsidP="00367FC4">
            <w:pPr>
              <w:pStyle w:val="TableTextEntries"/>
              <w:rPr>
                <w:b w:val="0"/>
              </w:rPr>
            </w:pPr>
            <w:r w:rsidRPr="00367FC4">
              <w:rPr>
                <w:b w:val="0"/>
              </w:rPr>
              <w:t>June 2013</w:t>
            </w:r>
          </w:p>
        </w:tc>
        <w:tc>
          <w:tcPr>
            <w:tcW w:w="1743" w:type="dxa"/>
          </w:tcPr>
          <w:p w14:paraId="5555376E" w14:textId="77777777" w:rsidR="000D45DD" w:rsidRPr="00367FC4" w:rsidRDefault="000D45DD" w:rsidP="00367FC4">
            <w:pPr>
              <w:pStyle w:val="TableTextEntries"/>
              <w:rPr>
                <w:b w:val="0"/>
              </w:rPr>
            </w:pPr>
            <w:r w:rsidRPr="00367FC4">
              <w:rPr>
                <w:b w:val="0"/>
              </w:rPr>
              <w:t>N/A</w:t>
            </w:r>
          </w:p>
          <w:p w14:paraId="413C4B7B" w14:textId="77777777" w:rsidR="000D45DD" w:rsidRPr="00367FC4" w:rsidRDefault="000D45DD" w:rsidP="00367FC4">
            <w:pPr>
              <w:pStyle w:val="TableTextEntries"/>
              <w:rPr>
                <w:b w:val="0"/>
              </w:rPr>
            </w:pPr>
          </w:p>
          <w:p w14:paraId="41288354" w14:textId="77777777" w:rsidR="000D45DD" w:rsidRPr="00367FC4" w:rsidRDefault="000D45DD" w:rsidP="00367FC4">
            <w:pPr>
              <w:pStyle w:val="TableTextEntries"/>
              <w:rPr>
                <w:b w:val="0"/>
              </w:rPr>
            </w:pPr>
            <w:r w:rsidRPr="00367FC4">
              <w:rPr>
                <w:b w:val="0"/>
              </w:rPr>
              <w:t>N/A</w:t>
            </w:r>
          </w:p>
        </w:tc>
        <w:tc>
          <w:tcPr>
            <w:tcW w:w="1503" w:type="dxa"/>
          </w:tcPr>
          <w:p w14:paraId="4A42F898" w14:textId="77777777" w:rsidR="000D45DD" w:rsidRPr="00367FC4" w:rsidRDefault="000D45DD" w:rsidP="00367FC4">
            <w:pPr>
              <w:pStyle w:val="TableTextEntries"/>
              <w:rPr>
                <w:b w:val="0"/>
              </w:rPr>
            </w:pPr>
            <w:r w:rsidRPr="00367FC4">
              <w:rPr>
                <w:b w:val="0"/>
              </w:rPr>
              <w:t>No</w:t>
            </w:r>
          </w:p>
          <w:p w14:paraId="0647B936" w14:textId="77777777" w:rsidR="000D45DD" w:rsidRPr="00367FC4" w:rsidRDefault="000D45DD" w:rsidP="00367FC4">
            <w:pPr>
              <w:pStyle w:val="TableTextEntries"/>
              <w:rPr>
                <w:b w:val="0"/>
              </w:rPr>
            </w:pPr>
          </w:p>
          <w:p w14:paraId="089905DE" w14:textId="77777777" w:rsidR="000D45DD" w:rsidRPr="00367FC4" w:rsidRDefault="000D45DD" w:rsidP="00367FC4">
            <w:pPr>
              <w:pStyle w:val="TableTextEntries"/>
              <w:rPr>
                <w:b w:val="0"/>
              </w:rPr>
            </w:pPr>
            <w:r w:rsidRPr="00367FC4">
              <w:rPr>
                <w:b w:val="0"/>
              </w:rPr>
              <w:t>No</w:t>
            </w:r>
          </w:p>
        </w:tc>
      </w:tr>
      <w:tr w:rsidR="000D45DD" w:rsidRPr="00071B95" w14:paraId="2D1CBA74"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401D314D" w14:textId="77777777" w:rsidR="000D45DD" w:rsidRPr="00367FC4" w:rsidRDefault="000D45DD" w:rsidP="00367FC4">
            <w:pPr>
              <w:pStyle w:val="TableTextEntries"/>
              <w:rPr>
                <w:b w:val="0"/>
              </w:rPr>
            </w:pPr>
            <w:r w:rsidRPr="00367FC4">
              <w:rPr>
                <w:b w:val="0"/>
              </w:rPr>
              <w:t>Lao-Australian Scholarships Program</w:t>
            </w:r>
          </w:p>
        </w:tc>
        <w:tc>
          <w:tcPr>
            <w:tcW w:w="1463" w:type="dxa"/>
          </w:tcPr>
          <w:p w14:paraId="3AF91BD5" w14:textId="77777777" w:rsidR="000D45DD" w:rsidRPr="00367FC4" w:rsidRDefault="000D45DD" w:rsidP="00367FC4">
            <w:pPr>
              <w:pStyle w:val="TableTextEntries"/>
              <w:rPr>
                <w:b w:val="0"/>
              </w:rPr>
            </w:pPr>
            <w:r w:rsidRPr="00367FC4">
              <w:rPr>
                <w:b w:val="0"/>
              </w:rPr>
              <w:t xml:space="preserve">INH095, INJ264, INJ265, INJ709, </w:t>
            </w:r>
          </w:p>
          <w:p w14:paraId="01AD9173" w14:textId="77777777" w:rsidR="000D45DD" w:rsidRPr="00367FC4" w:rsidRDefault="000D45DD" w:rsidP="00367FC4">
            <w:pPr>
              <w:pStyle w:val="TableTextEntries"/>
              <w:rPr>
                <w:b w:val="0"/>
              </w:rPr>
            </w:pPr>
            <w:r w:rsidRPr="00367FC4">
              <w:rPr>
                <w:b w:val="0"/>
              </w:rPr>
              <w:t>INK048</w:t>
            </w:r>
          </w:p>
        </w:tc>
        <w:tc>
          <w:tcPr>
            <w:tcW w:w="2031" w:type="dxa"/>
          </w:tcPr>
          <w:p w14:paraId="7AB19ECC" w14:textId="7CBE4083" w:rsidR="000D45DD" w:rsidRPr="00367FC4" w:rsidRDefault="000D45DD" w:rsidP="00367FC4">
            <w:pPr>
              <w:pStyle w:val="TableTextEntries"/>
              <w:rPr>
                <w:b w:val="0"/>
              </w:rPr>
            </w:pPr>
            <w:r w:rsidRPr="00367FC4">
              <w:rPr>
                <w:b w:val="0"/>
              </w:rPr>
              <w:t xml:space="preserve">Independent </w:t>
            </w:r>
            <w:r w:rsidR="00D72F61" w:rsidRPr="00367FC4">
              <w:rPr>
                <w:b w:val="0"/>
              </w:rPr>
              <w:t>completion report</w:t>
            </w:r>
          </w:p>
        </w:tc>
        <w:tc>
          <w:tcPr>
            <w:tcW w:w="1598" w:type="dxa"/>
          </w:tcPr>
          <w:p w14:paraId="0B25F6E5" w14:textId="77777777" w:rsidR="000D45DD" w:rsidRPr="00367FC4" w:rsidRDefault="000D45DD" w:rsidP="00367FC4">
            <w:pPr>
              <w:pStyle w:val="TableTextEntries"/>
              <w:rPr>
                <w:b w:val="0"/>
              </w:rPr>
            </w:pPr>
            <w:r w:rsidRPr="00367FC4">
              <w:rPr>
                <w:b w:val="0"/>
              </w:rPr>
              <w:t>June 2012</w:t>
            </w:r>
          </w:p>
        </w:tc>
        <w:tc>
          <w:tcPr>
            <w:tcW w:w="1921" w:type="dxa"/>
          </w:tcPr>
          <w:p w14:paraId="4A7D6045" w14:textId="77777777" w:rsidR="000D45DD" w:rsidRPr="00367FC4" w:rsidRDefault="000D45DD" w:rsidP="00367FC4">
            <w:pPr>
              <w:pStyle w:val="TableTextEntries"/>
              <w:rPr>
                <w:b w:val="0"/>
              </w:rPr>
            </w:pPr>
            <w:r w:rsidRPr="00367FC4">
              <w:rPr>
                <w:b w:val="0"/>
              </w:rPr>
              <w:t>5 November 2012</w:t>
            </w:r>
          </w:p>
        </w:tc>
        <w:tc>
          <w:tcPr>
            <w:tcW w:w="1743" w:type="dxa"/>
          </w:tcPr>
          <w:p w14:paraId="46E30FEE" w14:textId="77777777" w:rsidR="000D45DD" w:rsidRPr="00367FC4" w:rsidRDefault="000D45DD" w:rsidP="00367FC4">
            <w:pPr>
              <w:pStyle w:val="TableTextEntries"/>
              <w:rPr>
                <w:b w:val="0"/>
              </w:rPr>
            </w:pPr>
            <w:r w:rsidRPr="00367FC4">
              <w:rPr>
                <w:b w:val="0"/>
              </w:rPr>
              <w:t>N/A</w:t>
            </w:r>
          </w:p>
        </w:tc>
        <w:tc>
          <w:tcPr>
            <w:tcW w:w="1503" w:type="dxa"/>
          </w:tcPr>
          <w:p w14:paraId="0FE707A3" w14:textId="77777777" w:rsidR="000D45DD" w:rsidRPr="00367FC4" w:rsidRDefault="000D45DD" w:rsidP="00367FC4">
            <w:pPr>
              <w:pStyle w:val="TableTextEntries"/>
              <w:rPr>
                <w:b w:val="0"/>
              </w:rPr>
            </w:pPr>
            <w:r w:rsidRPr="00367FC4">
              <w:rPr>
                <w:b w:val="0"/>
              </w:rPr>
              <w:t>No</w:t>
            </w:r>
          </w:p>
        </w:tc>
      </w:tr>
      <w:tr w:rsidR="000D45DD" w:rsidRPr="00071B95" w14:paraId="4B3C56CE" w14:textId="77777777" w:rsidTr="00367FC4">
        <w:trPr>
          <w:cnfStyle w:val="100000000000" w:firstRow="1" w:lastRow="0" w:firstColumn="0" w:lastColumn="0" w:oddVBand="0" w:evenVBand="0" w:oddHBand="0" w:evenHBand="0" w:firstRowFirstColumn="0" w:firstRowLastColumn="0" w:lastRowFirstColumn="0" w:lastRowLastColumn="0"/>
        </w:trPr>
        <w:tc>
          <w:tcPr>
            <w:tcW w:w="2929" w:type="dxa"/>
          </w:tcPr>
          <w:p w14:paraId="4229BD7F" w14:textId="77777777" w:rsidR="000D45DD" w:rsidRPr="00367FC4" w:rsidRDefault="000D45DD" w:rsidP="00367FC4">
            <w:pPr>
              <w:pStyle w:val="TableTextEntries"/>
              <w:rPr>
                <w:b w:val="0"/>
              </w:rPr>
            </w:pPr>
            <w:r w:rsidRPr="00367FC4">
              <w:rPr>
                <w:b w:val="0"/>
              </w:rPr>
              <w:t xml:space="preserve">Country Gender Assessment for Lao PDR, Reducing Vulnerability and Increasing Opportunity </w:t>
            </w:r>
          </w:p>
        </w:tc>
        <w:tc>
          <w:tcPr>
            <w:tcW w:w="1463" w:type="dxa"/>
          </w:tcPr>
          <w:p w14:paraId="5657844E" w14:textId="77777777" w:rsidR="000D45DD" w:rsidRPr="00367FC4" w:rsidRDefault="000D45DD" w:rsidP="00367FC4">
            <w:pPr>
              <w:pStyle w:val="TableTextEntries"/>
              <w:rPr>
                <w:b w:val="0"/>
              </w:rPr>
            </w:pPr>
            <w:r w:rsidRPr="00367FC4">
              <w:rPr>
                <w:b w:val="0"/>
              </w:rPr>
              <w:t>N/A</w:t>
            </w:r>
          </w:p>
        </w:tc>
        <w:tc>
          <w:tcPr>
            <w:tcW w:w="2031" w:type="dxa"/>
          </w:tcPr>
          <w:p w14:paraId="767B9600" w14:textId="6FD2C901" w:rsidR="000D45DD" w:rsidRPr="00367FC4" w:rsidRDefault="000D45DD" w:rsidP="00367FC4">
            <w:pPr>
              <w:pStyle w:val="TableTextEntries"/>
              <w:rPr>
                <w:b w:val="0"/>
              </w:rPr>
            </w:pPr>
            <w:r w:rsidRPr="00367FC4">
              <w:rPr>
                <w:b w:val="0"/>
              </w:rPr>
              <w:t xml:space="preserve">Country </w:t>
            </w:r>
            <w:r w:rsidR="00D72F61" w:rsidRPr="00367FC4">
              <w:rPr>
                <w:b w:val="0"/>
              </w:rPr>
              <w:t xml:space="preserve">assessment led by </w:t>
            </w:r>
            <w:r w:rsidR="00B805B7" w:rsidRPr="00367FC4">
              <w:rPr>
                <w:b w:val="0"/>
              </w:rPr>
              <w:t xml:space="preserve">Word Bank </w:t>
            </w:r>
            <w:r w:rsidR="00D72F61" w:rsidRPr="00367FC4">
              <w:rPr>
                <w:b w:val="0"/>
              </w:rPr>
              <w:t xml:space="preserve">and </w:t>
            </w:r>
            <w:r w:rsidR="00B805B7" w:rsidRPr="00367FC4">
              <w:rPr>
                <w:b w:val="0"/>
              </w:rPr>
              <w:t>A</w:t>
            </w:r>
            <w:r w:rsidR="00D72F61" w:rsidRPr="00367FC4">
              <w:rPr>
                <w:b w:val="0"/>
              </w:rPr>
              <w:t>sia</w:t>
            </w:r>
            <w:r w:rsidR="00D3670A" w:rsidRPr="00367FC4">
              <w:rPr>
                <w:b w:val="0"/>
              </w:rPr>
              <w:t>n</w:t>
            </w:r>
            <w:r w:rsidR="00D72F61" w:rsidRPr="00367FC4">
              <w:rPr>
                <w:b w:val="0"/>
              </w:rPr>
              <w:t xml:space="preserve"> Development </w:t>
            </w:r>
            <w:r w:rsidR="00B805B7" w:rsidRPr="00367FC4">
              <w:rPr>
                <w:b w:val="0"/>
              </w:rPr>
              <w:t>B</w:t>
            </w:r>
            <w:r w:rsidR="00D72F61" w:rsidRPr="00367FC4">
              <w:rPr>
                <w:b w:val="0"/>
              </w:rPr>
              <w:t>ank</w:t>
            </w:r>
          </w:p>
        </w:tc>
        <w:tc>
          <w:tcPr>
            <w:tcW w:w="1598" w:type="dxa"/>
          </w:tcPr>
          <w:p w14:paraId="7E366CE4" w14:textId="77777777" w:rsidR="000D45DD" w:rsidRPr="00367FC4" w:rsidRDefault="000D45DD" w:rsidP="00367FC4">
            <w:pPr>
              <w:pStyle w:val="TableTextEntries"/>
              <w:rPr>
                <w:b w:val="0"/>
              </w:rPr>
            </w:pPr>
            <w:r w:rsidRPr="00367FC4">
              <w:rPr>
                <w:b w:val="0"/>
              </w:rPr>
              <w:t>April 2013</w:t>
            </w:r>
          </w:p>
        </w:tc>
        <w:tc>
          <w:tcPr>
            <w:tcW w:w="1921" w:type="dxa"/>
          </w:tcPr>
          <w:p w14:paraId="08FC6071" w14:textId="77777777" w:rsidR="000D45DD" w:rsidRPr="00367FC4" w:rsidRDefault="000D45DD" w:rsidP="00367FC4">
            <w:pPr>
              <w:pStyle w:val="TableTextEntries"/>
              <w:rPr>
                <w:b w:val="0"/>
              </w:rPr>
            </w:pPr>
            <w:r w:rsidRPr="00367FC4">
              <w:rPr>
                <w:b w:val="0"/>
              </w:rPr>
              <w:t>N/A</w:t>
            </w:r>
          </w:p>
        </w:tc>
        <w:tc>
          <w:tcPr>
            <w:tcW w:w="1743" w:type="dxa"/>
          </w:tcPr>
          <w:p w14:paraId="550C7B08" w14:textId="77777777" w:rsidR="000D45DD" w:rsidRPr="00367FC4" w:rsidRDefault="000D45DD" w:rsidP="00367FC4">
            <w:pPr>
              <w:pStyle w:val="TableTextEntries"/>
              <w:rPr>
                <w:b w:val="0"/>
              </w:rPr>
            </w:pPr>
            <w:r w:rsidRPr="00367FC4">
              <w:rPr>
                <w:b w:val="0"/>
              </w:rPr>
              <w:t>N/A</w:t>
            </w:r>
          </w:p>
        </w:tc>
        <w:tc>
          <w:tcPr>
            <w:tcW w:w="1503" w:type="dxa"/>
          </w:tcPr>
          <w:p w14:paraId="5AD8D3A5" w14:textId="77777777" w:rsidR="000D45DD" w:rsidRPr="00367FC4" w:rsidRDefault="000D45DD" w:rsidP="00367FC4">
            <w:pPr>
              <w:pStyle w:val="TableTextEntries"/>
              <w:rPr>
                <w:b w:val="0"/>
              </w:rPr>
            </w:pPr>
            <w:r w:rsidRPr="00367FC4">
              <w:rPr>
                <w:b w:val="0"/>
              </w:rPr>
              <w:t>N/A</w:t>
            </w:r>
          </w:p>
        </w:tc>
      </w:tr>
    </w:tbl>
    <w:p w14:paraId="64DAEBF5" w14:textId="77777777" w:rsidR="000D45DD" w:rsidRDefault="000D45DD" w:rsidP="000D45DD">
      <w:pPr>
        <w:rPr>
          <w:b/>
        </w:rPr>
      </w:pPr>
    </w:p>
    <w:p w14:paraId="3D9B0F03" w14:textId="77777777" w:rsidR="000D45DD" w:rsidRDefault="000D45DD" w:rsidP="000D45DD">
      <w:pPr>
        <w:rPr>
          <w:b/>
        </w:rPr>
      </w:pPr>
    </w:p>
    <w:p w14:paraId="009BCD58" w14:textId="77777777" w:rsidR="000D45DD" w:rsidRDefault="000D45DD" w:rsidP="000D45DD">
      <w:pPr>
        <w:rPr>
          <w:b/>
        </w:rPr>
      </w:pPr>
    </w:p>
    <w:p w14:paraId="2EB00B16" w14:textId="5AE15F94" w:rsidR="000D45DD" w:rsidRPr="00367FC4" w:rsidRDefault="000D45DD" w:rsidP="00367FC4">
      <w:pPr>
        <w:pStyle w:val="Caption"/>
      </w:pPr>
      <w:r w:rsidRPr="00367FC4">
        <w:t xml:space="preserve">Table 2: List of </w:t>
      </w:r>
      <w:r w:rsidR="00D72F61" w:rsidRPr="00367FC4">
        <w:t xml:space="preserve">evaluations, reviews and others analytical work </w:t>
      </w:r>
      <w:r w:rsidRPr="00367FC4">
        <w:t xml:space="preserve">planned </w:t>
      </w:r>
      <w:r w:rsidR="00D72F61" w:rsidRPr="00367FC4">
        <w:t xml:space="preserve">from </w:t>
      </w:r>
      <w:r w:rsidRPr="00367FC4">
        <w:t xml:space="preserve">July 2013 </w:t>
      </w:r>
      <w:r w:rsidR="00D72F61" w:rsidRPr="00367FC4">
        <w:t xml:space="preserve">to </w:t>
      </w:r>
      <w:r w:rsidRPr="00367FC4">
        <w:t>June 2014</w:t>
      </w:r>
    </w:p>
    <w:tbl>
      <w:tblPr>
        <w:tblStyle w:val="APPR"/>
        <w:tblW w:w="5000" w:type="pct"/>
        <w:tblLook w:val="0600" w:firstRow="0" w:lastRow="0" w:firstColumn="0" w:lastColumn="0" w:noHBand="1" w:noVBand="1"/>
      </w:tblPr>
      <w:tblGrid>
        <w:gridCol w:w="3663"/>
        <w:gridCol w:w="1761"/>
        <w:gridCol w:w="2733"/>
        <w:gridCol w:w="3431"/>
        <w:gridCol w:w="2347"/>
      </w:tblGrid>
      <w:tr w:rsidR="000D45DD" w:rsidRPr="00071B95" w14:paraId="4105ECC6" w14:textId="77777777" w:rsidTr="00367FC4">
        <w:tc>
          <w:tcPr>
            <w:tcW w:w="3496" w:type="dxa"/>
          </w:tcPr>
          <w:p w14:paraId="32A60523" w14:textId="131CA309" w:rsidR="000D45DD" w:rsidRPr="00367FC4" w:rsidRDefault="000D45DD" w:rsidP="00367FC4">
            <w:pPr>
              <w:pStyle w:val="TableTextColumnHeading"/>
            </w:pPr>
            <w:r w:rsidRPr="00367FC4">
              <w:t xml:space="preserve">Name of </w:t>
            </w:r>
            <w:r w:rsidR="00D72F61" w:rsidRPr="00367FC4">
              <w:t>initiative</w:t>
            </w:r>
          </w:p>
        </w:tc>
        <w:tc>
          <w:tcPr>
            <w:tcW w:w="1673" w:type="dxa"/>
          </w:tcPr>
          <w:p w14:paraId="261FE7C2" w14:textId="77777777" w:rsidR="000D45DD" w:rsidRPr="00367FC4" w:rsidRDefault="000D45DD" w:rsidP="00367FC4">
            <w:pPr>
              <w:pStyle w:val="TableTextColumnHeading"/>
            </w:pPr>
            <w:proofErr w:type="spellStart"/>
            <w:r w:rsidRPr="00367FC4">
              <w:t>Aidworks</w:t>
            </w:r>
            <w:proofErr w:type="spellEnd"/>
            <w:r w:rsidRPr="00367FC4">
              <w:t xml:space="preserve"> number</w:t>
            </w:r>
          </w:p>
        </w:tc>
        <w:tc>
          <w:tcPr>
            <w:tcW w:w="2612" w:type="dxa"/>
          </w:tcPr>
          <w:p w14:paraId="310AC15D" w14:textId="77777777" w:rsidR="000D45DD" w:rsidRPr="00367FC4" w:rsidRDefault="000D45DD" w:rsidP="00367FC4">
            <w:pPr>
              <w:pStyle w:val="TableTextColumnHeading"/>
            </w:pPr>
            <w:r w:rsidRPr="00367FC4">
              <w:t>Type of evaluation</w:t>
            </w:r>
          </w:p>
        </w:tc>
        <w:tc>
          <w:tcPr>
            <w:tcW w:w="3286" w:type="dxa"/>
          </w:tcPr>
          <w:p w14:paraId="04A8D5FE" w14:textId="77777777" w:rsidR="000D45DD" w:rsidRPr="00367FC4" w:rsidRDefault="000D45DD" w:rsidP="00367FC4">
            <w:pPr>
              <w:pStyle w:val="TableTextColumnHeading"/>
            </w:pPr>
            <w:r w:rsidRPr="00367FC4">
              <w:t>Purpose of evaluation</w:t>
            </w:r>
            <w:r w:rsidRPr="00C645CE">
              <w:rPr>
                <w:b w:val="0"/>
                <w:sz w:val="20"/>
                <w:vertAlign w:val="superscript"/>
              </w:rPr>
              <w:footnoteReference w:id="55"/>
            </w:r>
          </w:p>
        </w:tc>
        <w:tc>
          <w:tcPr>
            <w:tcW w:w="2226" w:type="dxa"/>
          </w:tcPr>
          <w:p w14:paraId="5C263681" w14:textId="77777777" w:rsidR="000D45DD" w:rsidRPr="00367FC4" w:rsidRDefault="000D45DD" w:rsidP="00367FC4">
            <w:pPr>
              <w:pStyle w:val="TableTextColumnHeading"/>
            </w:pPr>
            <w:r w:rsidRPr="00367FC4">
              <w:t>Expected completion date</w:t>
            </w:r>
          </w:p>
        </w:tc>
      </w:tr>
      <w:tr w:rsidR="000D45DD" w:rsidRPr="00071B95" w14:paraId="4BEB8815" w14:textId="77777777" w:rsidTr="00367FC4">
        <w:tc>
          <w:tcPr>
            <w:tcW w:w="3496" w:type="dxa"/>
          </w:tcPr>
          <w:p w14:paraId="1B592FB7" w14:textId="77777777" w:rsidR="000D45DD" w:rsidRPr="00255F5B" w:rsidRDefault="000D45DD" w:rsidP="00367FC4">
            <w:pPr>
              <w:pStyle w:val="TableTextEntries"/>
            </w:pPr>
            <w:r w:rsidRPr="00255F5B">
              <w:t>Delivering Better Education in Laos</w:t>
            </w:r>
          </w:p>
        </w:tc>
        <w:tc>
          <w:tcPr>
            <w:tcW w:w="1673" w:type="dxa"/>
          </w:tcPr>
          <w:p w14:paraId="47883368" w14:textId="77777777" w:rsidR="000D45DD" w:rsidRPr="00071B95" w:rsidRDefault="000D45DD" w:rsidP="00367FC4">
            <w:pPr>
              <w:pStyle w:val="TableTextEntries"/>
            </w:pPr>
            <w:r>
              <w:t>INH 412</w:t>
            </w:r>
          </w:p>
        </w:tc>
        <w:tc>
          <w:tcPr>
            <w:tcW w:w="2612" w:type="dxa"/>
          </w:tcPr>
          <w:p w14:paraId="4F28F1E6" w14:textId="77777777" w:rsidR="000D45DD" w:rsidRPr="00071B95" w:rsidRDefault="000D45DD" w:rsidP="00367FC4">
            <w:pPr>
              <w:pStyle w:val="TableTextEntries"/>
            </w:pPr>
            <w:r>
              <w:t>Final evaluation of School of Quality Pilot Project</w:t>
            </w:r>
          </w:p>
        </w:tc>
        <w:tc>
          <w:tcPr>
            <w:tcW w:w="3286" w:type="dxa"/>
          </w:tcPr>
          <w:p w14:paraId="70D4EB94" w14:textId="77777777" w:rsidR="000D45DD" w:rsidRPr="00071B95" w:rsidRDefault="000D45DD" w:rsidP="00367FC4">
            <w:pPr>
              <w:pStyle w:val="TableTextEntries"/>
            </w:pPr>
            <w:r>
              <w:t>End of project evaluation</w:t>
            </w:r>
          </w:p>
        </w:tc>
        <w:tc>
          <w:tcPr>
            <w:tcW w:w="2226" w:type="dxa"/>
          </w:tcPr>
          <w:p w14:paraId="335E839A" w14:textId="77777777" w:rsidR="000D45DD" w:rsidRPr="00071B95" w:rsidRDefault="000D45DD" w:rsidP="00367FC4">
            <w:pPr>
              <w:pStyle w:val="TableTextEntries"/>
            </w:pPr>
            <w:r>
              <w:t>June 2013</w:t>
            </w:r>
          </w:p>
        </w:tc>
      </w:tr>
      <w:tr w:rsidR="000D45DD" w:rsidRPr="00071B95" w14:paraId="41B456AC" w14:textId="77777777" w:rsidTr="00367FC4">
        <w:tc>
          <w:tcPr>
            <w:tcW w:w="3496" w:type="dxa"/>
          </w:tcPr>
          <w:p w14:paraId="25D05F01" w14:textId="77777777" w:rsidR="000D45DD" w:rsidRPr="00255F5B" w:rsidRDefault="000D45DD" w:rsidP="00367FC4">
            <w:pPr>
              <w:pStyle w:val="TableTextEntries"/>
            </w:pPr>
            <w:r w:rsidRPr="00255F5B">
              <w:t>Trade Development Facility</w:t>
            </w:r>
          </w:p>
        </w:tc>
        <w:tc>
          <w:tcPr>
            <w:tcW w:w="1673" w:type="dxa"/>
          </w:tcPr>
          <w:p w14:paraId="45D966E1" w14:textId="77777777" w:rsidR="000D45DD" w:rsidRPr="00071B95" w:rsidRDefault="000D45DD" w:rsidP="00367FC4">
            <w:pPr>
              <w:pStyle w:val="TableTextEntries"/>
            </w:pPr>
            <w:r>
              <w:t>INH726</w:t>
            </w:r>
          </w:p>
        </w:tc>
        <w:tc>
          <w:tcPr>
            <w:tcW w:w="2612" w:type="dxa"/>
          </w:tcPr>
          <w:p w14:paraId="404CA473" w14:textId="11EA3A67" w:rsidR="000D45DD" w:rsidRPr="00071B95" w:rsidRDefault="000D45DD" w:rsidP="00367FC4">
            <w:pPr>
              <w:pStyle w:val="TableTextEntries"/>
            </w:pPr>
            <w:r>
              <w:t>W</w:t>
            </w:r>
            <w:r w:rsidR="00D72F61">
              <w:t xml:space="preserve">orld </w:t>
            </w:r>
            <w:r>
              <w:t>B</w:t>
            </w:r>
            <w:r w:rsidR="00D72F61">
              <w:t>ank</w:t>
            </w:r>
            <w:r>
              <w:t xml:space="preserve"> </w:t>
            </w:r>
            <w:r w:rsidR="00D72F61">
              <w:t>implementation completion report</w:t>
            </w:r>
          </w:p>
        </w:tc>
        <w:tc>
          <w:tcPr>
            <w:tcW w:w="3286" w:type="dxa"/>
          </w:tcPr>
          <w:p w14:paraId="574D9A08" w14:textId="77777777" w:rsidR="000D45DD" w:rsidRPr="00071B95" w:rsidRDefault="000D45DD" w:rsidP="00367FC4">
            <w:pPr>
              <w:pStyle w:val="TableTextEntries"/>
            </w:pPr>
            <w:r>
              <w:t>End of project evaluation</w:t>
            </w:r>
          </w:p>
        </w:tc>
        <w:tc>
          <w:tcPr>
            <w:tcW w:w="2226" w:type="dxa"/>
          </w:tcPr>
          <w:p w14:paraId="571AFEF8" w14:textId="77777777" w:rsidR="000D45DD" w:rsidRPr="00071B95" w:rsidRDefault="000D45DD" w:rsidP="00367FC4">
            <w:pPr>
              <w:pStyle w:val="TableTextEntries"/>
            </w:pPr>
            <w:r>
              <w:t>August 2013</w:t>
            </w:r>
          </w:p>
        </w:tc>
      </w:tr>
      <w:tr w:rsidR="000D45DD" w:rsidRPr="00071B95" w14:paraId="2B730AD8" w14:textId="77777777" w:rsidTr="00367FC4">
        <w:tc>
          <w:tcPr>
            <w:tcW w:w="3496" w:type="dxa"/>
          </w:tcPr>
          <w:p w14:paraId="3E6DD183" w14:textId="77777777" w:rsidR="000D45DD" w:rsidRPr="00255F5B" w:rsidRDefault="000D45DD" w:rsidP="00367FC4">
            <w:pPr>
              <w:pStyle w:val="TableTextEntries"/>
            </w:pPr>
            <w:r w:rsidRPr="00255F5B">
              <w:t>Laos-NGO Cooperation Agreements</w:t>
            </w:r>
          </w:p>
        </w:tc>
        <w:tc>
          <w:tcPr>
            <w:tcW w:w="1673" w:type="dxa"/>
          </w:tcPr>
          <w:p w14:paraId="160B5DF1" w14:textId="77777777" w:rsidR="000D45DD" w:rsidRPr="00071B95" w:rsidRDefault="000D45DD" w:rsidP="00367FC4">
            <w:pPr>
              <w:pStyle w:val="TableTextEntries"/>
            </w:pPr>
            <w:r w:rsidRPr="00EF75FA">
              <w:t>ING310</w:t>
            </w:r>
          </w:p>
        </w:tc>
        <w:tc>
          <w:tcPr>
            <w:tcW w:w="2612" w:type="dxa"/>
          </w:tcPr>
          <w:p w14:paraId="4D1FA7BD" w14:textId="47E1A7EE" w:rsidR="000D45DD" w:rsidRPr="00071B95" w:rsidRDefault="000D45DD" w:rsidP="00367FC4">
            <w:pPr>
              <w:pStyle w:val="TableTextEntries"/>
            </w:pPr>
            <w:r>
              <w:t xml:space="preserve">Independent </w:t>
            </w:r>
            <w:r w:rsidR="00D72F61">
              <w:t>completion report</w:t>
            </w:r>
          </w:p>
        </w:tc>
        <w:tc>
          <w:tcPr>
            <w:tcW w:w="3286" w:type="dxa"/>
          </w:tcPr>
          <w:p w14:paraId="5272D88C" w14:textId="77777777" w:rsidR="000D45DD" w:rsidRPr="00071B95" w:rsidRDefault="000D45DD" w:rsidP="00367FC4">
            <w:pPr>
              <w:pStyle w:val="TableTextEntries"/>
            </w:pPr>
            <w:r>
              <w:t>End of project evaluation</w:t>
            </w:r>
          </w:p>
        </w:tc>
        <w:tc>
          <w:tcPr>
            <w:tcW w:w="2226" w:type="dxa"/>
          </w:tcPr>
          <w:p w14:paraId="1AEA595D" w14:textId="77777777" w:rsidR="000D45DD" w:rsidRPr="00071B95" w:rsidRDefault="000D45DD" w:rsidP="00367FC4">
            <w:pPr>
              <w:pStyle w:val="TableTextEntries"/>
            </w:pPr>
            <w:r>
              <w:t>June 2014</w:t>
            </w:r>
          </w:p>
        </w:tc>
      </w:tr>
      <w:tr w:rsidR="000D45DD" w:rsidRPr="00071B95" w14:paraId="71F92D4B" w14:textId="77777777" w:rsidTr="00367FC4">
        <w:tc>
          <w:tcPr>
            <w:tcW w:w="3496" w:type="dxa"/>
          </w:tcPr>
          <w:p w14:paraId="7773D3F0" w14:textId="77777777" w:rsidR="000D45DD" w:rsidRPr="00255F5B" w:rsidRDefault="000D45DD" w:rsidP="00367FC4">
            <w:pPr>
              <w:pStyle w:val="TableTextEntries"/>
            </w:pPr>
            <w:r w:rsidRPr="00255F5B">
              <w:t>Poverty Reduction Fund</w:t>
            </w:r>
          </w:p>
        </w:tc>
        <w:tc>
          <w:tcPr>
            <w:tcW w:w="1673" w:type="dxa"/>
          </w:tcPr>
          <w:p w14:paraId="3196855D" w14:textId="77777777" w:rsidR="000D45DD" w:rsidRPr="00071B95" w:rsidRDefault="000D45DD" w:rsidP="00367FC4">
            <w:pPr>
              <w:pStyle w:val="TableTextEntries"/>
            </w:pPr>
            <w:r>
              <w:t>INJ573</w:t>
            </w:r>
          </w:p>
        </w:tc>
        <w:tc>
          <w:tcPr>
            <w:tcW w:w="2612" w:type="dxa"/>
          </w:tcPr>
          <w:p w14:paraId="76871F44" w14:textId="50181688" w:rsidR="000D45DD" w:rsidRPr="00071B95" w:rsidRDefault="000D45DD" w:rsidP="00367FC4">
            <w:pPr>
              <w:pStyle w:val="TableTextEntries"/>
            </w:pPr>
            <w:r>
              <w:t>Mid-term review</w:t>
            </w:r>
            <w:r w:rsidR="00D72F61">
              <w:t xml:space="preserve"> led by </w:t>
            </w:r>
            <w:r>
              <w:t>World Bank</w:t>
            </w:r>
          </w:p>
        </w:tc>
        <w:tc>
          <w:tcPr>
            <w:tcW w:w="3286" w:type="dxa"/>
          </w:tcPr>
          <w:p w14:paraId="38C775C8" w14:textId="7D2E33BB" w:rsidR="000D45DD" w:rsidRPr="00071B95" w:rsidRDefault="000D45DD" w:rsidP="00367FC4">
            <w:pPr>
              <w:pStyle w:val="TableTextEntries"/>
            </w:pPr>
            <w:r>
              <w:t>To assess progress and implementation performance against outcomes set out in the result framework and to recommend actions for improvement and changes if needed</w:t>
            </w:r>
          </w:p>
        </w:tc>
        <w:tc>
          <w:tcPr>
            <w:tcW w:w="2226" w:type="dxa"/>
          </w:tcPr>
          <w:p w14:paraId="56FE39B8" w14:textId="77777777" w:rsidR="000D45DD" w:rsidRPr="00071B95" w:rsidRDefault="000D45DD" w:rsidP="00367FC4">
            <w:pPr>
              <w:pStyle w:val="TableTextEntries"/>
            </w:pPr>
            <w:r>
              <w:t>November 2013</w:t>
            </w:r>
          </w:p>
        </w:tc>
      </w:tr>
      <w:tr w:rsidR="000D45DD" w:rsidRPr="00DB3ED2" w14:paraId="3BEE01D9" w14:textId="77777777" w:rsidTr="00367FC4">
        <w:tc>
          <w:tcPr>
            <w:tcW w:w="3496" w:type="dxa"/>
          </w:tcPr>
          <w:p w14:paraId="7F4B9432" w14:textId="77777777" w:rsidR="000D45DD" w:rsidRPr="00255F5B" w:rsidRDefault="000D45DD" w:rsidP="00367FC4">
            <w:pPr>
              <w:pStyle w:val="TableTextEntries"/>
            </w:pPr>
            <w:r w:rsidRPr="00DB3ED2">
              <w:t>Food Security Risk &amp; Vulnerability Survey</w:t>
            </w:r>
          </w:p>
        </w:tc>
        <w:tc>
          <w:tcPr>
            <w:tcW w:w="1673" w:type="dxa"/>
          </w:tcPr>
          <w:p w14:paraId="11814F68" w14:textId="77777777" w:rsidR="000D45DD" w:rsidRDefault="000D45DD" w:rsidP="00367FC4">
            <w:pPr>
              <w:pStyle w:val="TableTextEntries"/>
            </w:pPr>
            <w:r w:rsidRPr="00DB3ED2">
              <w:t>INJ353</w:t>
            </w:r>
          </w:p>
        </w:tc>
        <w:tc>
          <w:tcPr>
            <w:tcW w:w="2612" w:type="dxa"/>
          </w:tcPr>
          <w:p w14:paraId="28D00B65" w14:textId="03205A27" w:rsidR="000D45DD" w:rsidRDefault="000D45DD" w:rsidP="00367FC4">
            <w:pPr>
              <w:pStyle w:val="TableTextEntries"/>
            </w:pPr>
            <w:r w:rsidRPr="00DB3ED2">
              <w:t>Thematic study</w:t>
            </w:r>
            <w:r>
              <w:t xml:space="preserve"> led</w:t>
            </w:r>
            <w:r w:rsidR="00D72F61">
              <w:t xml:space="preserve"> by the Food and Agriculture Organization</w:t>
            </w:r>
          </w:p>
        </w:tc>
        <w:tc>
          <w:tcPr>
            <w:tcW w:w="3286" w:type="dxa"/>
          </w:tcPr>
          <w:p w14:paraId="5051E786" w14:textId="7C04E5B5" w:rsidR="000D45DD" w:rsidRPr="00DB3ED2" w:rsidRDefault="000D45DD" w:rsidP="00367FC4">
            <w:pPr>
              <w:pStyle w:val="TableTextEntries"/>
              <w:rPr>
                <w:lang w:val="en-GB"/>
              </w:rPr>
            </w:pPr>
            <w:r w:rsidRPr="00DB3ED2">
              <w:t>To understand: (1)</w:t>
            </w:r>
            <w:r>
              <w:t xml:space="preserve"> l</w:t>
            </w:r>
            <w:r w:rsidRPr="00DB3ED2">
              <w:t>evels of food insecurity in the country</w:t>
            </w:r>
            <w:r>
              <w:t xml:space="preserve"> (ii) d</w:t>
            </w:r>
            <w:r w:rsidRPr="00DB3ED2">
              <w:t>eterminants of food insecurity</w:t>
            </w:r>
            <w:r>
              <w:t xml:space="preserve"> (iii) </w:t>
            </w:r>
            <w:r w:rsidR="00D72F61">
              <w:t>v</w:t>
            </w:r>
            <w:r w:rsidR="00D72F61" w:rsidRPr="00DB3ED2">
              <w:t xml:space="preserve">ulnerability </w:t>
            </w:r>
            <w:r w:rsidRPr="00DB3ED2">
              <w:t xml:space="preserve">to natural hazards </w:t>
            </w:r>
            <w:r>
              <w:t>(iv) l</w:t>
            </w:r>
            <w:r w:rsidRPr="00DB3ED2">
              <w:t>inkages between food insecurity and malnutrition</w:t>
            </w:r>
          </w:p>
        </w:tc>
        <w:tc>
          <w:tcPr>
            <w:tcW w:w="2226" w:type="dxa"/>
          </w:tcPr>
          <w:p w14:paraId="712BE49B" w14:textId="77777777" w:rsidR="000D45DD" w:rsidRDefault="000D45DD" w:rsidP="00367FC4">
            <w:pPr>
              <w:pStyle w:val="TableTextEntries"/>
            </w:pPr>
            <w:r>
              <w:t>July 2013</w:t>
            </w:r>
          </w:p>
        </w:tc>
      </w:tr>
      <w:tr w:rsidR="000D45DD" w:rsidRPr="00DB3ED2" w14:paraId="60422374" w14:textId="77777777" w:rsidTr="00367FC4">
        <w:tc>
          <w:tcPr>
            <w:tcW w:w="3496" w:type="dxa"/>
          </w:tcPr>
          <w:p w14:paraId="34C9BF45" w14:textId="77777777" w:rsidR="000D45DD" w:rsidRPr="00DB3ED2" w:rsidRDefault="000D45DD" w:rsidP="00367FC4">
            <w:pPr>
              <w:pStyle w:val="TableTextEntries"/>
            </w:pPr>
            <w:r w:rsidRPr="00DB3ED2">
              <w:t>Lao PDR Rural Electrification</w:t>
            </w:r>
          </w:p>
        </w:tc>
        <w:tc>
          <w:tcPr>
            <w:tcW w:w="1673" w:type="dxa"/>
          </w:tcPr>
          <w:p w14:paraId="3ABB80F3" w14:textId="77777777" w:rsidR="000D45DD" w:rsidRPr="00DB3ED2" w:rsidRDefault="000D45DD" w:rsidP="00367FC4">
            <w:pPr>
              <w:pStyle w:val="TableTextEntries"/>
            </w:pPr>
            <w:r w:rsidRPr="00DB3ED2">
              <w:t>INH748</w:t>
            </w:r>
          </w:p>
        </w:tc>
        <w:tc>
          <w:tcPr>
            <w:tcW w:w="2612" w:type="dxa"/>
          </w:tcPr>
          <w:p w14:paraId="464EBDAC" w14:textId="62ED42CB" w:rsidR="000D45DD" w:rsidRPr="00DB3ED2" w:rsidRDefault="000D45DD" w:rsidP="00367FC4">
            <w:pPr>
              <w:pStyle w:val="TableTextEntries"/>
            </w:pPr>
            <w:r w:rsidRPr="00DB3ED2">
              <w:t xml:space="preserve">Household </w:t>
            </w:r>
            <w:r w:rsidR="00D72F61">
              <w:t>s</w:t>
            </w:r>
            <w:r w:rsidR="00D72F61" w:rsidRPr="00DB3ED2">
              <w:t xml:space="preserve">urvey </w:t>
            </w:r>
          </w:p>
          <w:p w14:paraId="55CF4FB1" w14:textId="43285145" w:rsidR="000D45DD" w:rsidRPr="00DB3ED2" w:rsidRDefault="000D45DD" w:rsidP="00367FC4">
            <w:pPr>
              <w:pStyle w:val="TableTextEntries"/>
            </w:pPr>
            <w:r w:rsidRPr="00DB3ED2">
              <w:t>Impact evaluation</w:t>
            </w:r>
          </w:p>
        </w:tc>
        <w:tc>
          <w:tcPr>
            <w:tcW w:w="3286" w:type="dxa"/>
          </w:tcPr>
          <w:p w14:paraId="0D311BD6" w14:textId="26E679AB" w:rsidR="000D45DD" w:rsidRPr="00DB3ED2" w:rsidRDefault="000D45DD" w:rsidP="00367FC4">
            <w:pPr>
              <w:pStyle w:val="TableTextEntries"/>
            </w:pPr>
            <w:r>
              <w:t xml:space="preserve">Households survey impact study </w:t>
            </w:r>
            <w:r w:rsidR="00D72F61">
              <w:t xml:space="preserve">on the </w:t>
            </w:r>
            <w:r>
              <w:t>welfare benefit of rural electrification in Laos</w:t>
            </w:r>
          </w:p>
        </w:tc>
        <w:tc>
          <w:tcPr>
            <w:tcW w:w="2226" w:type="dxa"/>
          </w:tcPr>
          <w:p w14:paraId="30058EC0" w14:textId="77777777" w:rsidR="000D45DD" w:rsidRDefault="000D45DD" w:rsidP="00367FC4">
            <w:pPr>
              <w:pStyle w:val="TableTextEntries"/>
            </w:pPr>
            <w:r>
              <w:t>July 2013</w:t>
            </w:r>
          </w:p>
        </w:tc>
      </w:tr>
      <w:tr w:rsidR="000D45DD" w:rsidRPr="00DB3ED2" w14:paraId="0C372266" w14:textId="77777777" w:rsidTr="00367FC4">
        <w:tc>
          <w:tcPr>
            <w:tcW w:w="3496" w:type="dxa"/>
          </w:tcPr>
          <w:p w14:paraId="645712D3" w14:textId="77777777" w:rsidR="000D45DD" w:rsidRPr="00DB3ED2" w:rsidRDefault="000D45DD" w:rsidP="00367FC4">
            <w:pPr>
              <w:pStyle w:val="TableTextEntries"/>
            </w:pPr>
            <w:r w:rsidRPr="00643761">
              <w:t>Poverty Reduction Fund</w:t>
            </w:r>
          </w:p>
        </w:tc>
        <w:tc>
          <w:tcPr>
            <w:tcW w:w="1673" w:type="dxa"/>
          </w:tcPr>
          <w:p w14:paraId="7B7A01E3" w14:textId="77777777" w:rsidR="000D45DD" w:rsidRPr="00DB3ED2" w:rsidRDefault="000D45DD" w:rsidP="00367FC4">
            <w:pPr>
              <w:pStyle w:val="TableTextEntries"/>
            </w:pPr>
            <w:r w:rsidRPr="00643761">
              <w:t>INJ573</w:t>
            </w:r>
          </w:p>
        </w:tc>
        <w:tc>
          <w:tcPr>
            <w:tcW w:w="2612" w:type="dxa"/>
          </w:tcPr>
          <w:p w14:paraId="12A76E7C" w14:textId="77777777" w:rsidR="000D45DD" w:rsidRPr="00DB3ED2" w:rsidRDefault="000D45DD" w:rsidP="00367FC4">
            <w:pPr>
              <w:pStyle w:val="TableTextEntries"/>
            </w:pPr>
            <w:r w:rsidRPr="00643761">
              <w:t>Household baseline survey impact evaluation</w:t>
            </w:r>
          </w:p>
        </w:tc>
        <w:tc>
          <w:tcPr>
            <w:tcW w:w="3286" w:type="dxa"/>
          </w:tcPr>
          <w:p w14:paraId="3C4638D4" w14:textId="77777777" w:rsidR="000D45DD" w:rsidRDefault="000D45DD" w:rsidP="00367FC4">
            <w:pPr>
              <w:pStyle w:val="TableTextEntries"/>
            </w:pPr>
            <w:r>
              <w:t xml:space="preserve">Baseline survey of the target areas </w:t>
            </w:r>
          </w:p>
        </w:tc>
        <w:tc>
          <w:tcPr>
            <w:tcW w:w="2226" w:type="dxa"/>
          </w:tcPr>
          <w:p w14:paraId="6CFEF62E" w14:textId="77777777" w:rsidR="000D45DD" w:rsidRDefault="000D45DD" w:rsidP="00367FC4">
            <w:pPr>
              <w:pStyle w:val="TableTextEntries"/>
            </w:pPr>
            <w:r>
              <w:t>July 2013</w:t>
            </w:r>
          </w:p>
        </w:tc>
      </w:tr>
      <w:tr w:rsidR="000D45DD" w:rsidRPr="00DB3ED2" w14:paraId="11A07822" w14:textId="77777777" w:rsidTr="00367FC4">
        <w:tc>
          <w:tcPr>
            <w:tcW w:w="3496" w:type="dxa"/>
          </w:tcPr>
          <w:p w14:paraId="3A2F54E2" w14:textId="77777777" w:rsidR="000D45DD" w:rsidRPr="00643761" w:rsidRDefault="000D45DD" w:rsidP="00367FC4">
            <w:pPr>
              <w:pStyle w:val="TableTextEntries"/>
            </w:pPr>
            <w:r>
              <w:t>Joint Analytical Work on Poverty and Vulnerability in Laos</w:t>
            </w:r>
          </w:p>
        </w:tc>
        <w:tc>
          <w:tcPr>
            <w:tcW w:w="1673" w:type="dxa"/>
          </w:tcPr>
          <w:p w14:paraId="44D833EC" w14:textId="77777777" w:rsidR="000D45DD" w:rsidRPr="00643761" w:rsidRDefault="000D45DD" w:rsidP="00367FC4">
            <w:pPr>
              <w:pStyle w:val="TableTextEntries"/>
            </w:pPr>
            <w:r>
              <w:t>N/A</w:t>
            </w:r>
          </w:p>
        </w:tc>
        <w:tc>
          <w:tcPr>
            <w:tcW w:w="2612" w:type="dxa"/>
          </w:tcPr>
          <w:p w14:paraId="354CCC10" w14:textId="77777777" w:rsidR="000D45DD" w:rsidRDefault="000D45DD" w:rsidP="00367FC4">
            <w:pPr>
              <w:pStyle w:val="TableTextEntries"/>
            </w:pPr>
          </w:p>
          <w:p w14:paraId="5E3D47CB" w14:textId="4F33D5D8" w:rsidR="000D45DD" w:rsidRPr="00643761" w:rsidRDefault="000D45DD" w:rsidP="00367FC4">
            <w:pPr>
              <w:pStyle w:val="TableTextEntries"/>
            </w:pPr>
            <w:r>
              <w:t xml:space="preserve">Thematic study </w:t>
            </w:r>
            <w:r w:rsidR="00D72F61">
              <w:t xml:space="preserve">led by </w:t>
            </w:r>
            <w:r>
              <w:t>World Bank</w:t>
            </w:r>
          </w:p>
        </w:tc>
        <w:tc>
          <w:tcPr>
            <w:tcW w:w="3286" w:type="dxa"/>
          </w:tcPr>
          <w:p w14:paraId="6FF8299C" w14:textId="77777777" w:rsidR="000D45DD" w:rsidRDefault="000D45DD" w:rsidP="00367FC4">
            <w:pPr>
              <w:pStyle w:val="TableTextEntries"/>
            </w:pPr>
            <w:r>
              <w:t xml:space="preserve">To understand </w:t>
            </w:r>
            <w:r w:rsidR="00786EE5">
              <w:t xml:space="preserve">the </w:t>
            </w:r>
            <w:r w:rsidR="00DD3C94">
              <w:t>determinants of</w:t>
            </w:r>
            <w:r>
              <w:t xml:space="preserve"> poverty </w:t>
            </w:r>
            <w:r w:rsidR="00DD3C94">
              <w:t xml:space="preserve">and vulnerability, poverty dynamic, targeting and education </w:t>
            </w:r>
          </w:p>
        </w:tc>
        <w:tc>
          <w:tcPr>
            <w:tcW w:w="2226" w:type="dxa"/>
          </w:tcPr>
          <w:p w14:paraId="1E6130F9" w14:textId="77777777" w:rsidR="000D45DD" w:rsidRDefault="000D45DD" w:rsidP="00367FC4">
            <w:pPr>
              <w:pStyle w:val="TableTextEntries"/>
            </w:pPr>
            <w:r>
              <w:t xml:space="preserve"> June 201</w:t>
            </w:r>
            <w:r w:rsidR="00DD3C94">
              <w:t>6</w:t>
            </w:r>
          </w:p>
        </w:tc>
      </w:tr>
    </w:tbl>
    <w:p w14:paraId="6C1F3067" w14:textId="77777777" w:rsidR="00F77E6A" w:rsidRDefault="00F77E6A" w:rsidP="00071B95">
      <w:pPr>
        <w:rPr>
          <w:b/>
        </w:rPr>
        <w:sectPr w:rsidR="00F77E6A" w:rsidSect="004614F1">
          <w:headerReference w:type="default" r:id="rId21"/>
          <w:footerReference w:type="default" r:id="rId22"/>
          <w:headerReference w:type="first" r:id="rId23"/>
          <w:footerReference w:type="first" r:id="rId24"/>
          <w:pgSz w:w="16838" w:h="11906" w:orient="landscape" w:code="9"/>
          <w:pgMar w:top="1871" w:right="2268" w:bottom="1134" w:left="907" w:header="709" w:footer="454" w:gutter="0"/>
          <w:cols w:space="708"/>
          <w:docGrid w:linePitch="360"/>
        </w:sectPr>
      </w:pPr>
    </w:p>
    <w:p w14:paraId="6561E0A5" w14:textId="6A435B79" w:rsidR="00795EBB" w:rsidRPr="00367FC4" w:rsidRDefault="00316136" w:rsidP="00367FC4">
      <w:pPr>
        <w:pStyle w:val="Heading1"/>
      </w:pPr>
      <w:r>
        <w:lastRenderedPageBreak/>
        <w:t>Annex D</w:t>
      </w:r>
      <w:r w:rsidR="00795EBB" w:rsidRPr="00367FC4">
        <w:t>: Performance assessment framework</w:t>
      </w:r>
    </w:p>
    <w:tbl>
      <w:tblPr>
        <w:tblStyle w:val="APPR"/>
        <w:tblW w:w="5000" w:type="pct"/>
        <w:tblLayout w:type="fixed"/>
        <w:tblLook w:val="01E0" w:firstRow="1" w:lastRow="1" w:firstColumn="1" w:lastColumn="1" w:noHBand="0" w:noVBand="0"/>
      </w:tblPr>
      <w:tblGrid>
        <w:gridCol w:w="2305"/>
        <w:gridCol w:w="2288"/>
        <w:gridCol w:w="2288"/>
        <w:gridCol w:w="2287"/>
        <w:gridCol w:w="2287"/>
        <w:gridCol w:w="2482"/>
      </w:tblGrid>
      <w:tr w:rsidR="004F1371" w:rsidRPr="004F1371" w14:paraId="5A25378F" w14:textId="77777777" w:rsidTr="008171B0">
        <w:trPr>
          <w:cnfStyle w:val="100000000000" w:firstRow="1" w:lastRow="0" w:firstColumn="0" w:lastColumn="0" w:oddVBand="0" w:evenVBand="0" w:oddHBand="0" w:evenHBand="0" w:firstRowFirstColumn="0" w:firstRowLastColumn="0" w:lastRowFirstColumn="0" w:lastRowLastColumn="0"/>
          <w:cantSplit/>
        </w:trPr>
        <w:tc>
          <w:tcPr>
            <w:tcW w:w="820" w:type="pct"/>
          </w:tcPr>
          <w:p w14:paraId="76F40C0E" w14:textId="77777777" w:rsidR="00795EBB" w:rsidRPr="004F1371" w:rsidRDefault="00795EBB" w:rsidP="004F1371">
            <w:pPr>
              <w:pStyle w:val="TableTextColumnHeading"/>
              <w:rPr>
                <w:b/>
              </w:rPr>
            </w:pPr>
            <w:bookmarkStart w:id="1" w:name="_Hlk207556521"/>
            <w:r w:rsidRPr="004F1371">
              <w:rPr>
                <w:b/>
              </w:rPr>
              <w:t xml:space="preserve">Laos development outcomes 2015 </w:t>
            </w:r>
          </w:p>
        </w:tc>
        <w:tc>
          <w:tcPr>
            <w:tcW w:w="819" w:type="pct"/>
          </w:tcPr>
          <w:p w14:paraId="0B7F676E" w14:textId="77777777" w:rsidR="00795EBB" w:rsidRPr="004F1371" w:rsidRDefault="00795EBB" w:rsidP="004F1371">
            <w:pPr>
              <w:pStyle w:val="TableTextColumnHeading"/>
              <w:rPr>
                <w:b/>
              </w:rPr>
            </w:pPr>
            <w:r w:rsidRPr="004F1371">
              <w:rPr>
                <w:b/>
              </w:rPr>
              <w:t>Australia country strategy objectives 2015</w:t>
            </w:r>
          </w:p>
        </w:tc>
        <w:tc>
          <w:tcPr>
            <w:tcW w:w="819" w:type="pct"/>
          </w:tcPr>
          <w:p w14:paraId="31AFA1A2" w14:textId="77777777" w:rsidR="00795EBB" w:rsidRPr="004F1371" w:rsidRDefault="00795EBB" w:rsidP="004F1371">
            <w:pPr>
              <w:pStyle w:val="TableTextColumnHeading"/>
              <w:rPr>
                <w:b/>
              </w:rPr>
            </w:pPr>
            <w:r w:rsidRPr="004F1371">
              <w:rPr>
                <w:b/>
              </w:rPr>
              <w:t>Strategy objective indicators (2015)</w:t>
            </w:r>
          </w:p>
        </w:tc>
        <w:tc>
          <w:tcPr>
            <w:tcW w:w="819" w:type="pct"/>
          </w:tcPr>
          <w:p w14:paraId="39D87FF2" w14:textId="6B3B91BD" w:rsidR="00795EBB" w:rsidRPr="004F1371" w:rsidRDefault="00795EBB" w:rsidP="004F1371">
            <w:pPr>
              <w:pStyle w:val="TableTextColumnHeading"/>
              <w:rPr>
                <w:b/>
              </w:rPr>
            </w:pPr>
            <w:r w:rsidRPr="004F1371">
              <w:rPr>
                <w:b/>
              </w:rPr>
              <w:t>2012</w:t>
            </w:r>
            <w:r w:rsidR="005D2D67" w:rsidRPr="004F1371">
              <w:rPr>
                <w:b/>
              </w:rPr>
              <w:t>–</w:t>
            </w:r>
            <w:r w:rsidRPr="004F1371">
              <w:rPr>
                <w:b/>
              </w:rPr>
              <w:t>13</w:t>
            </w:r>
            <w:r w:rsidR="00B90EB9" w:rsidRPr="004F1371">
              <w:rPr>
                <w:b/>
              </w:rPr>
              <w:t xml:space="preserve"> </w:t>
            </w:r>
            <w:r w:rsidRPr="004F1371">
              <w:rPr>
                <w:b/>
              </w:rPr>
              <w:t>milestone targets</w:t>
            </w:r>
          </w:p>
        </w:tc>
        <w:tc>
          <w:tcPr>
            <w:tcW w:w="819" w:type="pct"/>
          </w:tcPr>
          <w:p w14:paraId="41B13451" w14:textId="6752FB84" w:rsidR="00795EBB" w:rsidRPr="004F1371" w:rsidRDefault="00795EBB" w:rsidP="004F1371">
            <w:pPr>
              <w:pStyle w:val="TableTextColumnHeading"/>
              <w:rPr>
                <w:b/>
              </w:rPr>
            </w:pPr>
            <w:r w:rsidRPr="004F1371">
              <w:rPr>
                <w:b/>
              </w:rPr>
              <w:t>2012</w:t>
            </w:r>
            <w:r w:rsidR="005D2D67" w:rsidRPr="004F1371">
              <w:rPr>
                <w:b/>
              </w:rPr>
              <w:t>–</w:t>
            </w:r>
            <w:r w:rsidRPr="004F1371">
              <w:rPr>
                <w:b/>
              </w:rPr>
              <w:t xml:space="preserve">13 milestone achievements </w:t>
            </w:r>
          </w:p>
        </w:tc>
        <w:tc>
          <w:tcPr>
            <w:tcW w:w="833" w:type="pct"/>
          </w:tcPr>
          <w:p w14:paraId="4630D341" w14:textId="7587DA88" w:rsidR="00795EBB" w:rsidRPr="004F1371" w:rsidRDefault="00795EBB" w:rsidP="004F1371">
            <w:pPr>
              <w:pStyle w:val="TableTextColumnHeading"/>
              <w:rPr>
                <w:b/>
              </w:rPr>
            </w:pPr>
            <w:r w:rsidRPr="004F1371">
              <w:rPr>
                <w:b/>
              </w:rPr>
              <w:t>2013</w:t>
            </w:r>
            <w:r w:rsidR="005D2D67" w:rsidRPr="004F1371">
              <w:rPr>
                <w:b/>
              </w:rPr>
              <w:t>–</w:t>
            </w:r>
            <w:r w:rsidRPr="004F1371">
              <w:rPr>
                <w:b/>
              </w:rPr>
              <w:t>14 milestones</w:t>
            </w:r>
          </w:p>
        </w:tc>
      </w:tr>
      <w:tr w:rsidR="00795EBB" w:rsidRPr="004F1371" w14:paraId="576C2C03" w14:textId="77777777" w:rsidTr="008171B0">
        <w:trPr>
          <w:cantSplit/>
          <w:tblHeader w:val="0"/>
        </w:trPr>
        <w:tc>
          <w:tcPr>
            <w:tcW w:w="4980" w:type="pct"/>
            <w:gridSpan w:val="6"/>
          </w:tcPr>
          <w:p w14:paraId="60D145B5" w14:textId="77D77C9A" w:rsidR="00795EBB" w:rsidRPr="004F1371" w:rsidRDefault="00795EBB" w:rsidP="004F1371">
            <w:pPr>
              <w:pStyle w:val="TableHeading2"/>
            </w:pPr>
            <w:r w:rsidRPr="004F1371">
              <w:t xml:space="preserve">Pillar 1 </w:t>
            </w:r>
            <w:r w:rsidR="005D2D67" w:rsidRPr="004F1371">
              <w:t xml:space="preserve">– </w:t>
            </w:r>
            <w:r w:rsidRPr="004F1371">
              <w:t>Education</w:t>
            </w:r>
          </w:p>
        </w:tc>
      </w:tr>
      <w:bookmarkEnd w:id="1"/>
      <w:tr w:rsidR="004F1371" w:rsidRPr="004F1371" w14:paraId="128D5AA2"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6BE14135" w14:textId="77777777" w:rsidR="00795EBB" w:rsidRPr="004F1371" w:rsidRDefault="00795EBB" w:rsidP="004F1371">
            <w:pPr>
              <w:pStyle w:val="TableTextEntries"/>
            </w:pPr>
            <w:r w:rsidRPr="004F1371">
              <w:t>All boys and girls complete a full course of quality primary education</w:t>
            </w:r>
          </w:p>
          <w:p w14:paraId="3B8F9174" w14:textId="77777777" w:rsidR="00795EBB" w:rsidRPr="004F1371" w:rsidRDefault="00795EBB" w:rsidP="004F1371">
            <w:pPr>
              <w:pStyle w:val="TableTextEntries"/>
            </w:pPr>
          </w:p>
          <w:p w14:paraId="0DCBEB15" w14:textId="77777777" w:rsidR="00795EBB" w:rsidRPr="004F1371" w:rsidRDefault="00795EBB" w:rsidP="004F1371">
            <w:pPr>
              <w:pStyle w:val="TableTextEntries"/>
            </w:pPr>
            <w:r w:rsidRPr="004F1371">
              <w:t>Net enrolment and completion rates for primary education increase nationally and in targeted geographic areas</w:t>
            </w:r>
          </w:p>
          <w:p w14:paraId="6306333C" w14:textId="77777777" w:rsidR="00795EBB" w:rsidRPr="004F1371" w:rsidRDefault="00795EBB" w:rsidP="004F1371">
            <w:pPr>
              <w:pStyle w:val="TableTextEntries"/>
            </w:pPr>
          </w:p>
          <w:p w14:paraId="7FE85DE2" w14:textId="77777777" w:rsidR="00795EBB" w:rsidRPr="004F1371" w:rsidRDefault="00795EBB" w:rsidP="004F1371">
            <w:pPr>
              <w:pStyle w:val="TableTextEntries"/>
            </w:pPr>
            <w:r w:rsidRPr="004F1371">
              <w:t>Survival rates for primary education increase nationally and in targeted geographic areas</w:t>
            </w:r>
          </w:p>
          <w:p w14:paraId="1066A62F" w14:textId="77777777" w:rsidR="00795EBB" w:rsidRPr="004F1371" w:rsidRDefault="00795EBB" w:rsidP="004F1371">
            <w:pPr>
              <w:pStyle w:val="TableTextEntries"/>
            </w:pPr>
            <w:r w:rsidRPr="004F1371">
              <w:t>Ratio of boys to girls enrolled increases nationally and in targeted geographic areas</w:t>
            </w:r>
          </w:p>
          <w:p w14:paraId="4D020EF2" w14:textId="77777777" w:rsidR="00795EBB" w:rsidRPr="004F1371" w:rsidRDefault="00795EBB" w:rsidP="004F1371">
            <w:pPr>
              <w:pStyle w:val="TableTextEntries"/>
            </w:pPr>
            <w:r w:rsidRPr="004F1371">
              <w:t>Learning quality increases nationally and in targeted geographic areas</w:t>
            </w:r>
          </w:p>
        </w:tc>
        <w:tc>
          <w:tcPr>
            <w:tcW w:w="819" w:type="pct"/>
          </w:tcPr>
          <w:p w14:paraId="63044AC1" w14:textId="4108405A" w:rsidR="00795EBB" w:rsidRPr="004F1371" w:rsidRDefault="00795EBB" w:rsidP="004F1371">
            <w:pPr>
              <w:pStyle w:val="TableTextEntries"/>
            </w:pPr>
            <w:r w:rsidRPr="004F1371">
              <w:t xml:space="preserve">Strategy objective 1: </w:t>
            </w:r>
            <w:r w:rsidR="005D2D67" w:rsidRPr="004F1371">
              <w:t>m</w:t>
            </w:r>
            <w:r w:rsidRPr="004F1371">
              <w:t>itigation of key constraints to equitable access to a quality basic education in targeted poor geographic areas</w:t>
            </w:r>
          </w:p>
        </w:tc>
        <w:tc>
          <w:tcPr>
            <w:tcW w:w="819" w:type="pct"/>
          </w:tcPr>
          <w:p w14:paraId="36B4BD15" w14:textId="77777777" w:rsidR="00795EBB" w:rsidRPr="004F1371" w:rsidRDefault="00795EBB" w:rsidP="004F1371">
            <w:pPr>
              <w:pStyle w:val="TableTextEntries"/>
            </w:pPr>
            <w:r w:rsidRPr="004F1371">
              <w:t xml:space="preserve">In the 56 most educationally disadvantaged districts: </w:t>
            </w:r>
          </w:p>
          <w:p w14:paraId="4EC6A8D8" w14:textId="77777777" w:rsidR="00795EBB" w:rsidRPr="004F1371" w:rsidRDefault="00795EBB" w:rsidP="004F1371">
            <w:pPr>
              <w:pStyle w:val="TableTextEntries"/>
            </w:pPr>
            <w:r w:rsidRPr="004F1371">
              <w:t>1. Appropriate school infrastructure for primary and pre-primary schools was provided and maintained according to Ministry of Education quality minimum standards, including water and sanitation facilities</w:t>
            </w:r>
          </w:p>
        </w:tc>
        <w:tc>
          <w:tcPr>
            <w:tcW w:w="819" w:type="pct"/>
          </w:tcPr>
          <w:p w14:paraId="3648349F" w14:textId="77777777" w:rsidR="00795EBB" w:rsidRPr="004F1371" w:rsidRDefault="00795EBB" w:rsidP="004F1371">
            <w:pPr>
              <w:pStyle w:val="TableTextEntries"/>
            </w:pPr>
          </w:p>
        </w:tc>
        <w:tc>
          <w:tcPr>
            <w:tcW w:w="819" w:type="pct"/>
          </w:tcPr>
          <w:p w14:paraId="0B177C8D" w14:textId="77777777" w:rsidR="00795EBB" w:rsidRPr="004F1371" w:rsidRDefault="00795EBB" w:rsidP="004F1371">
            <w:pPr>
              <w:pStyle w:val="TableTextEntries"/>
            </w:pPr>
            <w:r w:rsidRPr="004F1371">
              <w:t xml:space="preserve">1. Milestone partially met </w:t>
            </w:r>
          </w:p>
          <w:p w14:paraId="1F11D6F6" w14:textId="77777777" w:rsidR="00795EBB" w:rsidRPr="004F1371" w:rsidRDefault="00795EBB" w:rsidP="004F1371">
            <w:pPr>
              <w:pStyle w:val="TableTextEntries"/>
            </w:pPr>
          </w:p>
        </w:tc>
        <w:tc>
          <w:tcPr>
            <w:tcW w:w="833" w:type="pct"/>
          </w:tcPr>
          <w:p w14:paraId="0A705584" w14:textId="77777777" w:rsidR="00795EBB" w:rsidRPr="004F1371" w:rsidRDefault="00795EBB" w:rsidP="004F1371">
            <w:pPr>
              <w:pStyle w:val="TableTextEntries"/>
            </w:pPr>
          </w:p>
        </w:tc>
      </w:tr>
      <w:tr w:rsidR="004F1371" w:rsidRPr="004F1371" w14:paraId="18A49AFB" w14:textId="77777777" w:rsidTr="008171B0">
        <w:trPr>
          <w:cantSplit/>
          <w:tblHeader w:val="0"/>
        </w:trPr>
        <w:tc>
          <w:tcPr>
            <w:tcW w:w="820" w:type="pct"/>
            <w:vMerge/>
          </w:tcPr>
          <w:p w14:paraId="53DABCBC" w14:textId="77777777" w:rsidR="00795EBB" w:rsidRPr="004F1371" w:rsidRDefault="00795EBB" w:rsidP="004F1371">
            <w:pPr>
              <w:pStyle w:val="TableTextEntries"/>
            </w:pPr>
          </w:p>
        </w:tc>
        <w:tc>
          <w:tcPr>
            <w:tcW w:w="819" w:type="pct"/>
          </w:tcPr>
          <w:p w14:paraId="098767DE" w14:textId="77777777" w:rsidR="00795EBB" w:rsidRPr="004F1371" w:rsidRDefault="00795EBB" w:rsidP="004F1371">
            <w:pPr>
              <w:pStyle w:val="TableTextEntries"/>
            </w:pPr>
          </w:p>
        </w:tc>
        <w:tc>
          <w:tcPr>
            <w:tcW w:w="819" w:type="pct"/>
          </w:tcPr>
          <w:p w14:paraId="2AA874E2" w14:textId="77777777" w:rsidR="00795EBB" w:rsidRPr="004F1371" w:rsidRDefault="00795EBB" w:rsidP="004F1371">
            <w:pPr>
              <w:pStyle w:val="TableTextEntries"/>
            </w:pPr>
            <w:r w:rsidRPr="004F1371">
              <w:t>1.1 Number of schools with new classrooms constructed</w:t>
            </w:r>
          </w:p>
        </w:tc>
        <w:tc>
          <w:tcPr>
            <w:tcW w:w="819" w:type="pct"/>
          </w:tcPr>
          <w:p w14:paraId="1B98D5A6" w14:textId="6269E30D" w:rsidR="00795EBB" w:rsidRPr="004F1371" w:rsidRDefault="00795EBB" w:rsidP="004F1371">
            <w:pPr>
              <w:pStyle w:val="TableTextEntries"/>
            </w:pPr>
            <w:r w:rsidRPr="004F1371">
              <w:t>1.1.1 A total of 33</w:t>
            </w:r>
            <w:r w:rsidR="00AD6608" w:rsidRPr="004F1371">
              <w:t>2</w:t>
            </w:r>
            <w:r w:rsidRPr="004F1371">
              <w:t xml:space="preserve"> schools with new classrooms constructed</w:t>
            </w:r>
            <w:r w:rsidR="00D543E6" w:rsidRPr="00C645CE">
              <w:rPr>
                <w:sz w:val="20"/>
                <w:vertAlign w:val="superscript"/>
              </w:rPr>
              <w:footnoteReference w:id="56"/>
            </w:r>
          </w:p>
        </w:tc>
        <w:tc>
          <w:tcPr>
            <w:tcW w:w="819" w:type="pct"/>
          </w:tcPr>
          <w:p w14:paraId="51490916" w14:textId="54F523A4" w:rsidR="00795EBB" w:rsidRPr="004F1371" w:rsidRDefault="00795EBB" w:rsidP="000C173F">
            <w:pPr>
              <w:pStyle w:val="TableTextEntries"/>
              <w:rPr>
                <w:highlight w:val="green"/>
              </w:rPr>
            </w:pPr>
            <w:r w:rsidRPr="004F1371">
              <w:t>1.1.1. A total of 234 schools (93</w:t>
            </w:r>
            <w:r w:rsidR="000C173F">
              <w:t xml:space="preserve"> DFAT</w:t>
            </w:r>
            <w:r w:rsidRPr="004F1371">
              <w:t>) with new classrooms constructed in 2012</w:t>
            </w:r>
            <w:r w:rsidR="005D2D67" w:rsidRPr="004F1371">
              <w:t>–</w:t>
            </w:r>
            <w:r w:rsidRPr="004F1371">
              <w:t>13 (77% of target met by March 2013)</w:t>
            </w:r>
          </w:p>
        </w:tc>
        <w:tc>
          <w:tcPr>
            <w:tcW w:w="833" w:type="pct"/>
          </w:tcPr>
          <w:p w14:paraId="79EE6B47" w14:textId="561861AA" w:rsidR="00795EBB" w:rsidRPr="004F1371" w:rsidRDefault="00795EBB" w:rsidP="004F1371">
            <w:pPr>
              <w:pStyle w:val="TableTextEntries"/>
            </w:pPr>
            <w:r w:rsidRPr="004F1371">
              <w:t>1.1.1 A total of 98 schools (53</w:t>
            </w:r>
            <w:r w:rsidR="000C173F">
              <w:t>DFAT</w:t>
            </w:r>
            <w:r w:rsidRPr="004F1371">
              <w:t>) with new classrooms constructed</w:t>
            </w:r>
          </w:p>
          <w:p w14:paraId="4A967E46" w14:textId="77777777" w:rsidR="00795EBB" w:rsidRPr="004F1371" w:rsidRDefault="00795EBB" w:rsidP="004F1371">
            <w:pPr>
              <w:pStyle w:val="TableTextEntries"/>
            </w:pPr>
          </w:p>
          <w:p w14:paraId="0A772A76" w14:textId="77777777" w:rsidR="00795EBB" w:rsidRPr="004F1371" w:rsidRDefault="00795EBB" w:rsidP="004F1371">
            <w:pPr>
              <w:pStyle w:val="TableTextEntries"/>
            </w:pPr>
          </w:p>
        </w:tc>
      </w:tr>
      <w:tr w:rsidR="004F1371" w:rsidRPr="004F1371" w14:paraId="5F8BFC37"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7DDA45CE" w14:textId="77777777" w:rsidR="00795EBB" w:rsidRPr="004F1371" w:rsidRDefault="00795EBB" w:rsidP="004F1371">
            <w:pPr>
              <w:pStyle w:val="TableTextEntries"/>
            </w:pPr>
          </w:p>
        </w:tc>
        <w:tc>
          <w:tcPr>
            <w:tcW w:w="819" w:type="pct"/>
          </w:tcPr>
          <w:p w14:paraId="39B4D9A3" w14:textId="77777777" w:rsidR="00795EBB" w:rsidRPr="004F1371" w:rsidRDefault="00795EBB" w:rsidP="004F1371">
            <w:pPr>
              <w:pStyle w:val="TableTextEntries"/>
            </w:pPr>
          </w:p>
        </w:tc>
        <w:tc>
          <w:tcPr>
            <w:tcW w:w="819" w:type="pct"/>
          </w:tcPr>
          <w:p w14:paraId="6A0E07F9" w14:textId="77777777" w:rsidR="00795EBB" w:rsidRPr="004F1371" w:rsidRDefault="00795EBB" w:rsidP="004F1371">
            <w:pPr>
              <w:pStyle w:val="TableTextEntries"/>
            </w:pPr>
          </w:p>
        </w:tc>
        <w:tc>
          <w:tcPr>
            <w:tcW w:w="819" w:type="pct"/>
          </w:tcPr>
          <w:p w14:paraId="3754B96B" w14:textId="77777777" w:rsidR="00795EBB" w:rsidRPr="004F1371" w:rsidRDefault="00795EBB" w:rsidP="004F1371">
            <w:pPr>
              <w:pStyle w:val="TableTextEntries"/>
            </w:pPr>
            <w:r w:rsidRPr="004F1371">
              <w:t>1.1.2 Safety audit completed</w:t>
            </w:r>
          </w:p>
        </w:tc>
        <w:tc>
          <w:tcPr>
            <w:tcW w:w="819" w:type="pct"/>
          </w:tcPr>
          <w:p w14:paraId="485A0F2B" w14:textId="2A1365E8" w:rsidR="00795EBB" w:rsidRPr="004F1371" w:rsidRDefault="00795EBB" w:rsidP="004F1371">
            <w:pPr>
              <w:pStyle w:val="TableTextEntries"/>
            </w:pPr>
            <w:r w:rsidRPr="004F1371">
              <w:t xml:space="preserve">1.1.2 Safety and </w:t>
            </w:r>
            <w:r w:rsidR="005D2D67" w:rsidRPr="004F1371">
              <w:t xml:space="preserve">quality </w:t>
            </w:r>
            <w:r w:rsidRPr="004F1371">
              <w:t xml:space="preserve">audit plan completed </w:t>
            </w:r>
          </w:p>
          <w:p w14:paraId="4204C188" w14:textId="77777777" w:rsidR="00795EBB" w:rsidRPr="004F1371" w:rsidRDefault="00795EBB" w:rsidP="004F1371">
            <w:pPr>
              <w:pStyle w:val="TableTextEntries"/>
            </w:pPr>
          </w:p>
        </w:tc>
        <w:tc>
          <w:tcPr>
            <w:tcW w:w="833" w:type="pct"/>
          </w:tcPr>
          <w:p w14:paraId="4B81613C" w14:textId="45393E90" w:rsidR="00795EBB" w:rsidRPr="004F1371" w:rsidRDefault="00795EBB" w:rsidP="004F1371">
            <w:pPr>
              <w:pStyle w:val="TableTextEntries"/>
            </w:pPr>
            <w:r w:rsidRPr="004F1371">
              <w:t xml:space="preserve">1.1.2 Safety and </w:t>
            </w:r>
            <w:r w:rsidR="005D2D67" w:rsidRPr="004F1371">
              <w:t xml:space="preserve">quality </w:t>
            </w:r>
            <w:r w:rsidRPr="004F1371">
              <w:t>audit completed</w:t>
            </w:r>
          </w:p>
          <w:p w14:paraId="3D7C2B0A" w14:textId="77777777" w:rsidR="00795EBB" w:rsidRPr="004F1371" w:rsidRDefault="00795EBB" w:rsidP="004F1371">
            <w:pPr>
              <w:pStyle w:val="TableTextEntries"/>
            </w:pPr>
          </w:p>
        </w:tc>
      </w:tr>
      <w:tr w:rsidR="004F1371" w:rsidRPr="004F1371" w14:paraId="7BABF557" w14:textId="77777777" w:rsidTr="008171B0">
        <w:trPr>
          <w:cantSplit/>
          <w:tblHeader w:val="0"/>
        </w:trPr>
        <w:tc>
          <w:tcPr>
            <w:tcW w:w="820" w:type="pct"/>
            <w:vMerge/>
          </w:tcPr>
          <w:p w14:paraId="1857C52A" w14:textId="77777777" w:rsidR="00795EBB" w:rsidRPr="004F1371" w:rsidRDefault="00795EBB" w:rsidP="004F1371">
            <w:pPr>
              <w:pStyle w:val="TableTextEntries"/>
            </w:pPr>
          </w:p>
        </w:tc>
        <w:tc>
          <w:tcPr>
            <w:tcW w:w="819" w:type="pct"/>
          </w:tcPr>
          <w:p w14:paraId="7A33A768" w14:textId="77777777" w:rsidR="00795EBB" w:rsidRPr="004F1371" w:rsidRDefault="00795EBB" w:rsidP="004F1371">
            <w:pPr>
              <w:pStyle w:val="TableTextEntries"/>
            </w:pPr>
          </w:p>
        </w:tc>
        <w:tc>
          <w:tcPr>
            <w:tcW w:w="819" w:type="pct"/>
          </w:tcPr>
          <w:p w14:paraId="2AAA481A" w14:textId="52FD27B5" w:rsidR="00795EBB" w:rsidRPr="004F1371" w:rsidRDefault="00795EBB" w:rsidP="004F1371">
            <w:pPr>
              <w:pStyle w:val="TableTextEntries"/>
            </w:pPr>
            <w:r w:rsidRPr="004F1371">
              <w:t>1.2 Number of classrooms built (</w:t>
            </w:r>
            <w:r w:rsidR="00316E56" w:rsidRPr="004F1371">
              <w:t>headline result</w:t>
            </w:r>
            <w:r w:rsidRPr="004F1371">
              <w:t xml:space="preserve"> 8)</w:t>
            </w:r>
          </w:p>
        </w:tc>
        <w:tc>
          <w:tcPr>
            <w:tcW w:w="819" w:type="pct"/>
          </w:tcPr>
          <w:p w14:paraId="619CE915" w14:textId="2D28C172" w:rsidR="00795EBB" w:rsidRPr="004F1371" w:rsidRDefault="00795EBB" w:rsidP="004F1371">
            <w:pPr>
              <w:pStyle w:val="TableTextEntries"/>
            </w:pPr>
            <w:r w:rsidRPr="004F1371">
              <w:t>1.2 A total of 1</w:t>
            </w:r>
            <w:r w:rsidR="007630B2" w:rsidRPr="004F1371">
              <w:t>76</w:t>
            </w:r>
            <w:r w:rsidRPr="004F1371">
              <w:t>6 of classrooms built</w:t>
            </w:r>
            <w:r w:rsidR="00D543E6" w:rsidRPr="00C645CE">
              <w:rPr>
                <w:sz w:val="20"/>
                <w:vertAlign w:val="superscript"/>
              </w:rPr>
              <w:footnoteReference w:id="57"/>
            </w:r>
          </w:p>
        </w:tc>
        <w:tc>
          <w:tcPr>
            <w:tcW w:w="819" w:type="pct"/>
          </w:tcPr>
          <w:p w14:paraId="23D7F791" w14:textId="243C400D" w:rsidR="00795EBB" w:rsidRPr="004F1371" w:rsidRDefault="00795EBB" w:rsidP="000C173F">
            <w:pPr>
              <w:pStyle w:val="TableTextEntries"/>
            </w:pPr>
            <w:r w:rsidRPr="004F1371">
              <w:t>1.2 A total of 1228 (491</w:t>
            </w:r>
            <w:r w:rsidR="000C173F">
              <w:t>DFAT</w:t>
            </w:r>
            <w:r w:rsidRPr="004F1371">
              <w:t>) classrooms constructed (76% of target met by March 2013)</w:t>
            </w:r>
          </w:p>
        </w:tc>
        <w:tc>
          <w:tcPr>
            <w:tcW w:w="833" w:type="pct"/>
          </w:tcPr>
          <w:p w14:paraId="2F414CE5" w14:textId="36720419" w:rsidR="00795EBB" w:rsidRPr="004F1371" w:rsidRDefault="00795EBB" w:rsidP="004F1371">
            <w:pPr>
              <w:pStyle w:val="TableTextEntries"/>
            </w:pPr>
            <w:r w:rsidRPr="004F1371">
              <w:t>1.2 A total of 538 (294 D</w:t>
            </w:r>
            <w:r w:rsidR="000C173F">
              <w:t>FAT</w:t>
            </w:r>
            <w:r w:rsidRPr="004F1371">
              <w:t>) classrooms built or upgraded</w:t>
            </w:r>
          </w:p>
          <w:p w14:paraId="772FB126" w14:textId="77777777" w:rsidR="00795EBB" w:rsidRPr="004F1371" w:rsidRDefault="00795EBB" w:rsidP="004F1371">
            <w:pPr>
              <w:pStyle w:val="TableTextEntries"/>
            </w:pPr>
          </w:p>
        </w:tc>
      </w:tr>
      <w:tr w:rsidR="004F1371" w:rsidRPr="004F1371" w14:paraId="047622C4"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0EEFF23C" w14:textId="77777777" w:rsidR="00795EBB" w:rsidRPr="004F1371" w:rsidRDefault="00795EBB" w:rsidP="004F1371">
            <w:pPr>
              <w:pStyle w:val="TableTextEntries"/>
            </w:pPr>
          </w:p>
        </w:tc>
        <w:tc>
          <w:tcPr>
            <w:tcW w:w="819" w:type="pct"/>
          </w:tcPr>
          <w:p w14:paraId="262CA35E" w14:textId="77777777" w:rsidR="00795EBB" w:rsidRPr="004F1371" w:rsidRDefault="00795EBB" w:rsidP="004F1371">
            <w:pPr>
              <w:pStyle w:val="TableTextEntries"/>
            </w:pPr>
          </w:p>
        </w:tc>
        <w:tc>
          <w:tcPr>
            <w:tcW w:w="819" w:type="pct"/>
          </w:tcPr>
          <w:p w14:paraId="19841023" w14:textId="4021E684" w:rsidR="00795EBB" w:rsidRPr="004F1371" w:rsidRDefault="00795EBB" w:rsidP="004F1371">
            <w:pPr>
              <w:pStyle w:val="TableTextEntries"/>
            </w:pPr>
            <w:r w:rsidRPr="004F1371">
              <w:t xml:space="preserve">1.3 Number of schools provided with </w:t>
            </w:r>
            <w:r w:rsidR="005D2D67" w:rsidRPr="004F1371">
              <w:t xml:space="preserve">water and sanitation </w:t>
            </w:r>
            <w:r w:rsidRPr="004F1371">
              <w:t xml:space="preserve">facilities </w:t>
            </w:r>
          </w:p>
        </w:tc>
        <w:tc>
          <w:tcPr>
            <w:tcW w:w="819" w:type="pct"/>
          </w:tcPr>
          <w:p w14:paraId="7A6BD106" w14:textId="4E71A5BC" w:rsidR="00795EBB" w:rsidRPr="004F1371" w:rsidRDefault="00795EBB" w:rsidP="004F1371">
            <w:pPr>
              <w:pStyle w:val="TableTextEntries"/>
            </w:pPr>
            <w:r w:rsidRPr="004F1371">
              <w:t xml:space="preserve">1.3 A total of 107 schools provided with </w:t>
            </w:r>
            <w:r w:rsidR="005D2D67" w:rsidRPr="004F1371">
              <w:t>water and sanitation</w:t>
            </w:r>
            <w:r w:rsidR="005D2D67" w:rsidRPr="004F1371" w:rsidDel="005D2D67">
              <w:t xml:space="preserve"> </w:t>
            </w:r>
            <w:r w:rsidRPr="004F1371">
              <w:t>facilities</w:t>
            </w:r>
            <w:r w:rsidR="00D543E6" w:rsidRPr="00C645CE">
              <w:rPr>
                <w:sz w:val="20"/>
                <w:vertAlign w:val="superscript"/>
              </w:rPr>
              <w:footnoteReference w:id="58"/>
            </w:r>
          </w:p>
        </w:tc>
        <w:tc>
          <w:tcPr>
            <w:tcW w:w="819" w:type="pct"/>
          </w:tcPr>
          <w:p w14:paraId="153EC9DE" w14:textId="47C7C265" w:rsidR="00795EBB" w:rsidRPr="004F1371" w:rsidRDefault="00795EBB" w:rsidP="004F1371">
            <w:pPr>
              <w:pStyle w:val="TableTextEntries"/>
            </w:pPr>
            <w:r w:rsidRPr="004F1371">
              <w:t xml:space="preserve">1.3 A total of 25 schools provided with </w:t>
            </w:r>
            <w:r w:rsidR="005D2D67" w:rsidRPr="004F1371">
              <w:t>water and sanitation</w:t>
            </w:r>
            <w:r w:rsidR="005D2D67" w:rsidRPr="004F1371" w:rsidDel="005D2D67">
              <w:t xml:space="preserve"> </w:t>
            </w:r>
            <w:r w:rsidRPr="004F1371">
              <w:t>facilities (23% of target met by April 2013)</w:t>
            </w:r>
          </w:p>
        </w:tc>
        <w:tc>
          <w:tcPr>
            <w:tcW w:w="833" w:type="pct"/>
          </w:tcPr>
          <w:p w14:paraId="24D318B3" w14:textId="55797388" w:rsidR="00795EBB" w:rsidRPr="004F1371" w:rsidRDefault="00795EBB" w:rsidP="004F1371">
            <w:pPr>
              <w:pStyle w:val="TableTextEntries"/>
            </w:pPr>
            <w:r w:rsidRPr="004F1371">
              <w:t xml:space="preserve">1.3 A total of 90 schools provided with </w:t>
            </w:r>
            <w:r w:rsidR="005D2D67" w:rsidRPr="004F1371">
              <w:t>water and sanitation</w:t>
            </w:r>
            <w:r w:rsidR="005D2D67" w:rsidRPr="004F1371" w:rsidDel="005D2D67">
              <w:t xml:space="preserve"> </w:t>
            </w:r>
            <w:r w:rsidRPr="004F1371">
              <w:t>facilities</w:t>
            </w:r>
            <w:r w:rsidRPr="00C645CE">
              <w:rPr>
                <w:sz w:val="20"/>
                <w:vertAlign w:val="superscript"/>
              </w:rPr>
              <w:footnoteReference w:id="59"/>
            </w:r>
          </w:p>
          <w:p w14:paraId="516756B4" w14:textId="77777777" w:rsidR="00795EBB" w:rsidRPr="004F1371" w:rsidRDefault="00795EBB" w:rsidP="004F1371">
            <w:pPr>
              <w:pStyle w:val="TableTextEntries"/>
            </w:pPr>
          </w:p>
        </w:tc>
      </w:tr>
      <w:tr w:rsidR="004F1371" w:rsidRPr="004F1371" w14:paraId="38389C32" w14:textId="77777777" w:rsidTr="008171B0">
        <w:trPr>
          <w:cantSplit/>
          <w:tblHeader w:val="0"/>
        </w:trPr>
        <w:tc>
          <w:tcPr>
            <w:tcW w:w="820" w:type="pct"/>
            <w:vMerge w:val="restart"/>
          </w:tcPr>
          <w:p w14:paraId="09B1C4BD" w14:textId="77777777" w:rsidR="00795EBB" w:rsidRPr="004F1371" w:rsidRDefault="00795EBB" w:rsidP="004F1371">
            <w:pPr>
              <w:pStyle w:val="TableTextEntries"/>
            </w:pPr>
          </w:p>
        </w:tc>
        <w:tc>
          <w:tcPr>
            <w:tcW w:w="819" w:type="pct"/>
            <w:vMerge w:val="restart"/>
          </w:tcPr>
          <w:p w14:paraId="03D530C6" w14:textId="77777777" w:rsidR="00795EBB" w:rsidRPr="004F1371" w:rsidRDefault="00795EBB" w:rsidP="004F1371">
            <w:pPr>
              <w:pStyle w:val="TableTextEntries"/>
            </w:pPr>
          </w:p>
        </w:tc>
        <w:tc>
          <w:tcPr>
            <w:tcW w:w="819" w:type="pct"/>
          </w:tcPr>
          <w:p w14:paraId="24BCD28E" w14:textId="77777777" w:rsidR="00795EBB" w:rsidRPr="004F1371" w:rsidRDefault="00795EBB" w:rsidP="004F1371">
            <w:pPr>
              <w:pStyle w:val="TableTextEntries"/>
            </w:pPr>
            <w:r w:rsidRPr="004F1371">
              <w:t>2. Schools of Quality approach is implemented</w:t>
            </w:r>
          </w:p>
        </w:tc>
        <w:tc>
          <w:tcPr>
            <w:tcW w:w="819" w:type="pct"/>
          </w:tcPr>
          <w:p w14:paraId="7AE65505" w14:textId="77777777" w:rsidR="00795EBB" w:rsidRPr="004F1371" w:rsidRDefault="00795EBB" w:rsidP="004F1371">
            <w:pPr>
              <w:pStyle w:val="TableTextEntries"/>
            </w:pPr>
          </w:p>
        </w:tc>
        <w:tc>
          <w:tcPr>
            <w:tcW w:w="819" w:type="pct"/>
          </w:tcPr>
          <w:p w14:paraId="71588CEF" w14:textId="77777777" w:rsidR="00795EBB" w:rsidRPr="004F1371" w:rsidRDefault="00795EBB" w:rsidP="004F1371">
            <w:pPr>
              <w:pStyle w:val="TableTextEntries"/>
            </w:pPr>
            <w:r w:rsidRPr="004F1371">
              <w:t xml:space="preserve">2. Milestone partially met </w:t>
            </w:r>
          </w:p>
          <w:p w14:paraId="6D23B138" w14:textId="77777777" w:rsidR="00795EBB" w:rsidRPr="004F1371" w:rsidRDefault="00795EBB" w:rsidP="004F1371">
            <w:pPr>
              <w:pStyle w:val="TableTextEntries"/>
            </w:pPr>
          </w:p>
        </w:tc>
        <w:tc>
          <w:tcPr>
            <w:tcW w:w="833" w:type="pct"/>
          </w:tcPr>
          <w:p w14:paraId="0D52B00D" w14:textId="77777777" w:rsidR="00795EBB" w:rsidRPr="004F1371" w:rsidRDefault="00795EBB" w:rsidP="004F1371">
            <w:pPr>
              <w:pStyle w:val="TableTextEntries"/>
            </w:pPr>
          </w:p>
        </w:tc>
      </w:tr>
      <w:tr w:rsidR="004F1371" w:rsidRPr="004F1371" w14:paraId="287B70E7"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6ECCE9DA" w14:textId="77777777" w:rsidR="00795EBB" w:rsidRPr="004F1371" w:rsidRDefault="00795EBB" w:rsidP="004F1371">
            <w:pPr>
              <w:pStyle w:val="TableTextEntries"/>
            </w:pPr>
          </w:p>
        </w:tc>
        <w:tc>
          <w:tcPr>
            <w:tcW w:w="819" w:type="pct"/>
            <w:vMerge/>
          </w:tcPr>
          <w:p w14:paraId="4634392B" w14:textId="77777777" w:rsidR="00795EBB" w:rsidRPr="004F1371" w:rsidRDefault="00795EBB" w:rsidP="004F1371">
            <w:pPr>
              <w:pStyle w:val="TableTextEntries"/>
            </w:pPr>
          </w:p>
        </w:tc>
        <w:tc>
          <w:tcPr>
            <w:tcW w:w="819" w:type="pct"/>
          </w:tcPr>
          <w:p w14:paraId="5C8212E4" w14:textId="77777777" w:rsidR="00795EBB" w:rsidRPr="004F1371" w:rsidRDefault="00795EBB" w:rsidP="004F1371">
            <w:pPr>
              <w:pStyle w:val="TableTextEntries"/>
            </w:pPr>
            <w:r w:rsidRPr="004F1371">
              <w:t>2.1 Number of schools implementing Schools of Quality approach</w:t>
            </w:r>
          </w:p>
          <w:p w14:paraId="051BA0BB" w14:textId="77777777" w:rsidR="00795EBB" w:rsidRPr="004F1371" w:rsidRDefault="00795EBB" w:rsidP="004F1371">
            <w:pPr>
              <w:pStyle w:val="TableTextEntries"/>
            </w:pPr>
          </w:p>
        </w:tc>
        <w:tc>
          <w:tcPr>
            <w:tcW w:w="819" w:type="pct"/>
          </w:tcPr>
          <w:p w14:paraId="0FF1C8A1" w14:textId="3FC09B38" w:rsidR="00795EBB" w:rsidRPr="004F1371" w:rsidRDefault="00795EBB" w:rsidP="004F1371">
            <w:pPr>
              <w:pStyle w:val="TableTextEntries"/>
            </w:pPr>
            <w:r w:rsidRPr="004F1371">
              <w:t>2.1 A total of 654 schools implementing Schools of Quality criteria approach</w:t>
            </w:r>
            <w:r w:rsidR="00D543E6" w:rsidRPr="00C645CE">
              <w:rPr>
                <w:sz w:val="20"/>
                <w:vertAlign w:val="superscript"/>
              </w:rPr>
              <w:footnoteReference w:id="60"/>
            </w:r>
          </w:p>
          <w:p w14:paraId="49AA7FC9" w14:textId="77777777" w:rsidR="00795EBB" w:rsidRPr="004F1371" w:rsidRDefault="00795EBB" w:rsidP="004F1371">
            <w:pPr>
              <w:pStyle w:val="TableTextEntries"/>
            </w:pPr>
          </w:p>
        </w:tc>
        <w:tc>
          <w:tcPr>
            <w:tcW w:w="819" w:type="pct"/>
          </w:tcPr>
          <w:p w14:paraId="5285553B" w14:textId="018A65BB" w:rsidR="00795EBB" w:rsidRPr="004F1371" w:rsidRDefault="00795EBB" w:rsidP="004F1371">
            <w:pPr>
              <w:pStyle w:val="TableTextEntries"/>
            </w:pPr>
            <w:r w:rsidRPr="004F1371">
              <w:t>2.1</w:t>
            </w:r>
            <w:r w:rsidR="00B90EB9" w:rsidRPr="004F1371">
              <w:t xml:space="preserve"> </w:t>
            </w:r>
            <w:r w:rsidRPr="004F1371">
              <w:t xml:space="preserve">A total of 960 schools implementing </w:t>
            </w:r>
            <w:r w:rsidR="005D2D67" w:rsidRPr="004F1371">
              <w:t xml:space="preserve">Schools of Quality </w:t>
            </w:r>
            <w:r w:rsidRPr="004F1371">
              <w:t>approach (</w:t>
            </w:r>
            <w:r w:rsidR="005D2D67" w:rsidRPr="004F1371">
              <w:t xml:space="preserve">training </w:t>
            </w:r>
            <w:r w:rsidRPr="004F1371">
              <w:t xml:space="preserve">provided to school principals, teachers and </w:t>
            </w:r>
            <w:r w:rsidR="005D2D67" w:rsidRPr="004F1371">
              <w:t>village education development c</w:t>
            </w:r>
            <w:r w:rsidRPr="004F1371">
              <w:t xml:space="preserve">ommittee members) </w:t>
            </w:r>
          </w:p>
        </w:tc>
        <w:tc>
          <w:tcPr>
            <w:tcW w:w="833" w:type="pct"/>
          </w:tcPr>
          <w:p w14:paraId="602399C4" w14:textId="0D873811" w:rsidR="00795EBB" w:rsidRPr="004F1371" w:rsidRDefault="00795EBB" w:rsidP="004F1371">
            <w:pPr>
              <w:pStyle w:val="TableTextEntries"/>
            </w:pPr>
            <w:r w:rsidRPr="004F1371">
              <w:t>2.1</w:t>
            </w:r>
            <w:r w:rsidR="00B90EB9" w:rsidRPr="004F1371">
              <w:t xml:space="preserve"> </w:t>
            </w:r>
            <w:r w:rsidRPr="004F1371">
              <w:t xml:space="preserve">A total of 540 schools implementing </w:t>
            </w:r>
            <w:r w:rsidR="005D2D67" w:rsidRPr="004F1371">
              <w:t xml:space="preserve">Schools of Quality </w:t>
            </w:r>
            <w:r w:rsidRPr="004F1371">
              <w:t>criteria approach</w:t>
            </w:r>
          </w:p>
          <w:p w14:paraId="50CECC2B" w14:textId="77777777" w:rsidR="00795EBB" w:rsidRPr="004F1371" w:rsidRDefault="00795EBB" w:rsidP="004F1371">
            <w:pPr>
              <w:pStyle w:val="TableTextEntries"/>
            </w:pPr>
          </w:p>
        </w:tc>
      </w:tr>
      <w:tr w:rsidR="004F1371" w:rsidRPr="004F1371" w14:paraId="533F7F1A" w14:textId="77777777" w:rsidTr="008171B0">
        <w:trPr>
          <w:cantSplit/>
          <w:tblHeader w:val="0"/>
        </w:trPr>
        <w:tc>
          <w:tcPr>
            <w:tcW w:w="820" w:type="pct"/>
            <w:vMerge/>
          </w:tcPr>
          <w:p w14:paraId="22A71B3F" w14:textId="77777777" w:rsidR="00795EBB" w:rsidRPr="004F1371" w:rsidRDefault="00795EBB" w:rsidP="004F1371">
            <w:pPr>
              <w:pStyle w:val="TableTextEntries"/>
            </w:pPr>
          </w:p>
        </w:tc>
        <w:tc>
          <w:tcPr>
            <w:tcW w:w="819" w:type="pct"/>
            <w:vMerge/>
          </w:tcPr>
          <w:p w14:paraId="7FCD04BE" w14:textId="77777777" w:rsidR="00795EBB" w:rsidRPr="004F1371" w:rsidRDefault="00795EBB" w:rsidP="004F1371">
            <w:pPr>
              <w:pStyle w:val="TableTextEntries"/>
            </w:pPr>
          </w:p>
        </w:tc>
        <w:tc>
          <w:tcPr>
            <w:tcW w:w="819" w:type="pct"/>
          </w:tcPr>
          <w:p w14:paraId="509E40AD" w14:textId="0BF89CB0" w:rsidR="00795EBB" w:rsidRPr="004F1371" w:rsidRDefault="00795EBB" w:rsidP="004F1371">
            <w:pPr>
              <w:pStyle w:val="TableTextEntries"/>
            </w:pPr>
            <w:r w:rsidRPr="004F1371">
              <w:t>2.2 Number of classrooms renovated to meet physical quality standards (</w:t>
            </w:r>
            <w:r w:rsidR="00316E56" w:rsidRPr="004F1371">
              <w:t>headline result</w:t>
            </w:r>
            <w:r w:rsidRPr="004F1371">
              <w:t xml:space="preserve"> 8)</w:t>
            </w:r>
          </w:p>
        </w:tc>
        <w:tc>
          <w:tcPr>
            <w:tcW w:w="819" w:type="pct"/>
          </w:tcPr>
          <w:p w14:paraId="62241346" w14:textId="77777777" w:rsidR="00795EBB" w:rsidRPr="004F1371" w:rsidRDefault="00795EBB" w:rsidP="004F1371">
            <w:pPr>
              <w:pStyle w:val="TableTextEntries"/>
            </w:pPr>
          </w:p>
        </w:tc>
        <w:tc>
          <w:tcPr>
            <w:tcW w:w="819" w:type="pct"/>
          </w:tcPr>
          <w:p w14:paraId="1D0449E3" w14:textId="77777777" w:rsidR="00795EBB" w:rsidRPr="004F1371" w:rsidRDefault="00795EBB" w:rsidP="004F1371">
            <w:pPr>
              <w:pStyle w:val="TableTextEntries"/>
            </w:pPr>
          </w:p>
        </w:tc>
        <w:tc>
          <w:tcPr>
            <w:tcW w:w="833" w:type="pct"/>
          </w:tcPr>
          <w:p w14:paraId="48933AB1" w14:textId="77777777" w:rsidR="00795EBB" w:rsidRPr="004F1371" w:rsidRDefault="00795EBB" w:rsidP="004F1371">
            <w:pPr>
              <w:pStyle w:val="TableTextEntries"/>
            </w:pPr>
          </w:p>
        </w:tc>
      </w:tr>
      <w:tr w:rsidR="004F1371" w:rsidRPr="004F1371" w14:paraId="0E683FC6"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45FBEA60" w14:textId="77777777" w:rsidR="00795EBB" w:rsidRPr="004F1371" w:rsidRDefault="00795EBB" w:rsidP="004F1371">
            <w:pPr>
              <w:pStyle w:val="TableTextEntries"/>
            </w:pPr>
          </w:p>
        </w:tc>
        <w:tc>
          <w:tcPr>
            <w:tcW w:w="819" w:type="pct"/>
            <w:vMerge/>
          </w:tcPr>
          <w:p w14:paraId="6C5B4E39" w14:textId="77777777" w:rsidR="00795EBB" w:rsidRPr="004F1371" w:rsidRDefault="00795EBB" w:rsidP="004F1371">
            <w:pPr>
              <w:pStyle w:val="TableTextEntries"/>
            </w:pPr>
          </w:p>
        </w:tc>
        <w:tc>
          <w:tcPr>
            <w:tcW w:w="819" w:type="pct"/>
          </w:tcPr>
          <w:p w14:paraId="05D4C963" w14:textId="12F0A192" w:rsidR="00795EBB" w:rsidRPr="004F1371" w:rsidRDefault="00795EBB" w:rsidP="004F1371">
            <w:pPr>
              <w:pStyle w:val="TableTextEntries"/>
            </w:pPr>
            <w:r w:rsidRPr="004F1371">
              <w:t>2.3 Number of school officials (principals) trained (</w:t>
            </w:r>
            <w:r w:rsidR="00316E56" w:rsidRPr="004F1371">
              <w:t>headline result</w:t>
            </w:r>
            <w:r w:rsidRPr="004F1371">
              <w:t xml:space="preserve"> 11)</w:t>
            </w:r>
          </w:p>
          <w:p w14:paraId="4F3E8500" w14:textId="77777777" w:rsidR="00795EBB" w:rsidRPr="004F1371" w:rsidRDefault="00795EBB" w:rsidP="004F1371">
            <w:pPr>
              <w:pStyle w:val="TableTextEntries"/>
            </w:pPr>
          </w:p>
        </w:tc>
        <w:tc>
          <w:tcPr>
            <w:tcW w:w="819" w:type="pct"/>
          </w:tcPr>
          <w:p w14:paraId="2C812705" w14:textId="7A232569" w:rsidR="00795EBB" w:rsidRPr="004F1371" w:rsidRDefault="00795EBB" w:rsidP="004F1371">
            <w:pPr>
              <w:pStyle w:val="TableTextEntries"/>
            </w:pPr>
            <w:r w:rsidRPr="004F1371">
              <w:t>2.3 A total of 1621 school officials (principals) trained on school management</w:t>
            </w:r>
            <w:r w:rsidR="00D543E6" w:rsidRPr="00C645CE">
              <w:rPr>
                <w:sz w:val="20"/>
                <w:vertAlign w:val="superscript"/>
              </w:rPr>
              <w:footnoteReference w:id="61"/>
            </w:r>
          </w:p>
          <w:p w14:paraId="71C2B25F" w14:textId="77777777" w:rsidR="00795EBB" w:rsidRPr="004F1371" w:rsidRDefault="00795EBB" w:rsidP="004F1371">
            <w:pPr>
              <w:pStyle w:val="TableTextEntries"/>
            </w:pPr>
          </w:p>
        </w:tc>
        <w:tc>
          <w:tcPr>
            <w:tcW w:w="819" w:type="pct"/>
          </w:tcPr>
          <w:p w14:paraId="592C0F9B" w14:textId="356D57E7" w:rsidR="00795EBB" w:rsidRPr="004F1371" w:rsidRDefault="00795EBB" w:rsidP="004F1371">
            <w:pPr>
              <w:pStyle w:val="TableTextEntries"/>
            </w:pPr>
            <w:r w:rsidRPr="004F1371">
              <w:t>2.3 A total of 1064 school officials (principals) trained in leadership and Schools of Quality approach (66% of total)</w:t>
            </w:r>
          </w:p>
        </w:tc>
        <w:tc>
          <w:tcPr>
            <w:tcW w:w="833" w:type="pct"/>
          </w:tcPr>
          <w:p w14:paraId="0A5FA127" w14:textId="77777777" w:rsidR="00795EBB" w:rsidRPr="004F1371" w:rsidRDefault="00795EBB" w:rsidP="004F1371">
            <w:pPr>
              <w:pStyle w:val="TableTextEntries"/>
            </w:pPr>
            <w:r w:rsidRPr="004F1371">
              <w:t>2.3 A total of 532 school officials (principals) trained on school management</w:t>
            </w:r>
            <w:r w:rsidRPr="00C645CE">
              <w:rPr>
                <w:sz w:val="20"/>
                <w:vertAlign w:val="superscript"/>
              </w:rPr>
              <w:footnoteReference w:id="62"/>
            </w:r>
          </w:p>
          <w:p w14:paraId="11B6019B" w14:textId="77777777" w:rsidR="00795EBB" w:rsidRPr="004F1371" w:rsidRDefault="00795EBB" w:rsidP="004F1371">
            <w:pPr>
              <w:pStyle w:val="TableTextEntries"/>
            </w:pPr>
          </w:p>
        </w:tc>
      </w:tr>
      <w:tr w:rsidR="004F1371" w:rsidRPr="004F1371" w14:paraId="5842A660" w14:textId="77777777" w:rsidTr="008171B0">
        <w:trPr>
          <w:cantSplit/>
          <w:tblHeader w:val="0"/>
        </w:trPr>
        <w:tc>
          <w:tcPr>
            <w:tcW w:w="820" w:type="pct"/>
            <w:vMerge/>
          </w:tcPr>
          <w:p w14:paraId="506345B4" w14:textId="77777777" w:rsidR="00795EBB" w:rsidRPr="004F1371" w:rsidRDefault="00795EBB" w:rsidP="004F1371">
            <w:pPr>
              <w:pStyle w:val="TableTextEntries"/>
            </w:pPr>
          </w:p>
        </w:tc>
        <w:tc>
          <w:tcPr>
            <w:tcW w:w="819" w:type="pct"/>
            <w:vMerge/>
          </w:tcPr>
          <w:p w14:paraId="0B75DBC4" w14:textId="77777777" w:rsidR="00795EBB" w:rsidRPr="004F1371" w:rsidRDefault="00795EBB" w:rsidP="004F1371">
            <w:pPr>
              <w:pStyle w:val="TableTextEntries"/>
            </w:pPr>
          </w:p>
        </w:tc>
        <w:tc>
          <w:tcPr>
            <w:tcW w:w="819" w:type="pct"/>
          </w:tcPr>
          <w:p w14:paraId="437CABB8" w14:textId="34731197" w:rsidR="00795EBB" w:rsidRPr="004F1371" w:rsidRDefault="00795EBB" w:rsidP="004F1371">
            <w:pPr>
              <w:pStyle w:val="TableTextEntries"/>
            </w:pPr>
            <w:r w:rsidRPr="004F1371">
              <w:t>2.4 Number of teachers trained at pre-primary and primary level (</w:t>
            </w:r>
            <w:r w:rsidR="00316E56" w:rsidRPr="004F1371">
              <w:t>headline result</w:t>
            </w:r>
            <w:r w:rsidRPr="004F1371">
              <w:t xml:space="preserve"> 10)</w:t>
            </w:r>
          </w:p>
          <w:p w14:paraId="20D4908E" w14:textId="77777777" w:rsidR="00795EBB" w:rsidRPr="004F1371" w:rsidRDefault="00795EBB" w:rsidP="004F1371">
            <w:pPr>
              <w:pStyle w:val="TableTextEntries"/>
            </w:pPr>
          </w:p>
        </w:tc>
        <w:tc>
          <w:tcPr>
            <w:tcW w:w="819" w:type="pct"/>
          </w:tcPr>
          <w:p w14:paraId="15BA61D8" w14:textId="3BDD4981" w:rsidR="00795EBB" w:rsidRPr="004F1371" w:rsidRDefault="00795EBB" w:rsidP="004F1371">
            <w:pPr>
              <w:pStyle w:val="TableTextEntries"/>
            </w:pPr>
            <w:r w:rsidRPr="004F1371">
              <w:t>2.4 A total of 5444 teachers trained (3000 in-service, 1500 primary upgrading, 650 pre-primary in-service, and 400 pre-primary 30 week training)</w:t>
            </w:r>
            <w:r w:rsidR="00D543E6" w:rsidRPr="00C645CE">
              <w:rPr>
                <w:sz w:val="20"/>
                <w:vertAlign w:val="superscript"/>
              </w:rPr>
              <w:footnoteReference w:id="63"/>
            </w:r>
            <w:r w:rsidRPr="004F1371">
              <w:t xml:space="preserve"> </w:t>
            </w:r>
          </w:p>
        </w:tc>
        <w:tc>
          <w:tcPr>
            <w:tcW w:w="819" w:type="pct"/>
          </w:tcPr>
          <w:p w14:paraId="2A484F2C" w14:textId="177E8D17" w:rsidR="00795EBB" w:rsidRPr="004F1371" w:rsidRDefault="00795EBB" w:rsidP="004F1371">
            <w:pPr>
              <w:pStyle w:val="TableTextEntries"/>
            </w:pPr>
            <w:r w:rsidRPr="004F1371">
              <w:t>2.4 A total of 3873 teachers (2386 in-service, 1394 primary upgrading, 93 pre-primary 30-week) trained (71% of target)</w:t>
            </w:r>
          </w:p>
          <w:p w14:paraId="33120B33" w14:textId="77777777" w:rsidR="00795EBB" w:rsidRPr="004F1371" w:rsidRDefault="00795EBB" w:rsidP="004F1371">
            <w:pPr>
              <w:pStyle w:val="TableTextEntries"/>
            </w:pPr>
          </w:p>
        </w:tc>
        <w:tc>
          <w:tcPr>
            <w:tcW w:w="833" w:type="pct"/>
          </w:tcPr>
          <w:p w14:paraId="1A9EC6F0" w14:textId="23C4DD44" w:rsidR="00795EBB" w:rsidRPr="004F1371" w:rsidRDefault="00795EBB" w:rsidP="004F1371">
            <w:pPr>
              <w:pStyle w:val="TableTextEntries"/>
            </w:pPr>
            <w:r w:rsidRPr="004F1371">
              <w:t>2.4</w:t>
            </w:r>
            <w:r w:rsidR="00B90EB9" w:rsidRPr="004F1371">
              <w:t xml:space="preserve"> </w:t>
            </w:r>
            <w:r w:rsidRPr="004F1371">
              <w:t>A total of 2526</w:t>
            </w:r>
            <w:r w:rsidR="00B90EB9" w:rsidRPr="004F1371">
              <w:t xml:space="preserve"> </w:t>
            </w:r>
            <w:r w:rsidRPr="004F1371">
              <w:t>teachers (2114 in-service, 104 primary upgrading,</w:t>
            </w:r>
            <w:r w:rsidR="00B90EB9" w:rsidRPr="004F1371">
              <w:t xml:space="preserve"> </w:t>
            </w:r>
            <w:r w:rsidRPr="004F1371">
              <w:t>pre-primary in-service, 308 pre-primary pre-service) trained</w:t>
            </w:r>
            <w:r w:rsidRPr="00C645CE">
              <w:rPr>
                <w:sz w:val="20"/>
                <w:vertAlign w:val="superscript"/>
              </w:rPr>
              <w:footnoteReference w:id="64"/>
            </w:r>
          </w:p>
        </w:tc>
      </w:tr>
      <w:tr w:rsidR="004F1371" w:rsidRPr="004F1371" w14:paraId="4D7BC2FB"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0FF58BC4" w14:textId="77777777" w:rsidR="00795EBB" w:rsidRPr="004F1371" w:rsidRDefault="00795EBB" w:rsidP="004F1371">
            <w:pPr>
              <w:pStyle w:val="TableTextEntries"/>
            </w:pPr>
          </w:p>
        </w:tc>
        <w:tc>
          <w:tcPr>
            <w:tcW w:w="819" w:type="pct"/>
            <w:vMerge/>
          </w:tcPr>
          <w:p w14:paraId="59FF9E57" w14:textId="77777777" w:rsidR="00795EBB" w:rsidRPr="004F1371" w:rsidRDefault="00795EBB" w:rsidP="004F1371">
            <w:pPr>
              <w:pStyle w:val="TableTextEntries"/>
            </w:pPr>
          </w:p>
        </w:tc>
        <w:tc>
          <w:tcPr>
            <w:tcW w:w="819" w:type="pct"/>
          </w:tcPr>
          <w:p w14:paraId="11594C04" w14:textId="5C591C19" w:rsidR="00795EBB" w:rsidRPr="004F1371" w:rsidRDefault="00795EBB" w:rsidP="004F1371">
            <w:pPr>
              <w:pStyle w:val="TableTextEntries"/>
            </w:pPr>
            <w:r w:rsidRPr="004F1371">
              <w:t>2.5 Village Education Development Committees operational</w:t>
            </w:r>
          </w:p>
        </w:tc>
        <w:tc>
          <w:tcPr>
            <w:tcW w:w="819" w:type="pct"/>
          </w:tcPr>
          <w:p w14:paraId="2A856D1D" w14:textId="39CD9111" w:rsidR="00795EBB" w:rsidRPr="004F1371" w:rsidRDefault="00795EBB" w:rsidP="004F1371">
            <w:pPr>
              <w:pStyle w:val="TableTextEntries"/>
            </w:pPr>
            <w:r w:rsidRPr="004F1371">
              <w:t>2.5 A total of 2640 additional Village Education Development Committees operational</w:t>
            </w:r>
            <w:r w:rsidR="00D543E6" w:rsidRPr="00C645CE">
              <w:rPr>
                <w:sz w:val="20"/>
                <w:vertAlign w:val="superscript"/>
              </w:rPr>
              <w:footnoteReference w:id="65"/>
            </w:r>
            <w:r w:rsidRPr="004F1371">
              <w:t xml:space="preserve"> </w:t>
            </w:r>
          </w:p>
        </w:tc>
        <w:tc>
          <w:tcPr>
            <w:tcW w:w="819" w:type="pct"/>
          </w:tcPr>
          <w:p w14:paraId="343E7C58" w14:textId="526930C6" w:rsidR="00795EBB" w:rsidRPr="004F1371" w:rsidRDefault="00795EBB" w:rsidP="004F1371">
            <w:pPr>
              <w:pStyle w:val="TableTextEntries"/>
            </w:pPr>
            <w:r w:rsidRPr="004F1371">
              <w:t>2.5</w:t>
            </w:r>
            <w:r w:rsidR="00B90EB9" w:rsidRPr="004F1371">
              <w:t xml:space="preserve"> </w:t>
            </w:r>
            <w:r w:rsidRPr="004F1371">
              <w:t xml:space="preserve">Village Education Development Committee training took place in 960 villages with 6720 </w:t>
            </w:r>
            <w:r w:rsidR="005D2D67" w:rsidRPr="004F1371">
              <w:t xml:space="preserve">committee </w:t>
            </w:r>
            <w:r w:rsidRPr="004F1371">
              <w:t>members (1271 female)</w:t>
            </w:r>
          </w:p>
        </w:tc>
        <w:tc>
          <w:tcPr>
            <w:tcW w:w="833" w:type="pct"/>
          </w:tcPr>
          <w:p w14:paraId="7781E6AF" w14:textId="20C0173C" w:rsidR="00795EBB" w:rsidRPr="004F1371" w:rsidRDefault="00795EBB" w:rsidP="004F1371">
            <w:pPr>
              <w:pStyle w:val="TableTextEntries"/>
            </w:pPr>
            <w:r w:rsidRPr="004F1371">
              <w:t>2.5 A total of 2640</w:t>
            </w:r>
            <w:r w:rsidR="00B90EB9" w:rsidRPr="004F1371">
              <w:t xml:space="preserve"> </w:t>
            </w:r>
            <w:r w:rsidRPr="004F1371">
              <w:t xml:space="preserve">additional </w:t>
            </w:r>
            <w:r w:rsidR="005D2D67" w:rsidRPr="004F1371">
              <w:t>village education development com</w:t>
            </w:r>
            <w:r w:rsidRPr="004F1371">
              <w:t>mittees operational</w:t>
            </w:r>
            <w:r w:rsidRPr="00C645CE">
              <w:rPr>
                <w:sz w:val="20"/>
                <w:vertAlign w:val="superscript"/>
              </w:rPr>
              <w:footnoteReference w:id="66"/>
            </w:r>
            <w:r w:rsidRPr="004F1371">
              <w:t xml:space="preserve"> </w:t>
            </w:r>
          </w:p>
        </w:tc>
      </w:tr>
      <w:tr w:rsidR="004F1371" w:rsidRPr="004F1371" w14:paraId="5C1A04C5" w14:textId="77777777" w:rsidTr="008171B0">
        <w:trPr>
          <w:cantSplit/>
          <w:tblHeader w:val="0"/>
        </w:trPr>
        <w:tc>
          <w:tcPr>
            <w:tcW w:w="820" w:type="pct"/>
            <w:vMerge w:val="restart"/>
          </w:tcPr>
          <w:p w14:paraId="25CA1320" w14:textId="77777777" w:rsidR="00795EBB" w:rsidRPr="004F1371" w:rsidRDefault="00795EBB" w:rsidP="004F1371">
            <w:pPr>
              <w:pStyle w:val="TableTextEntries"/>
            </w:pPr>
          </w:p>
        </w:tc>
        <w:tc>
          <w:tcPr>
            <w:tcW w:w="819" w:type="pct"/>
            <w:vMerge w:val="restart"/>
          </w:tcPr>
          <w:p w14:paraId="544C6CB2" w14:textId="77777777" w:rsidR="00795EBB" w:rsidRPr="004F1371" w:rsidRDefault="00795EBB" w:rsidP="004F1371">
            <w:pPr>
              <w:pStyle w:val="TableTextEntries"/>
            </w:pPr>
          </w:p>
        </w:tc>
        <w:tc>
          <w:tcPr>
            <w:tcW w:w="819" w:type="pct"/>
          </w:tcPr>
          <w:p w14:paraId="12F2B9BD" w14:textId="3D76A67F" w:rsidR="00795EBB" w:rsidRPr="004F1371" w:rsidRDefault="00795EBB" w:rsidP="004F1371">
            <w:pPr>
              <w:pStyle w:val="TableTextEntries"/>
            </w:pPr>
            <w:r w:rsidRPr="004F1371">
              <w:t>2.6 Number of children provided with nutritional support (</w:t>
            </w:r>
            <w:r w:rsidR="00316E56" w:rsidRPr="004F1371">
              <w:t>headline result</w:t>
            </w:r>
            <w:r w:rsidRPr="004F1371">
              <w:t xml:space="preserve"> 9)</w:t>
            </w:r>
          </w:p>
          <w:p w14:paraId="04CC4FAC" w14:textId="77777777" w:rsidR="00795EBB" w:rsidRPr="004F1371" w:rsidRDefault="00795EBB" w:rsidP="004F1371">
            <w:pPr>
              <w:pStyle w:val="TableTextEntries"/>
            </w:pPr>
          </w:p>
        </w:tc>
        <w:tc>
          <w:tcPr>
            <w:tcW w:w="819" w:type="pct"/>
          </w:tcPr>
          <w:p w14:paraId="2D191BF4" w14:textId="4560EE23" w:rsidR="00795EBB" w:rsidRPr="004F1371" w:rsidRDefault="00795EBB" w:rsidP="004F1371">
            <w:pPr>
              <w:pStyle w:val="TableTextEntries"/>
            </w:pPr>
            <w:r w:rsidRPr="004F1371">
              <w:t>2.6 A total of 14 327 children (4051 from 66 National School Meal Program schools) receive nutritional support</w:t>
            </w:r>
            <w:r w:rsidR="00D543E6" w:rsidRPr="00C645CE">
              <w:rPr>
                <w:sz w:val="20"/>
                <w:vertAlign w:val="superscript"/>
              </w:rPr>
              <w:footnoteReference w:id="67"/>
            </w:r>
          </w:p>
        </w:tc>
        <w:tc>
          <w:tcPr>
            <w:tcW w:w="819" w:type="pct"/>
          </w:tcPr>
          <w:p w14:paraId="65E492D7" w14:textId="2881092D" w:rsidR="00795EBB" w:rsidRPr="004F1371" w:rsidRDefault="00795EBB" w:rsidP="004F1371">
            <w:pPr>
              <w:pStyle w:val="TableTextEntries"/>
            </w:pPr>
            <w:r w:rsidRPr="004F1371">
              <w:t>2.6</w:t>
            </w:r>
            <w:r w:rsidR="00B90EB9" w:rsidRPr="004F1371">
              <w:t xml:space="preserve"> </w:t>
            </w:r>
            <w:r w:rsidRPr="004F1371">
              <w:t xml:space="preserve">A total of 26 657 </w:t>
            </w:r>
            <w:r w:rsidR="001422D5" w:rsidRPr="004F1371">
              <w:t xml:space="preserve">children provided with nutritional support </w:t>
            </w:r>
            <w:r w:rsidRPr="004F1371">
              <w:t>of</w:t>
            </w:r>
            <w:r w:rsidR="00B90EB9" w:rsidRPr="004F1371">
              <w:t xml:space="preserve"> </w:t>
            </w:r>
            <w:r w:rsidRPr="004F1371">
              <w:t>which 11 529 are girls (plus 19 098 children, 8442 girls from 227 schools implementing the National School Meals Program with support from G</w:t>
            </w:r>
            <w:r w:rsidR="001422D5" w:rsidRPr="004F1371">
              <w:t xml:space="preserve">lobal </w:t>
            </w:r>
            <w:r w:rsidRPr="004F1371">
              <w:t>P</w:t>
            </w:r>
            <w:r w:rsidR="001422D5" w:rsidRPr="004F1371">
              <w:t xml:space="preserve">artnership for </w:t>
            </w:r>
            <w:r w:rsidRPr="004F1371">
              <w:t>E</w:t>
            </w:r>
            <w:r w:rsidR="001422D5" w:rsidRPr="004F1371">
              <w:t>ducation</w:t>
            </w:r>
            <w:r w:rsidRPr="004F1371">
              <w:t xml:space="preserve">) </w:t>
            </w:r>
          </w:p>
        </w:tc>
        <w:tc>
          <w:tcPr>
            <w:tcW w:w="833" w:type="pct"/>
          </w:tcPr>
          <w:p w14:paraId="0CE22E61" w14:textId="7CFCCDE7" w:rsidR="00795EBB" w:rsidRPr="004F1371" w:rsidRDefault="00795EBB" w:rsidP="004F1371">
            <w:pPr>
              <w:pStyle w:val="TableTextEntries"/>
            </w:pPr>
            <w:r w:rsidRPr="004F1371">
              <w:t>2.6 A total of 66 000 children (plus 19</w:t>
            </w:r>
            <w:r w:rsidR="001422D5" w:rsidRPr="004F1371">
              <w:t xml:space="preserve"> </w:t>
            </w:r>
            <w:r w:rsidRPr="004F1371">
              <w:t>000 from</w:t>
            </w:r>
            <w:r w:rsidR="00B90EB9" w:rsidRPr="004F1371">
              <w:t xml:space="preserve"> </w:t>
            </w:r>
            <w:r w:rsidRPr="004F1371">
              <w:t xml:space="preserve">National School Meal Program schools) receive nutritional support </w:t>
            </w:r>
            <w:r w:rsidRPr="00C645CE">
              <w:rPr>
                <w:sz w:val="20"/>
                <w:vertAlign w:val="superscript"/>
              </w:rPr>
              <w:footnoteReference w:id="68"/>
            </w:r>
          </w:p>
        </w:tc>
      </w:tr>
      <w:tr w:rsidR="004F1371" w:rsidRPr="004F1371" w14:paraId="7D187EE9"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6D35E8FB" w14:textId="77777777" w:rsidR="00795EBB" w:rsidRPr="004F1371" w:rsidRDefault="00795EBB" w:rsidP="004F1371">
            <w:pPr>
              <w:pStyle w:val="TableTextEntries"/>
            </w:pPr>
          </w:p>
        </w:tc>
        <w:tc>
          <w:tcPr>
            <w:tcW w:w="819" w:type="pct"/>
            <w:vMerge/>
          </w:tcPr>
          <w:p w14:paraId="4837E935" w14:textId="77777777" w:rsidR="00795EBB" w:rsidRPr="004F1371" w:rsidRDefault="00795EBB" w:rsidP="004F1371">
            <w:pPr>
              <w:pStyle w:val="TableTextEntries"/>
            </w:pPr>
          </w:p>
        </w:tc>
        <w:tc>
          <w:tcPr>
            <w:tcW w:w="819" w:type="pct"/>
          </w:tcPr>
          <w:p w14:paraId="23FA7231" w14:textId="0BDE2B69" w:rsidR="00795EBB" w:rsidRPr="004F1371" w:rsidRDefault="00795EBB" w:rsidP="004F1371">
            <w:pPr>
              <w:pStyle w:val="TableTextEntries"/>
            </w:pPr>
            <w:r w:rsidRPr="004F1371">
              <w:t>2.7 Number of children able to access schools that have been made more accessible to children with disability (</w:t>
            </w:r>
            <w:r w:rsidR="00316E56" w:rsidRPr="004F1371">
              <w:t>headline result</w:t>
            </w:r>
            <w:r w:rsidRPr="004F1371">
              <w:t xml:space="preserve"> 14)</w:t>
            </w:r>
          </w:p>
        </w:tc>
        <w:tc>
          <w:tcPr>
            <w:tcW w:w="819" w:type="pct"/>
          </w:tcPr>
          <w:p w14:paraId="59FB96C5" w14:textId="3B992B62" w:rsidR="00795EBB" w:rsidRPr="004F1371" w:rsidRDefault="00795EBB" w:rsidP="004F1371">
            <w:pPr>
              <w:pStyle w:val="TableTextEntries"/>
            </w:pPr>
            <w:r w:rsidRPr="004F1371">
              <w:t>2.7 A total of 18 417 children able to access schools that have been made more accessible to children with disability</w:t>
            </w:r>
            <w:r w:rsidR="00D543E6" w:rsidRPr="00C645CE">
              <w:rPr>
                <w:sz w:val="20"/>
                <w:vertAlign w:val="superscript"/>
              </w:rPr>
              <w:footnoteReference w:id="69"/>
            </w:r>
          </w:p>
        </w:tc>
        <w:tc>
          <w:tcPr>
            <w:tcW w:w="819" w:type="pct"/>
          </w:tcPr>
          <w:p w14:paraId="23D3DCA8" w14:textId="43ADE8C5" w:rsidR="00795EBB" w:rsidRPr="004F1371" w:rsidRDefault="00795EBB" w:rsidP="004F1371">
            <w:pPr>
              <w:pStyle w:val="TableTextEntries"/>
            </w:pPr>
            <w:r w:rsidRPr="004F1371">
              <w:t>2.7</w:t>
            </w:r>
            <w:r w:rsidR="00B90EB9" w:rsidRPr="004F1371">
              <w:t xml:space="preserve"> </w:t>
            </w:r>
            <w:r w:rsidRPr="004F1371">
              <w:t>A total of 2500 children able to access schools that have been made more accessible to children with disabilities</w:t>
            </w:r>
          </w:p>
          <w:p w14:paraId="11C4F1C0" w14:textId="77777777" w:rsidR="00795EBB" w:rsidRPr="004F1371" w:rsidRDefault="00795EBB" w:rsidP="004F1371">
            <w:pPr>
              <w:pStyle w:val="TableTextEntries"/>
            </w:pPr>
          </w:p>
        </w:tc>
        <w:tc>
          <w:tcPr>
            <w:tcW w:w="833" w:type="pct"/>
          </w:tcPr>
          <w:p w14:paraId="4B7B08A0" w14:textId="5D80E744" w:rsidR="00795EBB" w:rsidRPr="004F1371" w:rsidRDefault="00795EBB" w:rsidP="004F1371">
            <w:pPr>
              <w:pStyle w:val="TableTextEntries"/>
            </w:pPr>
            <w:r w:rsidRPr="004F1371">
              <w:t>2.7</w:t>
            </w:r>
            <w:r w:rsidR="00B90EB9" w:rsidRPr="004F1371">
              <w:t xml:space="preserve"> </w:t>
            </w:r>
            <w:r w:rsidRPr="004F1371">
              <w:t>A total of 9235 children able to access schools that have been made more accessible to children with disabilit</w:t>
            </w:r>
            <w:r w:rsidR="001422D5" w:rsidRPr="004F1371">
              <w:t>y</w:t>
            </w:r>
            <w:r w:rsidRPr="00C645CE">
              <w:rPr>
                <w:sz w:val="20"/>
                <w:vertAlign w:val="superscript"/>
              </w:rPr>
              <w:footnoteReference w:id="70"/>
            </w:r>
          </w:p>
          <w:p w14:paraId="4A06AC9A" w14:textId="77777777" w:rsidR="00795EBB" w:rsidRPr="004F1371" w:rsidRDefault="00795EBB" w:rsidP="004F1371">
            <w:pPr>
              <w:pStyle w:val="TableTextEntries"/>
            </w:pPr>
          </w:p>
        </w:tc>
      </w:tr>
      <w:tr w:rsidR="004F1371" w:rsidRPr="004F1371" w14:paraId="656151A0" w14:textId="77777777" w:rsidTr="008171B0">
        <w:trPr>
          <w:cantSplit/>
          <w:tblHeader w:val="0"/>
        </w:trPr>
        <w:tc>
          <w:tcPr>
            <w:tcW w:w="820" w:type="pct"/>
            <w:vMerge/>
          </w:tcPr>
          <w:p w14:paraId="2FC9B139" w14:textId="77777777" w:rsidR="00795EBB" w:rsidRPr="004F1371" w:rsidRDefault="00795EBB" w:rsidP="004F1371">
            <w:pPr>
              <w:pStyle w:val="TableTextEntries"/>
            </w:pPr>
          </w:p>
        </w:tc>
        <w:tc>
          <w:tcPr>
            <w:tcW w:w="819" w:type="pct"/>
            <w:vMerge/>
          </w:tcPr>
          <w:p w14:paraId="67A0A5DB" w14:textId="77777777" w:rsidR="00795EBB" w:rsidRPr="004F1371" w:rsidRDefault="00795EBB" w:rsidP="004F1371">
            <w:pPr>
              <w:pStyle w:val="TableTextEntries"/>
            </w:pPr>
          </w:p>
        </w:tc>
        <w:tc>
          <w:tcPr>
            <w:tcW w:w="819" w:type="pct"/>
          </w:tcPr>
          <w:p w14:paraId="1907ADB5" w14:textId="77777777" w:rsidR="00795EBB" w:rsidRPr="004F1371" w:rsidRDefault="00795EBB" w:rsidP="004F1371">
            <w:pPr>
              <w:pStyle w:val="TableTextEntries"/>
            </w:pPr>
            <w:r w:rsidRPr="004F1371">
              <w:t>2.8 Number of incomplete schools becoming complete (offer all 5 grades of primary)</w:t>
            </w:r>
          </w:p>
        </w:tc>
        <w:tc>
          <w:tcPr>
            <w:tcW w:w="819" w:type="pct"/>
          </w:tcPr>
          <w:p w14:paraId="569FC8DA" w14:textId="4FC6F336" w:rsidR="00795EBB" w:rsidRPr="004F1371" w:rsidRDefault="00795EBB" w:rsidP="004F1371">
            <w:pPr>
              <w:pStyle w:val="TableTextEntries"/>
            </w:pPr>
            <w:r w:rsidRPr="004F1371">
              <w:t>2.8 A total of 570 incomplete schools became complete (all 5 grades offered)</w:t>
            </w:r>
            <w:r w:rsidR="00D543E6" w:rsidRPr="00C645CE">
              <w:rPr>
                <w:sz w:val="20"/>
                <w:vertAlign w:val="superscript"/>
              </w:rPr>
              <w:footnoteReference w:id="71"/>
            </w:r>
          </w:p>
        </w:tc>
        <w:tc>
          <w:tcPr>
            <w:tcW w:w="819" w:type="pct"/>
          </w:tcPr>
          <w:p w14:paraId="4AE933B4" w14:textId="77777777" w:rsidR="00795EBB" w:rsidRPr="004F1371" w:rsidRDefault="00795EBB" w:rsidP="004F1371">
            <w:pPr>
              <w:pStyle w:val="TableTextEntries"/>
            </w:pPr>
            <w:r w:rsidRPr="004F1371">
              <w:t xml:space="preserve">2.8 No data available </w:t>
            </w:r>
          </w:p>
          <w:p w14:paraId="6F71586E" w14:textId="77777777" w:rsidR="00795EBB" w:rsidRPr="004F1371" w:rsidRDefault="00795EBB" w:rsidP="004F1371">
            <w:pPr>
              <w:pStyle w:val="TableTextEntries"/>
            </w:pPr>
          </w:p>
        </w:tc>
        <w:tc>
          <w:tcPr>
            <w:tcW w:w="833" w:type="pct"/>
          </w:tcPr>
          <w:p w14:paraId="6A5A5E35" w14:textId="2B1AAFD6" w:rsidR="00795EBB" w:rsidRPr="004F1371" w:rsidRDefault="00795EBB" w:rsidP="004F1371">
            <w:pPr>
              <w:pStyle w:val="TableTextEntries"/>
            </w:pPr>
            <w:r w:rsidRPr="004F1371">
              <w:t>2.8</w:t>
            </w:r>
            <w:r w:rsidR="00B90EB9" w:rsidRPr="004F1371">
              <w:t xml:space="preserve"> </w:t>
            </w:r>
            <w:r w:rsidRPr="004F1371">
              <w:t>A total of 570 incomplete schools bec</w:t>
            </w:r>
            <w:r w:rsidR="00FC39B1">
              <w:t>o</w:t>
            </w:r>
            <w:r w:rsidRPr="004F1371">
              <w:t xml:space="preserve">me complete (all </w:t>
            </w:r>
            <w:r w:rsidR="001422D5" w:rsidRPr="004F1371">
              <w:t xml:space="preserve">five </w:t>
            </w:r>
            <w:r w:rsidRPr="004F1371">
              <w:t>grades offered)</w:t>
            </w:r>
            <w:r w:rsidRPr="00C645CE">
              <w:rPr>
                <w:sz w:val="20"/>
                <w:vertAlign w:val="superscript"/>
              </w:rPr>
              <w:footnoteReference w:id="72"/>
            </w:r>
          </w:p>
          <w:p w14:paraId="27DD06F9" w14:textId="77777777" w:rsidR="00795EBB" w:rsidRPr="004F1371" w:rsidRDefault="00795EBB" w:rsidP="004F1371">
            <w:pPr>
              <w:pStyle w:val="TableTextEntries"/>
            </w:pPr>
          </w:p>
        </w:tc>
      </w:tr>
      <w:tr w:rsidR="004F1371" w:rsidRPr="004F1371" w14:paraId="6EB8C17B"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618558CA" w14:textId="77777777" w:rsidR="00795EBB" w:rsidRPr="004F1371" w:rsidRDefault="00795EBB" w:rsidP="004F1371">
            <w:pPr>
              <w:pStyle w:val="TableTextEntries"/>
            </w:pPr>
          </w:p>
        </w:tc>
        <w:tc>
          <w:tcPr>
            <w:tcW w:w="819" w:type="pct"/>
            <w:vMerge/>
          </w:tcPr>
          <w:p w14:paraId="53AC2C47" w14:textId="77777777" w:rsidR="00795EBB" w:rsidRPr="004F1371" w:rsidRDefault="00795EBB" w:rsidP="004F1371">
            <w:pPr>
              <w:pStyle w:val="TableTextEntries"/>
            </w:pPr>
          </w:p>
        </w:tc>
        <w:tc>
          <w:tcPr>
            <w:tcW w:w="819" w:type="pct"/>
          </w:tcPr>
          <w:p w14:paraId="0F2B730B" w14:textId="77777777" w:rsidR="00795EBB" w:rsidRPr="004F1371" w:rsidRDefault="00795EBB" w:rsidP="004F1371">
            <w:pPr>
              <w:pStyle w:val="TableTextEntries"/>
            </w:pPr>
            <w:r w:rsidRPr="004F1371">
              <w:t xml:space="preserve">3. Non-formal approaches for pre-primary and primary education working effectively in remote villages where formal education is not available </w:t>
            </w:r>
          </w:p>
        </w:tc>
        <w:tc>
          <w:tcPr>
            <w:tcW w:w="819" w:type="pct"/>
          </w:tcPr>
          <w:p w14:paraId="10E918E8" w14:textId="77777777" w:rsidR="00795EBB" w:rsidRPr="004F1371" w:rsidRDefault="00795EBB" w:rsidP="004F1371">
            <w:pPr>
              <w:pStyle w:val="TableTextEntries"/>
            </w:pPr>
          </w:p>
        </w:tc>
        <w:tc>
          <w:tcPr>
            <w:tcW w:w="819" w:type="pct"/>
          </w:tcPr>
          <w:p w14:paraId="596D40B1" w14:textId="77777777" w:rsidR="00795EBB" w:rsidRPr="004F1371" w:rsidRDefault="00795EBB" w:rsidP="004F1371">
            <w:pPr>
              <w:pStyle w:val="TableTextEntries"/>
            </w:pPr>
            <w:r w:rsidRPr="004F1371">
              <w:t>3. Milestone partially met</w:t>
            </w:r>
          </w:p>
        </w:tc>
        <w:tc>
          <w:tcPr>
            <w:tcW w:w="833" w:type="pct"/>
          </w:tcPr>
          <w:p w14:paraId="4F5799EC" w14:textId="77777777" w:rsidR="00795EBB" w:rsidRPr="004F1371" w:rsidRDefault="00795EBB" w:rsidP="004F1371">
            <w:pPr>
              <w:pStyle w:val="TableTextEntries"/>
            </w:pPr>
          </w:p>
        </w:tc>
      </w:tr>
      <w:tr w:rsidR="004F1371" w:rsidRPr="004F1371" w14:paraId="239FCD98" w14:textId="77777777" w:rsidTr="008171B0">
        <w:trPr>
          <w:cantSplit/>
          <w:tblHeader w:val="0"/>
        </w:trPr>
        <w:tc>
          <w:tcPr>
            <w:tcW w:w="820" w:type="pct"/>
            <w:vMerge/>
          </w:tcPr>
          <w:p w14:paraId="40E38837" w14:textId="77777777" w:rsidR="00795EBB" w:rsidRPr="004F1371" w:rsidRDefault="00795EBB" w:rsidP="004F1371">
            <w:pPr>
              <w:pStyle w:val="TableTextEntries"/>
            </w:pPr>
          </w:p>
        </w:tc>
        <w:tc>
          <w:tcPr>
            <w:tcW w:w="819" w:type="pct"/>
            <w:vMerge/>
          </w:tcPr>
          <w:p w14:paraId="73ED7B9F" w14:textId="77777777" w:rsidR="00795EBB" w:rsidRPr="004F1371" w:rsidRDefault="00795EBB" w:rsidP="004F1371">
            <w:pPr>
              <w:pStyle w:val="TableTextEntries"/>
            </w:pPr>
          </w:p>
        </w:tc>
        <w:tc>
          <w:tcPr>
            <w:tcW w:w="819" w:type="pct"/>
          </w:tcPr>
          <w:p w14:paraId="78AC7433" w14:textId="77777777" w:rsidR="00795EBB" w:rsidRPr="004F1371" w:rsidRDefault="00795EBB" w:rsidP="004F1371">
            <w:pPr>
              <w:pStyle w:val="TableTextEntries"/>
            </w:pPr>
            <w:r w:rsidRPr="004F1371">
              <w:t>3.1 Primary education equivalency program being implemented in remote villages</w:t>
            </w:r>
          </w:p>
          <w:p w14:paraId="0AF2C908" w14:textId="77777777" w:rsidR="00795EBB" w:rsidRPr="004F1371" w:rsidRDefault="00795EBB" w:rsidP="004F1371">
            <w:pPr>
              <w:pStyle w:val="TableTextEntries"/>
            </w:pPr>
          </w:p>
        </w:tc>
        <w:tc>
          <w:tcPr>
            <w:tcW w:w="819" w:type="pct"/>
          </w:tcPr>
          <w:p w14:paraId="1F16FF2A" w14:textId="44DC333B" w:rsidR="00795EBB" w:rsidRPr="004F1371" w:rsidRDefault="00795EBB" w:rsidP="004F1371">
            <w:pPr>
              <w:pStyle w:val="TableTextEntries"/>
            </w:pPr>
            <w:r w:rsidRPr="004F1371">
              <w:t>3.1 Non-formal primary equivalency is functioning in 168 additional villages</w:t>
            </w:r>
            <w:r w:rsidR="00D543E6" w:rsidRPr="00C645CE">
              <w:rPr>
                <w:sz w:val="20"/>
                <w:vertAlign w:val="superscript"/>
              </w:rPr>
              <w:footnoteReference w:id="73"/>
            </w:r>
          </w:p>
          <w:p w14:paraId="5047BE21" w14:textId="77777777" w:rsidR="00795EBB" w:rsidRPr="004F1371" w:rsidRDefault="00795EBB" w:rsidP="004F1371">
            <w:pPr>
              <w:pStyle w:val="TableTextEntries"/>
            </w:pPr>
          </w:p>
        </w:tc>
        <w:tc>
          <w:tcPr>
            <w:tcW w:w="819" w:type="pct"/>
          </w:tcPr>
          <w:p w14:paraId="59FD1A0B" w14:textId="7949D6BD" w:rsidR="00795EBB" w:rsidRPr="004F1371" w:rsidRDefault="00795EBB" w:rsidP="004F1371">
            <w:pPr>
              <w:pStyle w:val="TableTextEntries"/>
            </w:pPr>
            <w:r w:rsidRPr="004F1371">
              <w:t xml:space="preserve">3.1 Non-formal primary equivalency is functioning in 114 villages with preparations and training to implement in a further 186 villages </w:t>
            </w:r>
          </w:p>
        </w:tc>
        <w:tc>
          <w:tcPr>
            <w:tcW w:w="833" w:type="pct"/>
          </w:tcPr>
          <w:p w14:paraId="5DDD011E" w14:textId="77777777" w:rsidR="00795EBB" w:rsidRPr="004F1371" w:rsidRDefault="00795EBB" w:rsidP="004F1371">
            <w:pPr>
              <w:pStyle w:val="TableTextEntries"/>
            </w:pPr>
            <w:r w:rsidRPr="004F1371">
              <w:t>3.1 Non-formal primary equivalency is functioning in 186 additional villages (300 villages total)</w:t>
            </w:r>
            <w:r w:rsidRPr="00C645CE">
              <w:rPr>
                <w:sz w:val="20"/>
                <w:vertAlign w:val="superscript"/>
              </w:rPr>
              <w:footnoteReference w:id="74"/>
            </w:r>
          </w:p>
          <w:p w14:paraId="0280D609" w14:textId="77777777" w:rsidR="00795EBB" w:rsidRPr="004F1371" w:rsidRDefault="00795EBB" w:rsidP="004F1371">
            <w:pPr>
              <w:pStyle w:val="TableTextEntries"/>
            </w:pPr>
          </w:p>
        </w:tc>
      </w:tr>
      <w:tr w:rsidR="004F1371" w:rsidRPr="004F1371" w14:paraId="16677567"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449F0E26" w14:textId="77777777" w:rsidR="00795EBB" w:rsidRPr="004F1371" w:rsidRDefault="00795EBB" w:rsidP="004F1371">
            <w:pPr>
              <w:pStyle w:val="TableTextEntries"/>
            </w:pPr>
          </w:p>
        </w:tc>
        <w:tc>
          <w:tcPr>
            <w:tcW w:w="819" w:type="pct"/>
            <w:vMerge/>
          </w:tcPr>
          <w:p w14:paraId="24EE8EB0" w14:textId="77777777" w:rsidR="00795EBB" w:rsidRPr="004F1371" w:rsidRDefault="00795EBB" w:rsidP="004F1371">
            <w:pPr>
              <w:pStyle w:val="TableTextEntries"/>
            </w:pPr>
          </w:p>
        </w:tc>
        <w:tc>
          <w:tcPr>
            <w:tcW w:w="819" w:type="pct"/>
          </w:tcPr>
          <w:p w14:paraId="6EE4C955" w14:textId="18D77E13" w:rsidR="00795EBB" w:rsidRPr="004F1371" w:rsidRDefault="00795EBB" w:rsidP="004F1371">
            <w:pPr>
              <w:pStyle w:val="TableTextEntries"/>
            </w:pPr>
            <w:r w:rsidRPr="004F1371">
              <w:t xml:space="preserve">3.2 </w:t>
            </w:r>
            <w:r w:rsidR="001422D5" w:rsidRPr="004F1371">
              <w:t>Community-based school readiness</w:t>
            </w:r>
            <w:r w:rsidRPr="004F1371">
              <w:t xml:space="preserve"> programs being implemented in villages with no formal pre-primary system</w:t>
            </w:r>
          </w:p>
          <w:p w14:paraId="5A0CA216" w14:textId="77777777" w:rsidR="00795EBB" w:rsidRPr="004F1371" w:rsidRDefault="00795EBB" w:rsidP="004F1371">
            <w:pPr>
              <w:pStyle w:val="TableTextEntries"/>
            </w:pPr>
          </w:p>
        </w:tc>
        <w:tc>
          <w:tcPr>
            <w:tcW w:w="819" w:type="pct"/>
          </w:tcPr>
          <w:p w14:paraId="31B30886" w14:textId="0B817740" w:rsidR="00795EBB" w:rsidRPr="004F1371" w:rsidRDefault="00795EBB" w:rsidP="004F1371">
            <w:pPr>
              <w:pStyle w:val="TableTextEntries"/>
            </w:pPr>
            <w:r w:rsidRPr="004F1371">
              <w:t>3.2 Community-based school readiness program commenced in 240 villages</w:t>
            </w:r>
            <w:r w:rsidR="00D543E6" w:rsidRPr="00C645CE">
              <w:rPr>
                <w:sz w:val="20"/>
                <w:vertAlign w:val="superscript"/>
              </w:rPr>
              <w:footnoteReference w:id="75"/>
            </w:r>
          </w:p>
          <w:p w14:paraId="3C5AD10D" w14:textId="77777777" w:rsidR="00795EBB" w:rsidRPr="004F1371" w:rsidRDefault="00795EBB" w:rsidP="004F1371">
            <w:pPr>
              <w:pStyle w:val="TableTextEntries"/>
            </w:pPr>
          </w:p>
        </w:tc>
        <w:tc>
          <w:tcPr>
            <w:tcW w:w="819" w:type="pct"/>
          </w:tcPr>
          <w:p w14:paraId="0312A76F" w14:textId="5B07FE82" w:rsidR="00795EBB" w:rsidRPr="004F1371" w:rsidRDefault="00795EBB" w:rsidP="000C173F">
            <w:pPr>
              <w:pStyle w:val="TableTextEntries"/>
            </w:pPr>
            <w:r w:rsidRPr="004F1371">
              <w:t xml:space="preserve">3.2 Revised plans for pilot of </w:t>
            </w:r>
            <w:r w:rsidR="001422D5" w:rsidRPr="004F1371">
              <w:t>community</w:t>
            </w:r>
            <w:r w:rsidRPr="004F1371">
              <w:t xml:space="preserve">-based school readiness program to be implemented in 53 villages (24 with </w:t>
            </w:r>
            <w:r w:rsidR="000C173F">
              <w:t xml:space="preserve">DFAT </w:t>
            </w:r>
            <w:r w:rsidRPr="004F1371">
              <w:t xml:space="preserve">support under the </w:t>
            </w:r>
            <w:r w:rsidR="001422D5" w:rsidRPr="004F1371">
              <w:t>Education for All: Fast Track Initiative</w:t>
            </w:r>
            <w:r w:rsidRPr="004F1371">
              <w:t xml:space="preserve">), with strong </w:t>
            </w:r>
            <w:r w:rsidR="001422D5" w:rsidRPr="004F1371">
              <w:t>monitoring and evaluation</w:t>
            </w:r>
            <w:r w:rsidRPr="004F1371">
              <w:t xml:space="preserve"> to develop </w:t>
            </w:r>
            <w:r w:rsidR="001422D5" w:rsidRPr="004F1371">
              <w:t>evidence-</w:t>
            </w:r>
            <w:r w:rsidRPr="004F1371">
              <w:t>based lessons learned to inform potential scale up</w:t>
            </w:r>
          </w:p>
        </w:tc>
        <w:tc>
          <w:tcPr>
            <w:tcW w:w="833" w:type="pct"/>
          </w:tcPr>
          <w:p w14:paraId="7DADFA47" w14:textId="363A3F61" w:rsidR="00795EBB" w:rsidRPr="004F1371" w:rsidRDefault="00795EBB" w:rsidP="00645983">
            <w:pPr>
              <w:pStyle w:val="TableTextEntries"/>
            </w:pPr>
            <w:r w:rsidRPr="004F1371">
              <w:t>3.2 Community-based school readiness program piloted in 53 villages, with possible roll out to an additional 276 villages based on pilot results</w:t>
            </w:r>
            <w:r w:rsidRPr="00C645CE">
              <w:rPr>
                <w:sz w:val="20"/>
                <w:vertAlign w:val="superscript"/>
              </w:rPr>
              <w:footnoteReference w:id="76"/>
            </w:r>
          </w:p>
        </w:tc>
      </w:tr>
      <w:tr w:rsidR="004F1371" w:rsidRPr="004F1371" w14:paraId="6D165D19" w14:textId="77777777" w:rsidTr="008171B0">
        <w:trPr>
          <w:cantSplit/>
          <w:tblHeader w:val="0"/>
        </w:trPr>
        <w:tc>
          <w:tcPr>
            <w:tcW w:w="820" w:type="pct"/>
          </w:tcPr>
          <w:p w14:paraId="1A0FA159" w14:textId="77777777" w:rsidR="00795EBB" w:rsidRPr="004F1371" w:rsidRDefault="00795EBB" w:rsidP="004F1371">
            <w:pPr>
              <w:pStyle w:val="TableTextEntries"/>
            </w:pPr>
          </w:p>
        </w:tc>
        <w:tc>
          <w:tcPr>
            <w:tcW w:w="819" w:type="pct"/>
          </w:tcPr>
          <w:p w14:paraId="64AD9E42" w14:textId="4BFCEA88" w:rsidR="00795EBB" w:rsidRPr="004F1371" w:rsidRDefault="00795EBB" w:rsidP="004F1371">
            <w:pPr>
              <w:pStyle w:val="TableTextEntries"/>
            </w:pPr>
            <w:r w:rsidRPr="004F1371">
              <w:t xml:space="preserve">Strategy objective 2: Better management of </w:t>
            </w:r>
            <w:r w:rsidR="001422D5" w:rsidRPr="004F1371">
              <w:t xml:space="preserve">Laos </w:t>
            </w:r>
            <w:r w:rsidRPr="004F1371">
              <w:t xml:space="preserve">Government and donor resources available to the education sector </w:t>
            </w:r>
            <w:r w:rsidR="001422D5" w:rsidRPr="004F1371">
              <w:t xml:space="preserve">by </w:t>
            </w:r>
            <w:r w:rsidRPr="004F1371">
              <w:t>implement</w:t>
            </w:r>
            <w:r w:rsidR="001422D5" w:rsidRPr="004F1371">
              <w:t xml:space="preserve">ing </w:t>
            </w:r>
            <w:r w:rsidRPr="004F1371">
              <w:t xml:space="preserve">a jointly agreed </w:t>
            </w:r>
            <w:r w:rsidR="001422D5" w:rsidRPr="004F1371">
              <w:t>10-</w:t>
            </w:r>
            <w:r w:rsidRPr="004F1371">
              <w:t>year education sector framework</w:t>
            </w:r>
          </w:p>
        </w:tc>
        <w:tc>
          <w:tcPr>
            <w:tcW w:w="819" w:type="pct"/>
          </w:tcPr>
          <w:p w14:paraId="739D3C64" w14:textId="5F4E73E4" w:rsidR="00795EBB" w:rsidRPr="004F1371" w:rsidRDefault="00795EBB" w:rsidP="004F1371">
            <w:pPr>
              <w:pStyle w:val="TableTextEntries"/>
            </w:pPr>
            <w:r w:rsidRPr="004F1371">
              <w:t xml:space="preserve">1. Use of the 2009–2015 education sector development framework by </w:t>
            </w:r>
            <w:r w:rsidR="001422D5" w:rsidRPr="004F1371">
              <w:t xml:space="preserve">Laos </w:t>
            </w:r>
            <w:r w:rsidRPr="004F1371">
              <w:t>Government and donors</w:t>
            </w:r>
          </w:p>
        </w:tc>
        <w:tc>
          <w:tcPr>
            <w:tcW w:w="819" w:type="pct"/>
          </w:tcPr>
          <w:p w14:paraId="7222B02D" w14:textId="5FC0D854" w:rsidR="00795EBB" w:rsidRPr="004F1371" w:rsidRDefault="00795EBB" w:rsidP="004F1371">
            <w:pPr>
              <w:pStyle w:val="TableTextEntries"/>
            </w:pPr>
            <w:r w:rsidRPr="004F1371">
              <w:t xml:space="preserve">1.1 Government and </w:t>
            </w:r>
            <w:r w:rsidR="001422D5" w:rsidRPr="004F1371">
              <w:t xml:space="preserve">development </w:t>
            </w:r>
            <w:r w:rsidRPr="004F1371">
              <w:t>partners map all projects in the sector against the policy planning matrix to identify and monitor alignment of projects with the Education Sector Development Plan</w:t>
            </w:r>
          </w:p>
        </w:tc>
        <w:tc>
          <w:tcPr>
            <w:tcW w:w="819" w:type="pct"/>
          </w:tcPr>
          <w:p w14:paraId="37CDA542" w14:textId="77777777" w:rsidR="00795EBB" w:rsidRPr="004F1371" w:rsidRDefault="00795EBB" w:rsidP="004F1371">
            <w:pPr>
              <w:pStyle w:val="TableTextEntries"/>
            </w:pPr>
            <w:r w:rsidRPr="004F1371">
              <w:t>1.1 Milestone partially met</w:t>
            </w:r>
          </w:p>
          <w:p w14:paraId="6749B901" w14:textId="65868900" w:rsidR="00795EBB" w:rsidRPr="004F1371" w:rsidRDefault="001A7ED8" w:rsidP="004F1371">
            <w:pPr>
              <w:pStyle w:val="TableTextEntries"/>
            </w:pPr>
            <w:r w:rsidRPr="004F1371">
              <w:t xml:space="preserve">Significant </w:t>
            </w:r>
            <w:r w:rsidR="00795EBB" w:rsidRPr="004F1371">
              <w:t>progress has been made on strengthening the investment database that monitors investments in the education sector by subsector and activity.</w:t>
            </w:r>
            <w:r w:rsidR="00B90EB9" w:rsidRPr="004F1371">
              <w:t xml:space="preserve"> </w:t>
            </w:r>
            <w:r w:rsidR="00795EBB" w:rsidRPr="004F1371">
              <w:t xml:space="preserve">Work on mapping investments by objective is continuing, including plans with the Informal Development Partner Working Group to update and verify information in the </w:t>
            </w:r>
            <w:r w:rsidR="001422D5" w:rsidRPr="004F1371">
              <w:t>investment d</w:t>
            </w:r>
            <w:r w:rsidR="00795EBB" w:rsidRPr="004F1371">
              <w:t>atabase</w:t>
            </w:r>
          </w:p>
        </w:tc>
        <w:tc>
          <w:tcPr>
            <w:tcW w:w="833" w:type="pct"/>
          </w:tcPr>
          <w:p w14:paraId="124B4803" w14:textId="65D7C9D9" w:rsidR="00795EBB" w:rsidRPr="004F1371" w:rsidRDefault="00795EBB" w:rsidP="004F1371">
            <w:pPr>
              <w:pStyle w:val="TableTextEntries"/>
            </w:pPr>
            <w:r w:rsidRPr="004F1371">
              <w:t xml:space="preserve">1.1 Process </w:t>
            </w:r>
            <w:r w:rsidR="00290213" w:rsidRPr="004F1371">
              <w:t>established</w:t>
            </w:r>
            <w:r w:rsidR="001422D5" w:rsidRPr="004F1371">
              <w:t xml:space="preserve"> </w:t>
            </w:r>
            <w:r w:rsidRPr="004F1371">
              <w:t xml:space="preserve">for </w:t>
            </w:r>
            <w:r w:rsidR="001422D5" w:rsidRPr="004F1371">
              <w:t>development p</w:t>
            </w:r>
            <w:r w:rsidRPr="004F1371">
              <w:t xml:space="preserve">artners to regularly verify information in the </w:t>
            </w:r>
            <w:r w:rsidR="001422D5" w:rsidRPr="004F1371">
              <w:t xml:space="preserve">investment database </w:t>
            </w:r>
            <w:r w:rsidRPr="004F1371">
              <w:t xml:space="preserve">and </w:t>
            </w:r>
            <w:r w:rsidR="001422D5" w:rsidRPr="004F1371">
              <w:t xml:space="preserve">to </w:t>
            </w:r>
            <w:r w:rsidRPr="004F1371">
              <w:t xml:space="preserve">provide updates regarding alignment of projects with the </w:t>
            </w:r>
            <w:r w:rsidR="001422D5" w:rsidRPr="004F1371">
              <w:t xml:space="preserve">Education Sector Development Plan </w:t>
            </w:r>
            <w:r w:rsidRPr="004F1371">
              <w:t>objectives</w:t>
            </w:r>
          </w:p>
        </w:tc>
      </w:tr>
      <w:tr w:rsidR="004F1371" w:rsidRPr="004F1371" w14:paraId="10B15B5B"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tcPr>
          <w:p w14:paraId="41B9A969" w14:textId="77777777" w:rsidR="00367FC4" w:rsidRPr="004F1371" w:rsidRDefault="00367FC4" w:rsidP="004F1371">
            <w:pPr>
              <w:pStyle w:val="TableTextEntries"/>
            </w:pPr>
          </w:p>
        </w:tc>
        <w:tc>
          <w:tcPr>
            <w:tcW w:w="819" w:type="pct"/>
          </w:tcPr>
          <w:p w14:paraId="0AA4FAC3" w14:textId="77777777" w:rsidR="00367FC4" w:rsidRPr="004F1371" w:rsidRDefault="00367FC4" w:rsidP="004F1371">
            <w:pPr>
              <w:pStyle w:val="TableTextEntries"/>
            </w:pPr>
          </w:p>
        </w:tc>
        <w:tc>
          <w:tcPr>
            <w:tcW w:w="819" w:type="pct"/>
          </w:tcPr>
          <w:p w14:paraId="7634C79B" w14:textId="750E1C24" w:rsidR="00367FC4" w:rsidRPr="004F1371" w:rsidRDefault="00367FC4" w:rsidP="004F1371">
            <w:pPr>
              <w:pStyle w:val="TableTextEntries"/>
            </w:pPr>
            <w:r w:rsidRPr="004F1371">
              <w:t xml:space="preserve">2. Development and use of a credible annual costed sector plan by Laos Government and donors </w:t>
            </w:r>
          </w:p>
        </w:tc>
        <w:tc>
          <w:tcPr>
            <w:tcW w:w="819" w:type="pct"/>
          </w:tcPr>
          <w:p w14:paraId="61DA6B0F" w14:textId="0B9F213D" w:rsidR="00367FC4" w:rsidRPr="004F1371" w:rsidRDefault="00367FC4" w:rsidP="004F1371">
            <w:pPr>
              <w:pStyle w:val="TableTextEntries"/>
            </w:pPr>
            <w:r w:rsidRPr="004F1371">
              <w:t xml:space="preserve">2.1 Format for annual costed sector plans simplified to enable more effective planning and budgeting by provincial and central levels </w:t>
            </w:r>
          </w:p>
          <w:p w14:paraId="134A1211" w14:textId="77777777" w:rsidR="00367FC4" w:rsidRPr="004F1371" w:rsidRDefault="00367FC4" w:rsidP="004F1371">
            <w:pPr>
              <w:pStyle w:val="TableTextEntries"/>
            </w:pPr>
          </w:p>
          <w:p w14:paraId="1BA3D412" w14:textId="77777777" w:rsidR="00367FC4" w:rsidRPr="004F1371" w:rsidRDefault="00367FC4" w:rsidP="004F1371">
            <w:pPr>
              <w:pStyle w:val="TableTextEntries"/>
            </w:pPr>
          </w:p>
          <w:p w14:paraId="770B6B5C" w14:textId="6D266209" w:rsidR="00367FC4" w:rsidRPr="004F1371" w:rsidRDefault="00367FC4" w:rsidP="004F1371">
            <w:pPr>
              <w:pStyle w:val="TableTextEntries"/>
            </w:pPr>
            <w:r w:rsidRPr="004F1371">
              <w:t>2.2 Revised annual costed sector plan is the single planning and budgeting tool for the sector submission to Ministry of Finance for 2013–14 budget</w:t>
            </w:r>
          </w:p>
        </w:tc>
        <w:tc>
          <w:tcPr>
            <w:tcW w:w="819" w:type="pct"/>
          </w:tcPr>
          <w:p w14:paraId="0C22AACD" w14:textId="77777777" w:rsidR="00367FC4" w:rsidRPr="004F1371" w:rsidRDefault="00367FC4" w:rsidP="004F1371">
            <w:pPr>
              <w:pStyle w:val="TableTextEntries"/>
            </w:pPr>
            <w:r w:rsidRPr="004F1371">
              <w:t>2. Milestone partially met</w:t>
            </w:r>
          </w:p>
          <w:p w14:paraId="28FF300C" w14:textId="63A69BC4" w:rsidR="00367FC4" w:rsidRDefault="00367FC4" w:rsidP="004F1371">
            <w:pPr>
              <w:pStyle w:val="TableTextEntries"/>
            </w:pPr>
            <w:r w:rsidRPr="004F1371">
              <w:t>2.1 Annual costed sector plan format simplified and successful workshops took place with all provinces to create plans for the 2012–13 year</w:t>
            </w:r>
          </w:p>
          <w:p w14:paraId="7542B012" w14:textId="77777777" w:rsidR="00217E13" w:rsidRPr="004F1371" w:rsidRDefault="00217E13" w:rsidP="004F1371">
            <w:pPr>
              <w:pStyle w:val="TableTextEntries"/>
            </w:pPr>
          </w:p>
          <w:p w14:paraId="1EB0BF07" w14:textId="6197D926" w:rsidR="00367FC4" w:rsidRPr="004F1371" w:rsidRDefault="00367FC4" w:rsidP="004F1371">
            <w:pPr>
              <w:pStyle w:val="TableTextEntries"/>
            </w:pPr>
            <w:r w:rsidRPr="004F1371">
              <w:t>2.2 Annual costed sector plans for 2012–13 and initial plans for 2013–14 developed during workshops in late 2012, but plans not yet systematically informing budget process</w:t>
            </w:r>
          </w:p>
        </w:tc>
        <w:tc>
          <w:tcPr>
            <w:tcW w:w="833" w:type="pct"/>
          </w:tcPr>
          <w:p w14:paraId="7D9D256A" w14:textId="454D87E1" w:rsidR="00367FC4" w:rsidRPr="004F1371" w:rsidRDefault="00367FC4" w:rsidP="004F1371">
            <w:pPr>
              <w:pStyle w:val="TableTextEntries"/>
            </w:pPr>
            <w:r w:rsidRPr="004F1371">
              <w:t xml:space="preserve">To be determined </w:t>
            </w:r>
          </w:p>
        </w:tc>
      </w:tr>
      <w:tr w:rsidR="004F1371" w:rsidRPr="004F1371" w14:paraId="59644B34" w14:textId="77777777" w:rsidTr="008171B0">
        <w:trPr>
          <w:cantSplit/>
          <w:tblHeader w:val="0"/>
        </w:trPr>
        <w:tc>
          <w:tcPr>
            <w:tcW w:w="820" w:type="pct"/>
          </w:tcPr>
          <w:p w14:paraId="1AF08A4B" w14:textId="77777777" w:rsidR="00795EBB" w:rsidRPr="004F1371" w:rsidRDefault="00795EBB" w:rsidP="004F1371">
            <w:pPr>
              <w:pStyle w:val="TableTextEntries"/>
            </w:pPr>
          </w:p>
        </w:tc>
        <w:tc>
          <w:tcPr>
            <w:tcW w:w="819" w:type="pct"/>
          </w:tcPr>
          <w:p w14:paraId="18F621B6" w14:textId="77777777" w:rsidR="00795EBB" w:rsidRPr="004F1371" w:rsidRDefault="00795EBB" w:rsidP="004F1371">
            <w:pPr>
              <w:pStyle w:val="TableTextEntries"/>
            </w:pPr>
          </w:p>
        </w:tc>
        <w:tc>
          <w:tcPr>
            <w:tcW w:w="819" w:type="pct"/>
          </w:tcPr>
          <w:p w14:paraId="3577FB04" w14:textId="77777777" w:rsidR="00795EBB" w:rsidRPr="004F1371" w:rsidRDefault="00795EBB" w:rsidP="004F1371">
            <w:pPr>
              <w:pStyle w:val="TableTextEntries"/>
            </w:pPr>
            <w:r w:rsidRPr="004F1371">
              <w:t>3. Achievement of Vientiane Declaration goals through the Education Sector Working Group, provincial Education Sector Working Groups and focal groups</w:t>
            </w:r>
          </w:p>
        </w:tc>
        <w:tc>
          <w:tcPr>
            <w:tcW w:w="819" w:type="pct"/>
          </w:tcPr>
          <w:p w14:paraId="56E58F42" w14:textId="77777777" w:rsidR="00795EBB" w:rsidRPr="004F1371" w:rsidRDefault="00795EBB" w:rsidP="004F1371">
            <w:pPr>
              <w:pStyle w:val="TableTextEntries"/>
            </w:pPr>
            <w:r w:rsidRPr="004F1371">
              <w:t>3.1 Roles of focal groups within the Education Sector Working Group are clearly established during Education Sector Working Group review</w:t>
            </w:r>
          </w:p>
        </w:tc>
        <w:tc>
          <w:tcPr>
            <w:tcW w:w="819" w:type="pct"/>
          </w:tcPr>
          <w:p w14:paraId="3FB5C9C4" w14:textId="77777777" w:rsidR="00795EBB" w:rsidRPr="004F1371" w:rsidRDefault="00795EBB" w:rsidP="004F1371">
            <w:pPr>
              <w:pStyle w:val="TableTextEntries"/>
            </w:pPr>
            <w:r w:rsidRPr="004F1371">
              <w:t>3.1 Milestone partially met</w:t>
            </w:r>
          </w:p>
          <w:p w14:paraId="3C0A4888" w14:textId="1A699209" w:rsidR="00795EBB" w:rsidRPr="004F1371" w:rsidRDefault="00795EBB" w:rsidP="004F1371">
            <w:pPr>
              <w:pStyle w:val="TableTextEntries"/>
            </w:pPr>
            <w:r w:rsidRPr="004F1371">
              <w:t xml:space="preserve">Roles of focal groups within the </w:t>
            </w:r>
            <w:r w:rsidR="00401B05" w:rsidRPr="004F1371">
              <w:t xml:space="preserve">Education Sector Working Group </w:t>
            </w:r>
            <w:r w:rsidRPr="004F1371">
              <w:t xml:space="preserve">are clearly established, with </w:t>
            </w:r>
            <w:r w:rsidR="00401B05" w:rsidRPr="004F1371">
              <w:t xml:space="preserve">terms of reference </w:t>
            </w:r>
            <w:r w:rsidRPr="004F1371">
              <w:t xml:space="preserve">agreed to during the March 2013 </w:t>
            </w:r>
            <w:r w:rsidR="00401B05" w:rsidRPr="004F1371">
              <w:t xml:space="preserve">working group </w:t>
            </w:r>
            <w:r w:rsidRPr="004F1371">
              <w:t>meeting</w:t>
            </w:r>
          </w:p>
        </w:tc>
        <w:tc>
          <w:tcPr>
            <w:tcW w:w="833" w:type="pct"/>
          </w:tcPr>
          <w:p w14:paraId="718D6B8F" w14:textId="66CB1F13" w:rsidR="00795EBB" w:rsidRPr="004F1371" w:rsidRDefault="00795EBB" w:rsidP="004F1371">
            <w:pPr>
              <w:pStyle w:val="TableTextEntries"/>
            </w:pPr>
            <w:r w:rsidRPr="004F1371">
              <w:t>To be determined</w:t>
            </w:r>
            <w:r w:rsidR="00B90EB9" w:rsidRPr="004F1371">
              <w:t xml:space="preserve"> </w:t>
            </w:r>
          </w:p>
        </w:tc>
      </w:tr>
      <w:tr w:rsidR="004F1371" w:rsidRPr="004F1371" w14:paraId="75DB860D"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77A5E646" w14:textId="77777777" w:rsidR="00795EBB" w:rsidRPr="004F1371" w:rsidRDefault="00795EBB" w:rsidP="004F1371">
            <w:pPr>
              <w:pStyle w:val="TableTextEntries"/>
            </w:pPr>
          </w:p>
        </w:tc>
        <w:tc>
          <w:tcPr>
            <w:tcW w:w="819" w:type="pct"/>
            <w:vMerge w:val="restart"/>
          </w:tcPr>
          <w:p w14:paraId="32800A36" w14:textId="77777777" w:rsidR="00795EBB" w:rsidRPr="004F1371" w:rsidRDefault="00795EBB" w:rsidP="004F1371">
            <w:pPr>
              <w:pStyle w:val="TableTextEntries"/>
            </w:pPr>
          </w:p>
        </w:tc>
        <w:tc>
          <w:tcPr>
            <w:tcW w:w="819" w:type="pct"/>
          </w:tcPr>
          <w:p w14:paraId="751479FA" w14:textId="77777777" w:rsidR="00795EBB" w:rsidRPr="004F1371" w:rsidRDefault="00795EBB" w:rsidP="004F1371">
            <w:pPr>
              <w:pStyle w:val="TableTextEntries"/>
            </w:pPr>
          </w:p>
        </w:tc>
        <w:tc>
          <w:tcPr>
            <w:tcW w:w="819" w:type="pct"/>
          </w:tcPr>
          <w:p w14:paraId="2D986D26" w14:textId="58A3AFFA" w:rsidR="00795EBB" w:rsidRPr="004F1371" w:rsidRDefault="00795EBB" w:rsidP="004F1371">
            <w:pPr>
              <w:pStyle w:val="TableTextEntries"/>
            </w:pPr>
            <w:r w:rsidRPr="004F1371">
              <w:t xml:space="preserve">3.2 Education Sector Working Group review conducted. Outcome is more results focused work plan that is jointly developed by </w:t>
            </w:r>
            <w:r w:rsidR="001A7ED8" w:rsidRPr="004F1371">
              <w:t>w</w:t>
            </w:r>
            <w:r w:rsidRPr="004F1371">
              <w:t xml:space="preserve">orking </w:t>
            </w:r>
            <w:r w:rsidR="001A7ED8" w:rsidRPr="004F1371">
              <w:t xml:space="preserve">group </w:t>
            </w:r>
            <w:r w:rsidRPr="004F1371">
              <w:t xml:space="preserve">members </w:t>
            </w:r>
          </w:p>
          <w:p w14:paraId="4BA01210" w14:textId="77777777" w:rsidR="00795EBB" w:rsidRPr="004F1371" w:rsidRDefault="00795EBB" w:rsidP="004F1371">
            <w:pPr>
              <w:pStyle w:val="TableTextEntries"/>
            </w:pPr>
          </w:p>
          <w:p w14:paraId="56E1BFAF" w14:textId="723FEAE0" w:rsidR="00795EBB" w:rsidRPr="004F1371" w:rsidRDefault="00795EBB" w:rsidP="004F1371">
            <w:pPr>
              <w:pStyle w:val="TableTextEntries"/>
            </w:pPr>
            <w:r w:rsidRPr="004F1371">
              <w:t>3.3 Provincial coordination taking place through regional and provincial coordination mechanisms</w:t>
            </w:r>
          </w:p>
        </w:tc>
        <w:tc>
          <w:tcPr>
            <w:tcW w:w="819" w:type="pct"/>
          </w:tcPr>
          <w:p w14:paraId="2D838E8B" w14:textId="7A8CA710" w:rsidR="00795EBB" w:rsidRPr="004F1371" w:rsidRDefault="00795EBB" w:rsidP="004F1371">
            <w:pPr>
              <w:pStyle w:val="TableTextEntries"/>
            </w:pPr>
            <w:r w:rsidRPr="004F1371">
              <w:t>3.2 Milestone partially met</w:t>
            </w:r>
            <w:r w:rsidR="00B90EB9" w:rsidRPr="004F1371">
              <w:t xml:space="preserve"> </w:t>
            </w:r>
            <w:r w:rsidR="00401B05" w:rsidRPr="004F1371">
              <w:t xml:space="preserve">Education Sector Working Group </w:t>
            </w:r>
            <w:r w:rsidRPr="004F1371">
              <w:t xml:space="preserve">review conducted and </w:t>
            </w:r>
            <w:r w:rsidR="00401B05" w:rsidRPr="004F1371">
              <w:t xml:space="preserve">terms of reference </w:t>
            </w:r>
            <w:r w:rsidRPr="004F1371">
              <w:t>being updated to reflect agreed revised structure.</w:t>
            </w:r>
            <w:r w:rsidR="00B90EB9" w:rsidRPr="004F1371">
              <w:t xml:space="preserve"> Work plan</w:t>
            </w:r>
            <w:r w:rsidRPr="004F1371">
              <w:t xml:space="preserve"> not yet developed, awaiting development of </w:t>
            </w:r>
            <w:r w:rsidR="00B90EB9" w:rsidRPr="004F1371">
              <w:t>work plans</w:t>
            </w:r>
            <w:r w:rsidRPr="004F1371">
              <w:t xml:space="preserve"> for </w:t>
            </w:r>
            <w:r w:rsidR="00401B05" w:rsidRPr="004F1371">
              <w:t>focal groups</w:t>
            </w:r>
          </w:p>
          <w:p w14:paraId="401FF8E5" w14:textId="771B4445" w:rsidR="00795EBB" w:rsidRPr="004F1371" w:rsidRDefault="00795EBB" w:rsidP="004F1371">
            <w:pPr>
              <w:pStyle w:val="TableTextEntries"/>
            </w:pPr>
            <w:r w:rsidRPr="004F1371">
              <w:t>3.3 Milestone partially met</w:t>
            </w:r>
            <w:r w:rsidR="00B90EB9" w:rsidRPr="004F1371">
              <w:t xml:space="preserve"> </w:t>
            </w:r>
            <w:r w:rsidRPr="004F1371">
              <w:t xml:space="preserve">Provincial coordination mechanisms delayed until </w:t>
            </w:r>
            <w:r w:rsidR="00401B05" w:rsidRPr="004F1371">
              <w:t xml:space="preserve">focal group </w:t>
            </w:r>
            <w:r w:rsidRPr="004F1371">
              <w:t>structure is stable and active</w:t>
            </w:r>
          </w:p>
        </w:tc>
        <w:tc>
          <w:tcPr>
            <w:tcW w:w="833" w:type="pct"/>
          </w:tcPr>
          <w:p w14:paraId="259C3CF7" w14:textId="09CA96D9" w:rsidR="00795EBB" w:rsidRPr="004F1371" w:rsidRDefault="00795EBB" w:rsidP="004F1371">
            <w:pPr>
              <w:pStyle w:val="TableTextEntries"/>
            </w:pPr>
            <w:r w:rsidRPr="004F1371">
              <w:t>To be determined</w:t>
            </w:r>
            <w:r w:rsidR="00B90EB9" w:rsidRPr="004F1371">
              <w:t xml:space="preserve"> </w:t>
            </w:r>
          </w:p>
        </w:tc>
      </w:tr>
      <w:tr w:rsidR="004F1371" w:rsidRPr="004F1371" w14:paraId="27803BFF" w14:textId="77777777" w:rsidTr="008171B0">
        <w:trPr>
          <w:cantSplit/>
          <w:tblHeader w:val="0"/>
        </w:trPr>
        <w:tc>
          <w:tcPr>
            <w:tcW w:w="820" w:type="pct"/>
            <w:vMerge/>
          </w:tcPr>
          <w:p w14:paraId="5CE6636E" w14:textId="77777777" w:rsidR="00795EBB" w:rsidRPr="004F1371" w:rsidRDefault="00795EBB" w:rsidP="004F1371">
            <w:pPr>
              <w:pStyle w:val="TableTextEntries"/>
            </w:pPr>
          </w:p>
        </w:tc>
        <w:tc>
          <w:tcPr>
            <w:tcW w:w="819" w:type="pct"/>
            <w:vMerge/>
          </w:tcPr>
          <w:p w14:paraId="0D8153D9" w14:textId="77777777" w:rsidR="00795EBB" w:rsidRPr="004F1371" w:rsidRDefault="00795EBB" w:rsidP="004F1371">
            <w:pPr>
              <w:pStyle w:val="TableTextEntries"/>
            </w:pPr>
          </w:p>
        </w:tc>
        <w:tc>
          <w:tcPr>
            <w:tcW w:w="819" w:type="pct"/>
          </w:tcPr>
          <w:p w14:paraId="357A59FD" w14:textId="77777777" w:rsidR="00795EBB" w:rsidRPr="004F1371" w:rsidRDefault="00795EBB" w:rsidP="004F1371">
            <w:pPr>
              <w:pStyle w:val="TableTextEntries"/>
            </w:pPr>
            <w:r w:rsidRPr="004F1371">
              <w:t>4. Ministry of Education financial, procurement, implementation and monitoring and evaluation capacity strengthened as evidenced by implementation of Education Sector Development Framework/Education Sector Development Plan</w:t>
            </w:r>
          </w:p>
        </w:tc>
        <w:tc>
          <w:tcPr>
            <w:tcW w:w="819" w:type="pct"/>
          </w:tcPr>
          <w:p w14:paraId="31DB148E" w14:textId="77777777" w:rsidR="00795EBB" w:rsidRPr="004F1371" w:rsidRDefault="00795EBB" w:rsidP="004F1371">
            <w:pPr>
              <w:pStyle w:val="TableTextEntries"/>
            </w:pPr>
            <w:r w:rsidRPr="004F1371">
              <w:t xml:space="preserve">4.1 Joint Sector Review Missions strengthened each year. Missions in 2012 and 2013 with stronger development partner involvement in planning reviews, findings feeding into annual sector performance reports and agreements monitored for compliance </w:t>
            </w:r>
          </w:p>
        </w:tc>
        <w:tc>
          <w:tcPr>
            <w:tcW w:w="819" w:type="pct"/>
          </w:tcPr>
          <w:p w14:paraId="3CB056AA" w14:textId="77777777" w:rsidR="00795EBB" w:rsidRPr="004F1371" w:rsidRDefault="00795EBB" w:rsidP="004F1371">
            <w:pPr>
              <w:pStyle w:val="TableTextEntries"/>
            </w:pPr>
            <w:r w:rsidRPr="004F1371">
              <w:t>4.1 Milestone met</w:t>
            </w:r>
          </w:p>
          <w:p w14:paraId="28592BFF" w14:textId="5C4E0D0A" w:rsidR="00795EBB" w:rsidRPr="004F1371" w:rsidRDefault="00795EBB" w:rsidP="004F1371">
            <w:pPr>
              <w:pStyle w:val="TableTextEntries"/>
            </w:pPr>
            <w:r w:rsidRPr="004F1371">
              <w:t>Strengthened Joint Sector Review Missions took place in 2012 with over 12 development partners involved and alignment with two program reviews. Findings fed into annual sector performance report for 2012.</w:t>
            </w:r>
            <w:r w:rsidR="00B90EB9" w:rsidRPr="004F1371">
              <w:t xml:space="preserve"> </w:t>
            </w:r>
            <w:r w:rsidRPr="004F1371">
              <w:t xml:space="preserve">2013 Joint Sector Review Mission combined with </w:t>
            </w:r>
            <w:r w:rsidR="001A7ED8" w:rsidRPr="004F1371">
              <w:t xml:space="preserve">review </w:t>
            </w:r>
            <w:r w:rsidRPr="004F1371">
              <w:t xml:space="preserve">of the </w:t>
            </w:r>
            <w:r w:rsidR="00401B05" w:rsidRPr="004F1371">
              <w:t xml:space="preserve">Education Sector Development Plan, </w:t>
            </w:r>
            <w:r w:rsidRPr="004F1371">
              <w:t>with strong development partner involvement in planning and conducting the review</w:t>
            </w:r>
          </w:p>
        </w:tc>
        <w:tc>
          <w:tcPr>
            <w:tcW w:w="833" w:type="pct"/>
          </w:tcPr>
          <w:p w14:paraId="7FF9A6C8" w14:textId="26A8586D" w:rsidR="00795EBB" w:rsidRPr="004F1371" w:rsidRDefault="00795EBB" w:rsidP="004F1371">
            <w:pPr>
              <w:pStyle w:val="TableTextEntries"/>
            </w:pPr>
            <w:r w:rsidRPr="004F1371">
              <w:t>To be determined</w:t>
            </w:r>
            <w:r w:rsidR="00B90EB9" w:rsidRPr="004F1371">
              <w:t xml:space="preserve"> </w:t>
            </w:r>
          </w:p>
        </w:tc>
      </w:tr>
      <w:tr w:rsidR="004F1371" w:rsidRPr="004F1371" w14:paraId="2C104C6F"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25AC0912" w14:textId="77777777" w:rsidR="00795EBB" w:rsidRPr="004F1371" w:rsidRDefault="00795EBB" w:rsidP="004F1371">
            <w:pPr>
              <w:pStyle w:val="TableTextEntries"/>
            </w:pPr>
          </w:p>
        </w:tc>
        <w:tc>
          <w:tcPr>
            <w:tcW w:w="819" w:type="pct"/>
            <w:vMerge w:val="restart"/>
          </w:tcPr>
          <w:p w14:paraId="53E4B7FA" w14:textId="77777777" w:rsidR="00795EBB" w:rsidRPr="004F1371" w:rsidRDefault="00795EBB" w:rsidP="004F1371">
            <w:pPr>
              <w:pStyle w:val="TableTextEntries"/>
            </w:pPr>
          </w:p>
        </w:tc>
        <w:tc>
          <w:tcPr>
            <w:tcW w:w="819" w:type="pct"/>
            <w:vMerge w:val="restart"/>
          </w:tcPr>
          <w:p w14:paraId="0872D3C1" w14:textId="77777777" w:rsidR="00795EBB" w:rsidRPr="004F1371" w:rsidRDefault="00795EBB" w:rsidP="004F1371">
            <w:pPr>
              <w:pStyle w:val="TableTextEntries"/>
            </w:pPr>
          </w:p>
        </w:tc>
        <w:tc>
          <w:tcPr>
            <w:tcW w:w="819" w:type="pct"/>
          </w:tcPr>
          <w:p w14:paraId="3832561A" w14:textId="77777777" w:rsidR="00795EBB" w:rsidRPr="004F1371" w:rsidRDefault="00795EBB" w:rsidP="004F1371">
            <w:pPr>
              <w:pStyle w:val="TableTextEntries"/>
            </w:pPr>
            <w:r w:rsidRPr="004F1371">
              <w:t xml:space="preserve">4.2 Technical assistance mobilised to support Human Resource Development Plan for Education Sector Development Plan </w:t>
            </w:r>
          </w:p>
        </w:tc>
        <w:tc>
          <w:tcPr>
            <w:tcW w:w="819" w:type="pct"/>
          </w:tcPr>
          <w:p w14:paraId="7E1DE5C1" w14:textId="77777777" w:rsidR="00795EBB" w:rsidRPr="004F1371" w:rsidRDefault="00795EBB" w:rsidP="004F1371">
            <w:pPr>
              <w:pStyle w:val="TableTextEntries"/>
            </w:pPr>
            <w:r w:rsidRPr="004F1371">
              <w:t>4.2 Milestone met</w:t>
            </w:r>
          </w:p>
          <w:p w14:paraId="23786E86" w14:textId="12F79566" w:rsidR="00795EBB" w:rsidRPr="004F1371" w:rsidRDefault="00795EBB" w:rsidP="004F1371">
            <w:pPr>
              <w:pStyle w:val="TableTextEntries"/>
            </w:pPr>
            <w:r w:rsidRPr="004F1371">
              <w:t xml:space="preserve">Capacity development specialist engaged to inform the </w:t>
            </w:r>
            <w:r w:rsidR="009E6B56" w:rsidRPr="004F1371">
              <w:t xml:space="preserve">Education Sector Development Plan </w:t>
            </w:r>
            <w:r w:rsidRPr="004F1371">
              <w:t xml:space="preserve">review, including conducting an initial assessment of sector </w:t>
            </w:r>
            <w:r w:rsidR="009E6B56" w:rsidRPr="004F1371">
              <w:t xml:space="preserve">human resource </w:t>
            </w:r>
            <w:r w:rsidRPr="004F1371">
              <w:t xml:space="preserve">capacity to inform an </w:t>
            </w:r>
            <w:r w:rsidR="009E6B56" w:rsidRPr="004F1371">
              <w:t xml:space="preserve">human resource plan </w:t>
            </w:r>
            <w:r w:rsidRPr="004F1371">
              <w:t xml:space="preserve">for </w:t>
            </w:r>
            <w:r w:rsidR="009E6B56" w:rsidRPr="004F1371">
              <w:t xml:space="preserve">a </w:t>
            </w:r>
            <w:r w:rsidRPr="004F1371">
              <w:t xml:space="preserve">revised </w:t>
            </w:r>
            <w:r w:rsidR="009E6B56" w:rsidRPr="004F1371">
              <w:t>Education Sector Development Plan</w:t>
            </w:r>
          </w:p>
        </w:tc>
        <w:tc>
          <w:tcPr>
            <w:tcW w:w="833" w:type="pct"/>
          </w:tcPr>
          <w:p w14:paraId="5E34D65B" w14:textId="3B5DC238" w:rsidR="00795EBB" w:rsidRPr="004F1371" w:rsidRDefault="00795EBB" w:rsidP="004F1371">
            <w:pPr>
              <w:pStyle w:val="TableTextEntries"/>
              <w:rPr>
                <w:highlight w:val="yellow"/>
              </w:rPr>
            </w:pPr>
            <w:r w:rsidRPr="004F1371">
              <w:t>To be determined</w:t>
            </w:r>
            <w:r w:rsidR="00B90EB9" w:rsidRPr="004F1371">
              <w:t xml:space="preserve"> </w:t>
            </w:r>
          </w:p>
        </w:tc>
      </w:tr>
      <w:tr w:rsidR="004F1371" w:rsidRPr="004F1371" w14:paraId="6ED1EBC3" w14:textId="77777777" w:rsidTr="008171B0">
        <w:trPr>
          <w:cantSplit/>
          <w:tblHeader w:val="0"/>
        </w:trPr>
        <w:tc>
          <w:tcPr>
            <w:tcW w:w="820" w:type="pct"/>
            <w:vMerge/>
          </w:tcPr>
          <w:p w14:paraId="0850FCF8" w14:textId="77777777" w:rsidR="00795EBB" w:rsidRPr="004F1371" w:rsidRDefault="00795EBB" w:rsidP="004F1371">
            <w:pPr>
              <w:pStyle w:val="TableTextEntries"/>
            </w:pPr>
          </w:p>
        </w:tc>
        <w:tc>
          <w:tcPr>
            <w:tcW w:w="819" w:type="pct"/>
            <w:vMerge/>
          </w:tcPr>
          <w:p w14:paraId="260563E0" w14:textId="77777777" w:rsidR="00795EBB" w:rsidRPr="004F1371" w:rsidRDefault="00795EBB" w:rsidP="004F1371">
            <w:pPr>
              <w:pStyle w:val="TableTextEntries"/>
            </w:pPr>
          </w:p>
        </w:tc>
        <w:tc>
          <w:tcPr>
            <w:tcW w:w="819" w:type="pct"/>
            <w:vMerge/>
          </w:tcPr>
          <w:p w14:paraId="37D5618A" w14:textId="77777777" w:rsidR="00795EBB" w:rsidRPr="004F1371" w:rsidRDefault="00795EBB" w:rsidP="004F1371">
            <w:pPr>
              <w:pStyle w:val="TableTextEntries"/>
            </w:pPr>
          </w:p>
        </w:tc>
        <w:tc>
          <w:tcPr>
            <w:tcW w:w="819" w:type="pct"/>
          </w:tcPr>
          <w:p w14:paraId="100BCAD2" w14:textId="77777777" w:rsidR="00795EBB" w:rsidRPr="004F1371" w:rsidRDefault="00795EBB" w:rsidP="004F1371">
            <w:pPr>
              <w:pStyle w:val="TableTextEntries"/>
            </w:pPr>
            <w:r w:rsidRPr="004F1371">
              <w:t>4.3 Mid-term review of the Education Sector Development Framework/Education Sector Development Plan planned and undertaken in early 2013</w:t>
            </w:r>
          </w:p>
        </w:tc>
        <w:tc>
          <w:tcPr>
            <w:tcW w:w="819" w:type="pct"/>
          </w:tcPr>
          <w:p w14:paraId="574D7B46" w14:textId="77777777" w:rsidR="009E6B56" w:rsidRPr="004F1371" w:rsidRDefault="00795EBB" w:rsidP="004F1371">
            <w:pPr>
              <w:pStyle w:val="TableTextEntries"/>
            </w:pPr>
            <w:r w:rsidRPr="004F1371">
              <w:t xml:space="preserve">4.3 Milestone met </w:t>
            </w:r>
          </w:p>
          <w:p w14:paraId="0BB94CDA" w14:textId="3F2B1AD5" w:rsidR="00795EBB" w:rsidRPr="004F1371" w:rsidRDefault="00795EBB" w:rsidP="004F1371">
            <w:pPr>
              <w:pStyle w:val="TableTextEntries"/>
            </w:pPr>
            <w:r w:rsidRPr="004F1371">
              <w:t xml:space="preserve">Mid-term review of the </w:t>
            </w:r>
            <w:r w:rsidR="009E6B56" w:rsidRPr="004F1371">
              <w:t xml:space="preserve">Education Sector Development Plan </w:t>
            </w:r>
            <w:r w:rsidRPr="004F1371">
              <w:t xml:space="preserve">commenced April 2012 and </w:t>
            </w:r>
            <w:r w:rsidR="009E6B56" w:rsidRPr="004F1371">
              <w:t xml:space="preserve">is </w:t>
            </w:r>
            <w:r w:rsidRPr="004F1371">
              <w:t>currently underway.</w:t>
            </w:r>
          </w:p>
        </w:tc>
        <w:tc>
          <w:tcPr>
            <w:tcW w:w="833" w:type="pct"/>
          </w:tcPr>
          <w:p w14:paraId="5EC60C47" w14:textId="2975502A" w:rsidR="00795EBB" w:rsidRPr="004F1371" w:rsidRDefault="00795EBB" w:rsidP="004F1371">
            <w:pPr>
              <w:pStyle w:val="TableTextEntries"/>
            </w:pPr>
            <w:r w:rsidRPr="004F1371">
              <w:t>To be determined</w:t>
            </w:r>
            <w:r w:rsidR="00B90EB9" w:rsidRPr="004F1371">
              <w:t xml:space="preserve"> </w:t>
            </w:r>
          </w:p>
        </w:tc>
      </w:tr>
      <w:tr w:rsidR="004F1371" w:rsidRPr="004F1371" w14:paraId="0E43A916"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064E8E3B" w14:textId="77777777" w:rsidR="00795EBB" w:rsidRPr="004F1371" w:rsidRDefault="00795EBB" w:rsidP="004F1371">
            <w:pPr>
              <w:pStyle w:val="TableTextEntries"/>
            </w:pPr>
          </w:p>
        </w:tc>
        <w:tc>
          <w:tcPr>
            <w:tcW w:w="819" w:type="pct"/>
            <w:vMerge/>
          </w:tcPr>
          <w:p w14:paraId="0EB3209D" w14:textId="77777777" w:rsidR="00795EBB" w:rsidRPr="004F1371" w:rsidRDefault="00795EBB" w:rsidP="004F1371">
            <w:pPr>
              <w:pStyle w:val="TableTextEntries"/>
            </w:pPr>
          </w:p>
        </w:tc>
        <w:tc>
          <w:tcPr>
            <w:tcW w:w="819" w:type="pct"/>
          </w:tcPr>
          <w:p w14:paraId="08F6DCD6" w14:textId="77777777" w:rsidR="00795EBB" w:rsidRPr="004F1371" w:rsidRDefault="00795EBB" w:rsidP="004F1371">
            <w:pPr>
              <w:pStyle w:val="TableTextEntries"/>
            </w:pPr>
            <w:r w:rsidRPr="004F1371">
              <w:t>5. Education expenditure as % of total expenditure (domestic) increases to 18%</w:t>
            </w:r>
          </w:p>
          <w:p w14:paraId="0182C142" w14:textId="77777777" w:rsidR="00795EBB" w:rsidRPr="004F1371" w:rsidRDefault="00795EBB" w:rsidP="004F1371">
            <w:pPr>
              <w:pStyle w:val="TableTextEntries"/>
            </w:pPr>
          </w:p>
        </w:tc>
        <w:tc>
          <w:tcPr>
            <w:tcW w:w="819" w:type="pct"/>
          </w:tcPr>
          <w:p w14:paraId="103CA758" w14:textId="77777777" w:rsidR="00795EBB" w:rsidRPr="004F1371" w:rsidRDefault="00795EBB" w:rsidP="004F1371">
            <w:pPr>
              <w:pStyle w:val="TableTextEntries"/>
            </w:pPr>
            <w:r w:rsidRPr="004F1371">
              <w:t>5. Recurrent education expenditure at least 15.4% of total recurrent expenditure (domestic)</w:t>
            </w:r>
          </w:p>
        </w:tc>
        <w:tc>
          <w:tcPr>
            <w:tcW w:w="819" w:type="pct"/>
          </w:tcPr>
          <w:p w14:paraId="01EC8E73" w14:textId="77777777" w:rsidR="00795EBB" w:rsidRPr="004F1371" w:rsidRDefault="00795EBB" w:rsidP="004F1371">
            <w:pPr>
              <w:pStyle w:val="TableTextEntries"/>
            </w:pPr>
            <w:r w:rsidRPr="004F1371">
              <w:t xml:space="preserve">5. Milestone met </w:t>
            </w:r>
          </w:p>
          <w:p w14:paraId="6B218896" w14:textId="20502189" w:rsidR="00795EBB" w:rsidRPr="004F1371" w:rsidRDefault="00795EBB" w:rsidP="004F1371">
            <w:pPr>
              <w:pStyle w:val="TableTextEntries"/>
            </w:pPr>
            <w:r w:rsidRPr="004F1371">
              <w:t>Recurrent education expenditure is 18%</w:t>
            </w:r>
            <w:r w:rsidR="00B90EB9" w:rsidRPr="004F1371">
              <w:t xml:space="preserve"> </w:t>
            </w:r>
            <w:r w:rsidRPr="004F1371">
              <w:t>of total recurrent expenditure (domestic) for 2012</w:t>
            </w:r>
            <w:r w:rsidR="009E6B56" w:rsidRPr="004F1371">
              <w:t>–</w:t>
            </w:r>
            <w:r w:rsidRPr="004F1371">
              <w:t>13</w:t>
            </w:r>
          </w:p>
        </w:tc>
        <w:tc>
          <w:tcPr>
            <w:tcW w:w="833" w:type="pct"/>
          </w:tcPr>
          <w:p w14:paraId="0081CA89" w14:textId="3D233BD8" w:rsidR="00795EBB" w:rsidRPr="004F1371" w:rsidRDefault="00795EBB" w:rsidP="004F1371">
            <w:pPr>
              <w:pStyle w:val="TableTextEntries"/>
            </w:pPr>
            <w:r w:rsidRPr="004F1371">
              <w:t>To be determined</w:t>
            </w:r>
            <w:r w:rsidR="00B90EB9" w:rsidRPr="004F1371">
              <w:t xml:space="preserve"> </w:t>
            </w:r>
          </w:p>
        </w:tc>
      </w:tr>
      <w:tr w:rsidR="00795EBB" w:rsidRPr="004F1371" w14:paraId="671F8875" w14:textId="77777777" w:rsidTr="008171B0">
        <w:trPr>
          <w:cantSplit/>
          <w:tblHeader w:val="0"/>
        </w:trPr>
        <w:tc>
          <w:tcPr>
            <w:tcW w:w="4980" w:type="pct"/>
            <w:gridSpan w:val="6"/>
          </w:tcPr>
          <w:p w14:paraId="7DF62612" w14:textId="7A0A968F" w:rsidR="00795EBB" w:rsidRPr="004F1371" w:rsidRDefault="00795EBB" w:rsidP="004F1371">
            <w:pPr>
              <w:pStyle w:val="TableHeading2"/>
            </w:pPr>
            <w:r w:rsidRPr="004F1371">
              <w:t xml:space="preserve">Pillar 2 – Trade and </w:t>
            </w:r>
            <w:r w:rsidR="00C87F38" w:rsidRPr="004F1371">
              <w:t>investment</w:t>
            </w:r>
          </w:p>
        </w:tc>
      </w:tr>
      <w:tr w:rsidR="004F1371" w:rsidRPr="004F1371" w14:paraId="082D4158"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3FC2DD86" w14:textId="77777777" w:rsidR="00795EBB" w:rsidRPr="004F1371" w:rsidRDefault="00795EBB" w:rsidP="004F1371">
            <w:pPr>
              <w:pStyle w:val="TableTextEntries"/>
            </w:pPr>
            <w:r w:rsidRPr="004F1371">
              <w:t>Increased trade and investment in sectors which support poverty reduction</w:t>
            </w:r>
          </w:p>
          <w:p w14:paraId="31B94289" w14:textId="6FC02E92" w:rsidR="00795EBB" w:rsidRPr="004F1371" w:rsidRDefault="00795EBB" w:rsidP="004F1371">
            <w:pPr>
              <w:pStyle w:val="TableTextEntries"/>
            </w:pPr>
            <w:r w:rsidRPr="004F1371">
              <w:t>Growth in</w:t>
            </w:r>
            <w:r w:rsidR="00C87F38" w:rsidRPr="004F1371">
              <w:t>,</w:t>
            </w:r>
            <w:r w:rsidRPr="004F1371">
              <w:t xml:space="preserve"> and trade share</w:t>
            </w:r>
            <w:r w:rsidR="00C87F38" w:rsidRPr="004F1371">
              <w:t>,</w:t>
            </w:r>
            <w:r w:rsidRPr="004F1371">
              <w:t xml:space="preserve"> of non-resource exports</w:t>
            </w:r>
          </w:p>
          <w:p w14:paraId="18AE69D6" w14:textId="134496D4" w:rsidR="009E6B56" w:rsidRPr="004F1371" w:rsidRDefault="00795EBB" w:rsidP="004F1371">
            <w:pPr>
              <w:pStyle w:val="TableTextEntries"/>
            </w:pPr>
            <w:r w:rsidRPr="004F1371">
              <w:t>Growth in</w:t>
            </w:r>
            <w:r w:rsidR="00C87F38" w:rsidRPr="004F1371">
              <w:t>,</w:t>
            </w:r>
            <w:r w:rsidRPr="004F1371">
              <w:t xml:space="preserve"> and trade share of</w:t>
            </w:r>
            <w:r w:rsidR="00C87F38" w:rsidRPr="004F1371">
              <w:t>,</w:t>
            </w:r>
            <w:r w:rsidRPr="004F1371">
              <w:t xml:space="preserve"> trade in services </w:t>
            </w:r>
          </w:p>
          <w:p w14:paraId="2B3A47FB" w14:textId="2E9C5D2E" w:rsidR="00795EBB" w:rsidRPr="004F1371" w:rsidRDefault="00795EBB" w:rsidP="004F1371">
            <w:pPr>
              <w:pStyle w:val="TableTextEntries"/>
            </w:pPr>
            <w:r w:rsidRPr="004F1371">
              <w:t>Growth in</w:t>
            </w:r>
            <w:r w:rsidR="00C87F38" w:rsidRPr="004F1371">
              <w:t>,</w:t>
            </w:r>
            <w:r w:rsidRPr="004F1371">
              <w:t xml:space="preserve"> and trade share of</w:t>
            </w:r>
            <w:r w:rsidR="00C87F38" w:rsidRPr="004F1371">
              <w:t>,</w:t>
            </w:r>
            <w:r w:rsidRPr="004F1371">
              <w:t xml:space="preserve"> </w:t>
            </w:r>
            <w:r w:rsidR="0039727E" w:rsidRPr="004F1371">
              <w:t xml:space="preserve">sanitary and </w:t>
            </w:r>
            <w:proofErr w:type="spellStart"/>
            <w:r w:rsidR="0039727E" w:rsidRPr="004F1371">
              <w:t>phyto</w:t>
            </w:r>
            <w:proofErr w:type="spellEnd"/>
            <w:r w:rsidR="0039727E" w:rsidRPr="004F1371">
              <w:t xml:space="preserve">-sanitary </w:t>
            </w:r>
            <w:r w:rsidRPr="004F1371">
              <w:t>-sensitive agricultural exports</w:t>
            </w:r>
          </w:p>
          <w:p w14:paraId="75E82339" w14:textId="77777777" w:rsidR="00795EBB" w:rsidRPr="004F1371" w:rsidRDefault="00795EBB" w:rsidP="004F1371">
            <w:pPr>
              <w:pStyle w:val="TableTextEntries"/>
            </w:pPr>
            <w:r w:rsidRPr="004F1371">
              <w:t>Reduction in time and relative cost of shipping containers from key points in Laos to major trading partners</w:t>
            </w:r>
          </w:p>
          <w:p w14:paraId="659C4701" w14:textId="77777777" w:rsidR="00795EBB" w:rsidRPr="004F1371" w:rsidRDefault="00795EBB" w:rsidP="004F1371">
            <w:pPr>
              <w:pStyle w:val="TableTextEntries"/>
            </w:pPr>
            <w:r w:rsidRPr="004F1371">
              <w:t>Number of days to start-up enterprise reduced</w:t>
            </w:r>
          </w:p>
          <w:p w14:paraId="375CD099" w14:textId="77777777" w:rsidR="00795EBB" w:rsidRPr="004F1371" w:rsidRDefault="00795EBB" w:rsidP="004F1371">
            <w:pPr>
              <w:pStyle w:val="TableTextEntries"/>
            </w:pPr>
            <w:r w:rsidRPr="004F1371">
              <w:t>Increased female participation in export firms</w:t>
            </w:r>
          </w:p>
          <w:p w14:paraId="7EBB523F" w14:textId="77777777" w:rsidR="00795EBB" w:rsidRPr="004F1371" w:rsidRDefault="00795EBB" w:rsidP="004F1371">
            <w:pPr>
              <w:pStyle w:val="TableTextEntries"/>
            </w:pPr>
            <w:r w:rsidRPr="004F1371">
              <w:t>Composition of GDP growth (contribution of non-resources sector)</w:t>
            </w:r>
          </w:p>
          <w:p w14:paraId="734F44D4" w14:textId="77777777" w:rsidR="00795EBB" w:rsidRPr="004F1371" w:rsidRDefault="00795EBB" w:rsidP="004F1371">
            <w:pPr>
              <w:pStyle w:val="TableTextEntries"/>
            </w:pPr>
            <w:r w:rsidRPr="004F1371">
              <w:t>Trade openness</w:t>
            </w:r>
          </w:p>
        </w:tc>
        <w:tc>
          <w:tcPr>
            <w:tcW w:w="819" w:type="pct"/>
            <w:vMerge w:val="restart"/>
          </w:tcPr>
          <w:p w14:paraId="4310624A" w14:textId="77777777" w:rsidR="00795EBB" w:rsidRPr="004F1371" w:rsidRDefault="00795EBB" w:rsidP="004F1371">
            <w:pPr>
              <w:pStyle w:val="TableTextEntries"/>
            </w:pPr>
            <w:r w:rsidRPr="004F1371">
              <w:t>Strategy Objective 3: Policy and institutional impediments to trade and investment addressed in sectors that have high potential to contribute to inclusive growth</w:t>
            </w:r>
          </w:p>
        </w:tc>
        <w:tc>
          <w:tcPr>
            <w:tcW w:w="819" w:type="pct"/>
          </w:tcPr>
          <w:p w14:paraId="669792AA" w14:textId="033EF4D9" w:rsidR="00795EBB" w:rsidRPr="004F1371" w:rsidRDefault="00795EBB" w:rsidP="004F1371">
            <w:pPr>
              <w:pStyle w:val="TableTextEntries"/>
            </w:pPr>
            <w:r w:rsidRPr="004F1371">
              <w:t xml:space="preserve">1. Trade Facilitation Action Plan developed and being </w:t>
            </w:r>
            <w:r w:rsidR="009E6B56" w:rsidRPr="004F1371">
              <w:t>used</w:t>
            </w:r>
          </w:p>
          <w:p w14:paraId="5FE25F2B" w14:textId="77777777" w:rsidR="00795EBB" w:rsidRPr="004F1371" w:rsidRDefault="00795EBB" w:rsidP="004F1371">
            <w:pPr>
              <w:pStyle w:val="TableTextEntries"/>
            </w:pPr>
          </w:p>
          <w:p w14:paraId="0A69E58B" w14:textId="77777777" w:rsidR="00795EBB" w:rsidRPr="004F1371" w:rsidRDefault="00795EBB" w:rsidP="004F1371">
            <w:pPr>
              <w:pStyle w:val="TableTextEntries"/>
            </w:pPr>
          </w:p>
        </w:tc>
        <w:tc>
          <w:tcPr>
            <w:tcW w:w="819" w:type="pct"/>
          </w:tcPr>
          <w:p w14:paraId="1B97AEB6" w14:textId="2143D6EA" w:rsidR="00795EBB" w:rsidRPr="004F1371" w:rsidRDefault="00795EBB" w:rsidP="004F1371">
            <w:pPr>
              <w:pStyle w:val="TableTextEntries"/>
            </w:pPr>
            <w:r w:rsidRPr="004F1371">
              <w:t>1.1 Launch of trade portal to harmonise and simplify redundant import-export requirements and publish trade-related information to assist local and international businesses operate in the country</w:t>
            </w:r>
          </w:p>
        </w:tc>
        <w:tc>
          <w:tcPr>
            <w:tcW w:w="819" w:type="pct"/>
          </w:tcPr>
          <w:p w14:paraId="25162BD9" w14:textId="42989DAF" w:rsidR="00795EBB" w:rsidRPr="004F1371" w:rsidRDefault="00795EBB" w:rsidP="004F1371">
            <w:pPr>
              <w:pStyle w:val="TableTextEntries"/>
            </w:pPr>
            <w:r w:rsidRPr="004F1371">
              <w:t>1. 1.</w:t>
            </w:r>
            <w:r w:rsidR="00B90EB9" w:rsidRPr="004F1371">
              <w:t xml:space="preserve"> </w:t>
            </w:r>
            <w:r w:rsidRPr="004F1371">
              <w:t>Milestone met</w:t>
            </w:r>
          </w:p>
          <w:p w14:paraId="5E9CF25B" w14:textId="5FB72AD7" w:rsidR="00795EBB" w:rsidRPr="004F1371" w:rsidRDefault="00795EBB" w:rsidP="004F1371">
            <w:pPr>
              <w:pStyle w:val="TableTextEntries"/>
            </w:pPr>
            <w:r w:rsidRPr="004F1371">
              <w:t xml:space="preserve">Trade </w:t>
            </w:r>
            <w:r w:rsidR="009E6B56" w:rsidRPr="004F1371">
              <w:t xml:space="preserve">portal </w:t>
            </w:r>
            <w:r w:rsidRPr="004F1371">
              <w:t>launched in June 2012 providing extensive collection of laws, regulations and requirements for import and export to assist private sector</w:t>
            </w:r>
          </w:p>
          <w:p w14:paraId="460A74AF" w14:textId="77777777" w:rsidR="00795EBB" w:rsidRPr="004F1371" w:rsidRDefault="00795EBB" w:rsidP="004F1371">
            <w:pPr>
              <w:pStyle w:val="TableTextEntries"/>
            </w:pPr>
          </w:p>
        </w:tc>
        <w:tc>
          <w:tcPr>
            <w:tcW w:w="833" w:type="pct"/>
          </w:tcPr>
          <w:p w14:paraId="1A2B3F6F" w14:textId="77777777" w:rsidR="00795EBB" w:rsidRPr="004F1371" w:rsidRDefault="00795EBB" w:rsidP="004F1371">
            <w:pPr>
              <w:pStyle w:val="TableTextEntries"/>
            </w:pPr>
          </w:p>
        </w:tc>
      </w:tr>
      <w:tr w:rsidR="004F1371" w:rsidRPr="004F1371" w14:paraId="260BCA4E" w14:textId="77777777" w:rsidTr="008171B0">
        <w:trPr>
          <w:cantSplit/>
          <w:tblHeader w:val="0"/>
        </w:trPr>
        <w:tc>
          <w:tcPr>
            <w:tcW w:w="820" w:type="pct"/>
            <w:vMerge/>
          </w:tcPr>
          <w:p w14:paraId="4B309367" w14:textId="77777777" w:rsidR="00795EBB" w:rsidRPr="004F1371" w:rsidRDefault="00795EBB" w:rsidP="004F1371">
            <w:pPr>
              <w:pStyle w:val="TableTextEntries"/>
            </w:pPr>
          </w:p>
        </w:tc>
        <w:tc>
          <w:tcPr>
            <w:tcW w:w="819" w:type="pct"/>
            <w:vMerge/>
          </w:tcPr>
          <w:p w14:paraId="2193A65E" w14:textId="77777777" w:rsidR="00795EBB" w:rsidRPr="004F1371" w:rsidRDefault="00795EBB" w:rsidP="004F1371">
            <w:pPr>
              <w:pStyle w:val="TableTextEntries"/>
            </w:pPr>
          </w:p>
        </w:tc>
        <w:tc>
          <w:tcPr>
            <w:tcW w:w="819" w:type="pct"/>
          </w:tcPr>
          <w:p w14:paraId="386236B8" w14:textId="77777777" w:rsidR="00795EBB" w:rsidRPr="004F1371" w:rsidRDefault="00795EBB" w:rsidP="004F1371">
            <w:pPr>
              <w:pStyle w:val="TableTextEntries"/>
            </w:pPr>
          </w:p>
        </w:tc>
        <w:tc>
          <w:tcPr>
            <w:tcW w:w="819" w:type="pct"/>
          </w:tcPr>
          <w:p w14:paraId="2ADA1121" w14:textId="10F35E23" w:rsidR="00795EBB" w:rsidRPr="004F1371" w:rsidRDefault="00795EBB" w:rsidP="004F1371">
            <w:pPr>
              <w:pStyle w:val="TableTextEntries"/>
            </w:pPr>
            <w:r w:rsidRPr="004F1371">
              <w:t>1.2 Mapping and streamlining export-import procedures completed</w:t>
            </w:r>
          </w:p>
        </w:tc>
        <w:tc>
          <w:tcPr>
            <w:tcW w:w="819" w:type="pct"/>
          </w:tcPr>
          <w:p w14:paraId="0ACFE221" w14:textId="636F2AFF" w:rsidR="00795EBB" w:rsidRPr="004F1371" w:rsidRDefault="00795EBB" w:rsidP="004F1371">
            <w:pPr>
              <w:pStyle w:val="TableTextEntries"/>
            </w:pPr>
            <w:r w:rsidRPr="004F1371">
              <w:t>1.2.</w:t>
            </w:r>
            <w:r w:rsidR="00B90EB9" w:rsidRPr="004F1371">
              <w:t xml:space="preserve"> </w:t>
            </w:r>
            <w:r w:rsidRPr="004F1371">
              <w:t>Milestone met</w:t>
            </w:r>
          </w:p>
          <w:p w14:paraId="6422B5DF" w14:textId="77777777" w:rsidR="00795EBB" w:rsidRPr="004F1371" w:rsidRDefault="00795EBB" w:rsidP="004F1371">
            <w:pPr>
              <w:pStyle w:val="TableTextEntries"/>
            </w:pPr>
            <w:r w:rsidRPr="004F1371">
              <w:t>Mapping for export-import procedures simplification completed</w:t>
            </w:r>
          </w:p>
        </w:tc>
        <w:tc>
          <w:tcPr>
            <w:tcW w:w="833" w:type="pct"/>
          </w:tcPr>
          <w:p w14:paraId="22A81A75" w14:textId="77777777" w:rsidR="00795EBB" w:rsidRPr="004F1371" w:rsidRDefault="00795EBB" w:rsidP="004F1371">
            <w:pPr>
              <w:pStyle w:val="TableTextEntries"/>
            </w:pPr>
          </w:p>
        </w:tc>
      </w:tr>
      <w:tr w:rsidR="004F1371" w:rsidRPr="004F1371" w14:paraId="7CB43BF0"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2D5CD6F9" w14:textId="77777777" w:rsidR="00795EBB" w:rsidRPr="004F1371" w:rsidRDefault="00795EBB" w:rsidP="004F1371">
            <w:pPr>
              <w:pStyle w:val="TableTextEntries"/>
            </w:pPr>
          </w:p>
        </w:tc>
        <w:tc>
          <w:tcPr>
            <w:tcW w:w="819" w:type="pct"/>
            <w:vMerge/>
          </w:tcPr>
          <w:p w14:paraId="5DAFD09E" w14:textId="77777777" w:rsidR="00795EBB" w:rsidRPr="004F1371" w:rsidRDefault="00795EBB" w:rsidP="004F1371">
            <w:pPr>
              <w:pStyle w:val="TableTextEntries"/>
            </w:pPr>
          </w:p>
        </w:tc>
        <w:tc>
          <w:tcPr>
            <w:tcW w:w="819" w:type="pct"/>
          </w:tcPr>
          <w:p w14:paraId="3CE32626" w14:textId="0E3F417D" w:rsidR="00795EBB" w:rsidRPr="004F1371" w:rsidRDefault="00795EBB" w:rsidP="004F1371">
            <w:pPr>
              <w:pStyle w:val="TableTextEntries"/>
            </w:pPr>
            <w:r w:rsidRPr="004F1371">
              <w:t xml:space="preserve">2. Substantial closure in the gap between the current legal and regulatory framework on </w:t>
            </w:r>
            <w:r w:rsidR="0039727E" w:rsidRPr="004F1371">
              <w:t xml:space="preserve">sanitary and </w:t>
            </w:r>
            <w:proofErr w:type="spellStart"/>
            <w:r w:rsidR="0039727E" w:rsidRPr="004F1371">
              <w:t>phyto</w:t>
            </w:r>
            <w:proofErr w:type="spellEnd"/>
            <w:r w:rsidR="0039727E" w:rsidRPr="004F1371">
              <w:t>-sanitary</w:t>
            </w:r>
            <w:r w:rsidRPr="004F1371">
              <w:t xml:space="preserve"> and basic ASEAN Free Trade Area and </w:t>
            </w:r>
            <w:r w:rsidR="009E6B56" w:rsidRPr="004F1371">
              <w:t xml:space="preserve">World Trade Organization </w:t>
            </w:r>
            <w:r w:rsidRPr="004F1371">
              <w:t>requirements</w:t>
            </w:r>
          </w:p>
        </w:tc>
        <w:tc>
          <w:tcPr>
            <w:tcW w:w="819" w:type="pct"/>
          </w:tcPr>
          <w:p w14:paraId="713B5718" w14:textId="3715EF52" w:rsidR="00795EBB" w:rsidRPr="004F1371" w:rsidRDefault="00795EBB" w:rsidP="004F1371">
            <w:pPr>
              <w:pStyle w:val="TableTextEntries"/>
            </w:pPr>
            <w:r w:rsidRPr="004F1371">
              <w:t>2.1 World Trade Organization accession achieved</w:t>
            </w:r>
          </w:p>
        </w:tc>
        <w:tc>
          <w:tcPr>
            <w:tcW w:w="819" w:type="pct"/>
          </w:tcPr>
          <w:p w14:paraId="0C892504" w14:textId="77777777" w:rsidR="00795EBB" w:rsidRPr="004F1371" w:rsidRDefault="00795EBB" w:rsidP="004F1371">
            <w:pPr>
              <w:pStyle w:val="TableTextEntries"/>
            </w:pPr>
            <w:r w:rsidRPr="004F1371">
              <w:t>2. Milestone met</w:t>
            </w:r>
          </w:p>
          <w:p w14:paraId="045DB025" w14:textId="70219BCC" w:rsidR="00795EBB" w:rsidRPr="004F1371" w:rsidRDefault="00795EBB" w:rsidP="004F1371">
            <w:pPr>
              <w:pStyle w:val="TableTextEntries"/>
            </w:pPr>
            <w:r w:rsidRPr="004F1371">
              <w:t>2.1</w:t>
            </w:r>
            <w:r w:rsidR="00B90EB9" w:rsidRPr="004F1371">
              <w:t xml:space="preserve"> </w:t>
            </w:r>
            <w:r w:rsidR="009E6B56" w:rsidRPr="004F1371">
              <w:t xml:space="preserve">World Trade Organization </w:t>
            </w:r>
            <w:r w:rsidRPr="004F1371">
              <w:t>accession achieved in February 2013</w:t>
            </w:r>
          </w:p>
          <w:p w14:paraId="193B3CEE" w14:textId="77777777" w:rsidR="00795EBB" w:rsidRPr="004F1371" w:rsidRDefault="00795EBB" w:rsidP="004F1371">
            <w:pPr>
              <w:pStyle w:val="TableTextEntries"/>
            </w:pPr>
          </w:p>
        </w:tc>
        <w:tc>
          <w:tcPr>
            <w:tcW w:w="833" w:type="pct"/>
          </w:tcPr>
          <w:p w14:paraId="109D46DD" w14:textId="77777777" w:rsidR="00795EBB" w:rsidRPr="004F1371" w:rsidRDefault="00795EBB" w:rsidP="004F1371">
            <w:pPr>
              <w:pStyle w:val="TableTextEntries"/>
            </w:pPr>
          </w:p>
        </w:tc>
      </w:tr>
      <w:tr w:rsidR="004F1371" w:rsidRPr="004F1371" w14:paraId="59915E86" w14:textId="77777777" w:rsidTr="008171B0">
        <w:trPr>
          <w:cantSplit/>
          <w:tblHeader w:val="0"/>
        </w:trPr>
        <w:tc>
          <w:tcPr>
            <w:tcW w:w="820" w:type="pct"/>
            <w:vMerge/>
          </w:tcPr>
          <w:p w14:paraId="296C541C" w14:textId="77777777" w:rsidR="00795EBB" w:rsidRPr="004F1371" w:rsidRDefault="00795EBB" w:rsidP="004F1371">
            <w:pPr>
              <w:pStyle w:val="TableTextEntries"/>
            </w:pPr>
          </w:p>
        </w:tc>
        <w:tc>
          <w:tcPr>
            <w:tcW w:w="819" w:type="pct"/>
            <w:vMerge/>
          </w:tcPr>
          <w:p w14:paraId="3BE37BA2" w14:textId="77777777" w:rsidR="00795EBB" w:rsidRPr="004F1371" w:rsidRDefault="00795EBB" w:rsidP="004F1371">
            <w:pPr>
              <w:pStyle w:val="TableTextEntries"/>
            </w:pPr>
          </w:p>
        </w:tc>
        <w:tc>
          <w:tcPr>
            <w:tcW w:w="819" w:type="pct"/>
          </w:tcPr>
          <w:p w14:paraId="210AB7F1" w14:textId="77777777" w:rsidR="00795EBB" w:rsidRPr="004F1371" w:rsidRDefault="00795EBB" w:rsidP="004F1371">
            <w:pPr>
              <w:pStyle w:val="TableTextEntries"/>
            </w:pPr>
          </w:p>
        </w:tc>
        <w:tc>
          <w:tcPr>
            <w:tcW w:w="819" w:type="pct"/>
          </w:tcPr>
          <w:p w14:paraId="333F53F8" w14:textId="14737017" w:rsidR="00795EBB" w:rsidRPr="004F1371" w:rsidRDefault="00795EBB" w:rsidP="004F1371">
            <w:pPr>
              <w:pStyle w:val="TableTextEntries"/>
            </w:pPr>
            <w:r w:rsidRPr="004F1371">
              <w:t xml:space="preserve">2.2 Sanitary and </w:t>
            </w:r>
            <w:proofErr w:type="spellStart"/>
            <w:r w:rsidRPr="004F1371">
              <w:t>phyto</w:t>
            </w:r>
            <w:proofErr w:type="spellEnd"/>
            <w:r w:rsidRPr="004F1371">
              <w:t>-sanitary assessment report finalised which set</w:t>
            </w:r>
            <w:r w:rsidR="009E6B56" w:rsidRPr="004F1371">
              <w:t>s</w:t>
            </w:r>
            <w:r w:rsidRPr="004F1371">
              <w:t xml:space="preserve"> out regulatory reforms and adjustments required </w:t>
            </w:r>
            <w:r w:rsidR="009E6B56" w:rsidRPr="004F1371">
              <w:t>to</w:t>
            </w:r>
            <w:r w:rsidRPr="004F1371">
              <w:t xml:space="preserve"> strengthen sanitary and </w:t>
            </w:r>
            <w:proofErr w:type="spellStart"/>
            <w:r w:rsidRPr="004F1371">
              <w:t>phyto</w:t>
            </w:r>
            <w:proofErr w:type="spellEnd"/>
            <w:r w:rsidRPr="004F1371">
              <w:t>-sanitary services to support increased agricultural produce trade</w:t>
            </w:r>
          </w:p>
        </w:tc>
        <w:tc>
          <w:tcPr>
            <w:tcW w:w="819" w:type="pct"/>
          </w:tcPr>
          <w:p w14:paraId="1F852C82" w14:textId="2B9FD78E" w:rsidR="00795EBB" w:rsidRPr="004F1371" w:rsidRDefault="00795EBB" w:rsidP="004F1371">
            <w:pPr>
              <w:pStyle w:val="TableTextEntries"/>
            </w:pPr>
            <w:r w:rsidRPr="004F1371">
              <w:t xml:space="preserve">2.2 Sanitary and </w:t>
            </w:r>
            <w:proofErr w:type="spellStart"/>
            <w:r w:rsidRPr="004F1371">
              <w:t>phyto</w:t>
            </w:r>
            <w:proofErr w:type="spellEnd"/>
            <w:r w:rsidRPr="004F1371">
              <w:t>-sanitary legal assessment report finalised in March 2013</w:t>
            </w:r>
          </w:p>
          <w:p w14:paraId="530941C8" w14:textId="77777777" w:rsidR="00795EBB" w:rsidRPr="004F1371" w:rsidRDefault="00795EBB" w:rsidP="004F1371">
            <w:pPr>
              <w:pStyle w:val="TableTextEntries"/>
            </w:pPr>
          </w:p>
        </w:tc>
        <w:tc>
          <w:tcPr>
            <w:tcW w:w="833" w:type="pct"/>
          </w:tcPr>
          <w:p w14:paraId="252D653B" w14:textId="77777777" w:rsidR="00795EBB" w:rsidRPr="004F1371" w:rsidRDefault="00795EBB" w:rsidP="004F1371">
            <w:pPr>
              <w:pStyle w:val="TableTextEntries"/>
            </w:pPr>
          </w:p>
        </w:tc>
      </w:tr>
      <w:tr w:rsidR="004F1371" w:rsidRPr="004F1371" w14:paraId="2D4F5AFA"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38E42F92" w14:textId="77777777" w:rsidR="00795EBB" w:rsidRPr="004F1371" w:rsidRDefault="00795EBB" w:rsidP="004F1371">
            <w:pPr>
              <w:pStyle w:val="TableTextEntries"/>
            </w:pPr>
          </w:p>
        </w:tc>
        <w:tc>
          <w:tcPr>
            <w:tcW w:w="819" w:type="pct"/>
            <w:vMerge/>
          </w:tcPr>
          <w:p w14:paraId="2501B54E" w14:textId="77777777" w:rsidR="00795EBB" w:rsidRPr="004F1371" w:rsidRDefault="00795EBB" w:rsidP="004F1371">
            <w:pPr>
              <w:pStyle w:val="TableTextEntries"/>
            </w:pPr>
          </w:p>
        </w:tc>
        <w:tc>
          <w:tcPr>
            <w:tcW w:w="819" w:type="pct"/>
          </w:tcPr>
          <w:p w14:paraId="4D952CD4" w14:textId="2E1D3B14" w:rsidR="00795EBB" w:rsidRPr="004F1371" w:rsidRDefault="00795EBB" w:rsidP="004F1371">
            <w:pPr>
              <w:pStyle w:val="TableTextEntries"/>
            </w:pPr>
            <w:r w:rsidRPr="004F1371">
              <w:t>3. Improved Legal Environment for investment facilitation</w:t>
            </w:r>
          </w:p>
        </w:tc>
        <w:tc>
          <w:tcPr>
            <w:tcW w:w="819" w:type="pct"/>
          </w:tcPr>
          <w:p w14:paraId="6EE5A365" w14:textId="32703599" w:rsidR="00795EBB" w:rsidRPr="004F1371" w:rsidRDefault="00795EBB" w:rsidP="004F1371">
            <w:pPr>
              <w:pStyle w:val="TableTextEntries"/>
            </w:pPr>
            <w:r w:rsidRPr="004F1371">
              <w:t>3. World Trade Organization assesses</w:t>
            </w:r>
            <w:r w:rsidR="009E6B56" w:rsidRPr="004F1371">
              <w:t xml:space="preserve"> that</w:t>
            </w:r>
            <w:r w:rsidRPr="004F1371">
              <w:t xml:space="preserve"> Lao investment regulatory regime complies with requirements.</w:t>
            </w:r>
          </w:p>
        </w:tc>
        <w:tc>
          <w:tcPr>
            <w:tcW w:w="819" w:type="pct"/>
          </w:tcPr>
          <w:p w14:paraId="7ABA467C" w14:textId="77777777" w:rsidR="00795EBB" w:rsidRPr="004F1371" w:rsidRDefault="00795EBB" w:rsidP="004F1371">
            <w:pPr>
              <w:pStyle w:val="TableTextEntries"/>
            </w:pPr>
            <w:r w:rsidRPr="004F1371">
              <w:t>3. Milestone met</w:t>
            </w:r>
          </w:p>
          <w:p w14:paraId="572EF95C" w14:textId="426DEE14" w:rsidR="00795EBB" w:rsidRPr="004F1371" w:rsidRDefault="009E6B56" w:rsidP="004F1371">
            <w:pPr>
              <w:pStyle w:val="TableTextEntries"/>
            </w:pPr>
            <w:r w:rsidRPr="004F1371">
              <w:t xml:space="preserve">World Trade Organization </w:t>
            </w:r>
            <w:r w:rsidR="00795EBB" w:rsidRPr="004F1371">
              <w:t>assesses Lao investment regulatory regime complies with requirements (equal treatment of foreign and domestic investment)</w:t>
            </w:r>
          </w:p>
          <w:p w14:paraId="40211111" w14:textId="77777777" w:rsidR="00795EBB" w:rsidRPr="004F1371" w:rsidRDefault="00795EBB" w:rsidP="004F1371">
            <w:pPr>
              <w:pStyle w:val="TableTextEntries"/>
            </w:pPr>
          </w:p>
        </w:tc>
        <w:tc>
          <w:tcPr>
            <w:tcW w:w="833" w:type="pct"/>
          </w:tcPr>
          <w:p w14:paraId="4F98A06D" w14:textId="77777777" w:rsidR="00795EBB" w:rsidRPr="004F1371" w:rsidRDefault="00795EBB" w:rsidP="004F1371">
            <w:pPr>
              <w:pStyle w:val="TableTextEntries"/>
            </w:pPr>
          </w:p>
        </w:tc>
      </w:tr>
      <w:tr w:rsidR="004F1371" w:rsidRPr="004F1371" w14:paraId="32C9A0A3" w14:textId="77777777" w:rsidTr="008171B0">
        <w:trPr>
          <w:cantSplit/>
          <w:tblHeader w:val="0"/>
        </w:trPr>
        <w:tc>
          <w:tcPr>
            <w:tcW w:w="820" w:type="pct"/>
          </w:tcPr>
          <w:p w14:paraId="650B9F93" w14:textId="77777777" w:rsidR="00795EBB" w:rsidRPr="004F1371" w:rsidRDefault="00795EBB" w:rsidP="004F1371">
            <w:pPr>
              <w:pStyle w:val="TableTextEntries"/>
            </w:pPr>
          </w:p>
        </w:tc>
        <w:tc>
          <w:tcPr>
            <w:tcW w:w="819" w:type="pct"/>
          </w:tcPr>
          <w:p w14:paraId="09F5BAB9" w14:textId="77777777" w:rsidR="00795EBB" w:rsidRPr="004F1371" w:rsidRDefault="00795EBB" w:rsidP="004F1371">
            <w:pPr>
              <w:pStyle w:val="TableTextEntries"/>
            </w:pPr>
          </w:p>
        </w:tc>
        <w:tc>
          <w:tcPr>
            <w:tcW w:w="819" w:type="pct"/>
          </w:tcPr>
          <w:p w14:paraId="33090966" w14:textId="06F1FC1D" w:rsidR="00795EBB" w:rsidRPr="004F1371" w:rsidRDefault="00795EBB" w:rsidP="004F1371">
            <w:pPr>
              <w:pStyle w:val="TableTextEntries"/>
            </w:pPr>
            <w:r w:rsidRPr="004F1371">
              <w:t>4. Improved knowledge and understanding of the gender dimension of increased trade integration, informed by analytical work on the linkages between gender and trade</w:t>
            </w:r>
          </w:p>
        </w:tc>
        <w:tc>
          <w:tcPr>
            <w:tcW w:w="819" w:type="pct"/>
          </w:tcPr>
          <w:p w14:paraId="7CBA5EC0" w14:textId="38402D58" w:rsidR="00795EBB" w:rsidRPr="004F1371" w:rsidRDefault="00795EBB" w:rsidP="004F1371">
            <w:pPr>
              <w:pStyle w:val="TableTextEntries"/>
            </w:pPr>
            <w:r w:rsidRPr="004F1371">
              <w:t>4. Consensus reached on policy actions required to address constraints to gender employment growth and business ownership in the trade sector</w:t>
            </w:r>
            <w:r w:rsidR="009E6B56" w:rsidRPr="004F1371">
              <w:t>. D</w:t>
            </w:r>
            <w:r w:rsidRPr="004F1371">
              <w:t>ocumented in the updated Diagnostic Trade and Integration Study</w:t>
            </w:r>
          </w:p>
        </w:tc>
        <w:tc>
          <w:tcPr>
            <w:tcW w:w="819" w:type="pct"/>
          </w:tcPr>
          <w:p w14:paraId="14D1DDA5" w14:textId="77777777" w:rsidR="00795EBB" w:rsidRPr="004F1371" w:rsidRDefault="00795EBB" w:rsidP="004F1371">
            <w:pPr>
              <w:pStyle w:val="TableTextEntries"/>
            </w:pPr>
            <w:r w:rsidRPr="004F1371">
              <w:t>4. Milestone met</w:t>
            </w:r>
          </w:p>
          <w:p w14:paraId="5230BA03" w14:textId="6B9F9E64" w:rsidR="00795EBB" w:rsidRPr="004F1371" w:rsidRDefault="00795EBB" w:rsidP="004F1371">
            <w:pPr>
              <w:pStyle w:val="TableTextEntries"/>
            </w:pPr>
            <w:r w:rsidRPr="004F1371">
              <w:t>Recommendations provided to address constraints to gender employment growth and business ownership in the trade sector</w:t>
            </w:r>
            <w:r w:rsidR="009E6B56" w:rsidRPr="004F1371">
              <w:t>. D</w:t>
            </w:r>
            <w:r w:rsidRPr="004F1371">
              <w:t xml:space="preserve">ocumented in the updated Diagnostic Trade and Integration Study </w:t>
            </w:r>
          </w:p>
        </w:tc>
        <w:tc>
          <w:tcPr>
            <w:tcW w:w="833" w:type="pct"/>
          </w:tcPr>
          <w:p w14:paraId="325CF256" w14:textId="77777777" w:rsidR="00795EBB" w:rsidRPr="004F1371" w:rsidRDefault="00795EBB" w:rsidP="004F1371">
            <w:pPr>
              <w:pStyle w:val="TableTextEntries"/>
            </w:pPr>
          </w:p>
        </w:tc>
      </w:tr>
      <w:tr w:rsidR="00795EBB" w:rsidRPr="004F1371" w14:paraId="3A07CE7A"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4980" w:type="pct"/>
            <w:gridSpan w:val="6"/>
          </w:tcPr>
          <w:p w14:paraId="27887BF3" w14:textId="77777777" w:rsidR="00795EBB" w:rsidRPr="004F1371" w:rsidRDefault="00795EBB" w:rsidP="004F1371">
            <w:pPr>
              <w:pStyle w:val="TableHeading2"/>
            </w:pPr>
            <w:r w:rsidRPr="004F1371">
              <w:t>Pillar 3 – Rural Development</w:t>
            </w:r>
          </w:p>
        </w:tc>
      </w:tr>
      <w:tr w:rsidR="004F1371" w:rsidRPr="004F1371" w14:paraId="161BBC8C" w14:textId="77777777" w:rsidTr="008171B0">
        <w:trPr>
          <w:cantSplit/>
          <w:tblHeader w:val="0"/>
        </w:trPr>
        <w:tc>
          <w:tcPr>
            <w:tcW w:w="820" w:type="pct"/>
            <w:vMerge w:val="restart"/>
          </w:tcPr>
          <w:p w14:paraId="5888F6CF" w14:textId="77777777" w:rsidR="00795EBB" w:rsidRPr="004F1371" w:rsidRDefault="00795EBB" w:rsidP="004F1371">
            <w:pPr>
              <w:pStyle w:val="TableTextEntries"/>
            </w:pPr>
            <w:r w:rsidRPr="004F1371">
              <w:t>Less than one quarter of the population living below the national poverty line</w:t>
            </w:r>
          </w:p>
          <w:p w14:paraId="197150E6" w14:textId="77777777" w:rsidR="00795EBB" w:rsidRPr="004F1371" w:rsidRDefault="00795EBB" w:rsidP="004F1371">
            <w:pPr>
              <w:pStyle w:val="TableTextEntries"/>
            </w:pPr>
            <w:r w:rsidRPr="004F1371">
              <w:t xml:space="preserve">In targeted geographic areas: </w:t>
            </w:r>
          </w:p>
          <w:p w14:paraId="2B393809" w14:textId="77777777" w:rsidR="00795EBB" w:rsidRPr="004F1371" w:rsidRDefault="00795EBB" w:rsidP="004F1371">
            <w:pPr>
              <w:pStyle w:val="TableTextEntries"/>
            </w:pPr>
            <w:r w:rsidRPr="004F1371">
              <w:t>reduction in poverty rates</w:t>
            </w:r>
          </w:p>
          <w:p w14:paraId="4D2778C0" w14:textId="77777777" w:rsidR="00795EBB" w:rsidRPr="004F1371" w:rsidRDefault="00795EBB" w:rsidP="004F1371">
            <w:pPr>
              <w:pStyle w:val="TableTextEntries"/>
            </w:pPr>
            <w:r w:rsidRPr="004F1371">
              <w:t>reduced gender disparities in these statistics</w:t>
            </w:r>
          </w:p>
        </w:tc>
        <w:tc>
          <w:tcPr>
            <w:tcW w:w="819" w:type="pct"/>
            <w:vMerge w:val="restart"/>
          </w:tcPr>
          <w:p w14:paraId="7E504286" w14:textId="32DBDD77" w:rsidR="00795EBB" w:rsidRPr="004F1371" w:rsidRDefault="00795EBB" w:rsidP="004F1371">
            <w:pPr>
              <w:pStyle w:val="TableTextEntries"/>
            </w:pPr>
            <w:r w:rsidRPr="004F1371">
              <w:t>Strategy objective 4: Deliver and model effective programs that result in equitable and sustainable improvements to livelihoods in targeted poor geographic areas</w:t>
            </w:r>
          </w:p>
        </w:tc>
        <w:tc>
          <w:tcPr>
            <w:tcW w:w="819" w:type="pct"/>
          </w:tcPr>
          <w:p w14:paraId="68151AA5" w14:textId="77777777" w:rsidR="00795EBB" w:rsidRPr="004F1371" w:rsidRDefault="00795EBB" w:rsidP="004F1371">
            <w:pPr>
              <w:pStyle w:val="TableTextEntries"/>
            </w:pPr>
            <w:r w:rsidRPr="004F1371">
              <w:t xml:space="preserve">In nine of Lao PDR’s poorest districts: </w:t>
            </w:r>
          </w:p>
          <w:p w14:paraId="0CAC1179" w14:textId="77777777" w:rsidR="00795EBB" w:rsidRPr="004F1371" w:rsidRDefault="00795EBB" w:rsidP="004F1371">
            <w:pPr>
              <w:pStyle w:val="TableTextEntries"/>
            </w:pPr>
            <w:r w:rsidRPr="004F1371">
              <w:t xml:space="preserve">1. Improved livelihoods evidenced by reduced rice shortages and use of land cleared of unexploded ordnance </w:t>
            </w:r>
          </w:p>
        </w:tc>
        <w:tc>
          <w:tcPr>
            <w:tcW w:w="819" w:type="pct"/>
          </w:tcPr>
          <w:p w14:paraId="40270727" w14:textId="5809B040" w:rsidR="00795EBB" w:rsidRPr="004F1371" w:rsidRDefault="00795EBB" w:rsidP="00797D43">
            <w:pPr>
              <w:pStyle w:val="TableTextEntries"/>
            </w:pPr>
            <w:r w:rsidRPr="004F1371">
              <w:t xml:space="preserve">1.a </w:t>
            </w:r>
            <w:r w:rsidR="00797D43">
              <w:t xml:space="preserve"> Number of poor rural households involved in c</w:t>
            </w:r>
            <w:r w:rsidRPr="004F1371">
              <w:t>ommunity-based livelihood activities</w:t>
            </w:r>
          </w:p>
        </w:tc>
        <w:tc>
          <w:tcPr>
            <w:tcW w:w="819" w:type="pct"/>
          </w:tcPr>
          <w:p w14:paraId="344A45D9" w14:textId="27041BB2" w:rsidR="00795EBB" w:rsidRPr="004F1371" w:rsidRDefault="00795EBB" w:rsidP="004F1371">
            <w:pPr>
              <w:pStyle w:val="TableTextEntries"/>
            </w:pPr>
            <w:r w:rsidRPr="004F1371">
              <w:t>1.a</w:t>
            </w:r>
            <w:r w:rsidR="00B90EB9" w:rsidRPr="004F1371">
              <w:t xml:space="preserve"> </w:t>
            </w:r>
            <w:r w:rsidRPr="004F1371">
              <w:t>Community-based</w:t>
            </w:r>
            <w:r w:rsidR="00B90EB9" w:rsidRPr="004F1371">
              <w:t xml:space="preserve"> </w:t>
            </w:r>
            <w:r w:rsidRPr="004F1371">
              <w:t>livelihood activities involving 455 poor rural households</w:t>
            </w:r>
          </w:p>
        </w:tc>
        <w:tc>
          <w:tcPr>
            <w:tcW w:w="833" w:type="pct"/>
          </w:tcPr>
          <w:p w14:paraId="20667824" w14:textId="77777777" w:rsidR="00795EBB" w:rsidRPr="004F1371" w:rsidRDefault="00795EBB" w:rsidP="004F1371">
            <w:pPr>
              <w:pStyle w:val="TableTextEntries"/>
            </w:pPr>
          </w:p>
        </w:tc>
      </w:tr>
      <w:tr w:rsidR="004F1371" w:rsidRPr="004F1371" w14:paraId="7FDD1D40"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411CF491" w14:textId="77777777" w:rsidR="00795EBB" w:rsidRPr="004F1371" w:rsidRDefault="00795EBB" w:rsidP="004F1371">
            <w:pPr>
              <w:pStyle w:val="TableTextEntries"/>
            </w:pPr>
          </w:p>
        </w:tc>
        <w:tc>
          <w:tcPr>
            <w:tcW w:w="819" w:type="pct"/>
            <w:vMerge/>
          </w:tcPr>
          <w:p w14:paraId="0EDF30E0" w14:textId="77777777" w:rsidR="00795EBB" w:rsidRPr="004F1371" w:rsidRDefault="00795EBB" w:rsidP="004F1371">
            <w:pPr>
              <w:pStyle w:val="TableTextEntries"/>
            </w:pPr>
          </w:p>
        </w:tc>
        <w:tc>
          <w:tcPr>
            <w:tcW w:w="819" w:type="pct"/>
          </w:tcPr>
          <w:p w14:paraId="2362BED1" w14:textId="77777777" w:rsidR="00795EBB" w:rsidRPr="004F1371" w:rsidRDefault="00795EBB" w:rsidP="004F1371">
            <w:pPr>
              <w:pStyle w:val="TableTextEntries"/>
            </w:pPr>
          </w:p>
        </w:tc>
        <w:tc>
          <w:tcPr>
            <w:tcW w:w="819" w:type="pct"/>
          </w:tcPr>
          <w:p w14:paraId="1E3F2FAB" w14:textId="03480A3C" w:rsidR="00795EBB" w:rsidRPr="004F1371" w:rsidRDefault="00795EBB" w:rsidP="004F1371">
            <w:pPr>
              <w:pStyle w:val="TableTextEntries"/>
            </w:pPr>
            <w:proofErr w:type="gramStart"/>
            <w:r w:rsidRPr="004F1371">
              <w:t>1.b</w:t>
            </w:r>
            <w:proofErr w:type="gramEnd"/>
            <w:r w:rsidRPr="004F1371">
              <w:t xml:space="preserve"> </w:t>
            </w:r>
            <w:r w:rsidR="007C4D1A">
              <w:t xml:space="preserve">Number of hectares of land cleared </w:t>
            </w:r>
            <w:r w:rsidRPr="004F1371">
              <w:t>and release</w:t>
            </w:r>
            <w:r w:rsidR="007C4D1A">
              <w:t xml:space="preserve">d. </w:t>
            </w:r>
            <w:r w:rsidRPr="004F1371">
              <w:t xml:space="preserve"> </w:t>
            </w:r>
            <w:r w:rsidR="007C4D1A">
              <w:t xml:space="preserve">Number of </w:t>
            </w:r>
            <w:r w:rsidRPr="004F1371">
              <w:t xml:space="preserve">individuals who are </w:t>
            </w:r>
            <w:r w:rsidR="007C4D1A">
              <w:t xml:space="preserve">benefiting from </w:t>
            </w:r>
            <w:r w:rsidRPr="004F1371">
              <w:t>cleared land</w:t>
            </w:r>
          </w:p>
          <w:p w14:paraId="7914817E" w14:textId="77777777" w:rsidR="00795EBB" w:rsidRPr="004F1371" w:rsidRDefault="00795EBB" w:rsidP="004F1371">
            <w:pPr>
              <w:pStyle w:val="TableTextEntries"/>
            </w:pPr>
          </w:p>
        </w:tc>
        <w:tc>
          <w:tcPr>
            <w:tcW w:w="819" w:type="pct"/>
          </w:tcPr>
          <w:p w14:paraId="22B8BED4" w14:textId="21456431" w:rsidR="00795EBB" w:rsidRPr="004F1371" w:rsidRDefault="00795EBB" w:rsidP="004F1371">
            <w:pPr>
              <w:pStyle w:val="TableTextEntries"/>
            </w:pPr>
            <w:r w:rsidRPr="004F1371">
              <w:t>1.b</w:t>
            </w:r>
            <w:r w:rsidR="00B90EB9" w:rsidRPr="004F1371">
              <w:t xml:space="preserve"> </w:t>
            </w:r>
            <w:r w:rsidRPr="004F1371">
              <w:t xml:space="preserve">Clearance and release of 44 hectares of agricultural land benefiting more than 2804 individuals </w:t>
            </w:r>
            <w:r w:rsidR="00AE3731" w:rsidRPr="004F1371">
              <w:t xml:space="preserve">including </w:t>
            </w:r>
            <w:r w:rsidRPr="004F1371">
              <w:t>1251 women</w:t>
            </w:r>
            <w:r w:rsidRPr="004F1371" w:rsidDel="002C6456">
              <w:t xml:space="preserve"> </w:t>
            </w:r>
          </w:p>
        </w:tc>
        <w:tc>
          <w:tcPr>
            <w:tcW w:w="833" w:type="pct"/>
          </w:tcPr>
          <w:p w14:paraId="247D8ED4" w14:textId="77777777" w:rsidR="00795EBB" w:rsidRPr="004F1371" w:rsidRDefault="00795EBB" w:rsidP="004F1371">
            <w:pPr>
              <w:pStyle w:val="TableTextEntries"/>
            </w:pPr>
          </w:p>
        </w:tc>
      </w:tr>
      <w:tr w:rsidR="004F1371" w:rsidRPr="004F1371" w14:paraId="65F71845" w14:textId="77777777" w:rsidTr="008171B0">
        <w:trPr>
          <w:cantSplit/>
          <w:tblHeader w:val="0"/>
        </w:trPr>
        <w:tc>
          <w:tcPr>
            <w:tcW w:w="820" w:type="pct"/>
            <w:vMerge/>
          </w:tcPr>
          <w:p w14:paraId="60B80FF7" w14:textId="77777777" w:rsidR="00795EBB" w:rsidRPr="004F1371" w:rsidRDefault="00795EBB" w:rsidP="004F1371">
            <w:pPr>
              <w:pStyle w:val="TableTextEntries"/>
            </w:pPr>
          </w:p>
        </w:tc>
        <w:tc>
          <w:tcPr>
            <w:tcW w:w="819" w:type="pct"/>
            <w:vMerge/>
          </w:tcPr>
          <w:p w14:paraId="10497058" w14:textId="77777777" w:rsidR="00795EBB" w:rsidRPr="004F1371" w:rsidRDefault="00795EBB" w:rsidP="004F1371">
            <w:pPr>
              <w:pStyle w:val="TableTextEntries"/>
            </w:pPr>
          </w:p>
        </w:tc>
        <w:tc>
          <w:tcPr>
            <w:tcW w:w="819" w:type="pct"/>
          </w:tcPr>
          <w:p w14:paraId="6C678BE0" w14:textId="77777777" w:rsidR="00795EBB" w:rsidRPr="004F1371" w:rsidRDefault="00795EBB" w:rsidP="004F1371">
            <w:pPr>
              <w:pStyle w:val="TableTextEntries"/>
            </w:pPr>
          </w:p>
        </w:tc>
        <w:tc>
          <w:tcPr>
            <w:tcW w:w="819" w:type="pct"/>
          </w:tcPr>
          <w:p w14:paraId="5B6DFB25" w14:textId="6444F673" w:rsidR="00795EBB" w:rsidRPr="004F1371" w:rsidRDefault="00795EBB" w:rsidP="004F1371">
            <w:pPr>
              <w:pStyle w:val="TableTextEntries"/>
            </w:pPr>
            <w:r w:rsidRPr="004F1371">
              <w:t xml:space="preserve">1.c Evidence of </w:t>
            </w:r>
            <w:r w:rsidR="009E6B56" w:rsidRPr="004F1371">
              <w:t xml:space="preserve">less </w:t>
            </w:r>
            <w:r w:rsidRPr="004F1371">
              <w:t xml:space="preserve">rice shortages </w:t>
            </w:r>
          </w:p>
          <w:p w14:paraId="2548B480" w14:textId="77777777" w:rsidR="00795EBB" w:rsidRPr="004F1371" w:rsidRDefault="00795EBB" w:rsidP="004F1371">
            <w:pPr>
              <w:pStyle w:val="TableTextEntries"/>
            </w:pPr>
          </w:p>
        </w:tc>
        <w:tc>
          <w:tcPr>
            <w:tcW w:w="819" w:type="pct"/>
          </w:tcPr>
          <w:p w14:paraId="71416837" w14:textId="44AF8FF0" w:rsidR="00795EBB" w:rsidRPr="004F1371" w:rsidRDefault="00795EBB" w:rsidP="004F1371">
            <w:pPr>
              <w:pStyle w:val="TableTextEntries"/>
            </w:pPr>
            <w:r w:rsidRPr="004F1371">
              <w:t xml:space="preserve">1.c 155 families in </w:t>
            </w:r>
            <w:r w:rsidR="009E6B56" w:rsidRPr="004F1371">
              <w:t xml:space="preserve">nine </w:t>
            </w:r>
            <w:r w:rsidRPr="004F1371">
              <w:t>villages no longer experience rice shortages due to improve irrigation system</w:t>
            </w:r>
            <w:r w:rsidRPr="004F1371" w:rsidDel="002C6456">
              <w:t xml:space="preserve"> </w:t>
            </w:r>
          </w:p>
        </w:tc>
        <w:tc>
          <w:tcPr>
            <w:tcW w:w="833" w:type="pct"/>
          </w:tcPr>
          <w:p w14:paraId="7547FE63" w14:textId="77777777" w:rsidR="00795EBB" w:rsidRPr="004F1371" w:rsidRDefault="00795EBB" w:rsidP="004F1371">
            <w:pPr>
              <w:pStyle w:val="TableTextEntries"/>
            </w:pPr>
          </w:p>
        </w:tc>
      </w:tr>
      <w:tr w:rsidR="004F1371" w:rsidRPr="004F1371" w14:paraId="2D4C6216"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536AF618" w14:textId="77777777" w:rsidR="00795EBB" w:rsidRPr="004F1371" w:rsidRDefault="00795EBB" w:rsidP="004F1371">
            <w:pPr>
              <w:pStyle w:val="TableTextEntries"/>
            </w:pPr>
          </w:p>
        </w:tc>
        <w:tc>
          <w:tcPr>
            <w:tcW w:w="819" w:type="pct"/>
            <w:vMerge/>
          </w:tcPr>
          <w:p w14:paraId="496FC731" w14:textId="77777777" w:rsidR="00795EBB" w:rsidRPr="004F1371" w:rsidRDefault="00795EBB" w:rsidP="004F1371">
            <w:pPr>
              <w:pStyle w:val="TableTextEntries"/>
            </w:pPr>
          </w:p>
        </w:tc>
        <w:tc>
          <w:tcPr>
            <w:tcW w:w="819" w:type="pct"/>
          </w:tcPr>
          <w:p w14:paraId="60397FC9" w14:textId="77777777" w:rsidR="00795EBB" w:rsidRPr="004F1371" w:rsidRDefault="00795EBB" w:rsidP="004F1371">
            <w:pPr>
              <w:pStyle w:val="TableTextEntries"/>
            </w:pPr>
            <w:r w:rsidRPr="004F1371">
              <w:t xml:space="preserve">2. Evidence that disaster management planning interventions are improving government and community capacity to assess a crisis situation and implement appropriate an emergency response </w:t>
            </w:r>
          </w:p>
        </w:tc>
        <w:tc>
          <w:tcPr>
            <w:tcW w:w="819" w:type="pct"/>
          </w:tcPr>
          <w:p w14:paraId="18E82BD2" w14:textId="77777777" w:rsidR="00795EBB" w:rsidRPr="004F1371" w:rsidRDefault="00795EBB" w:rsidP="004F1371">
            <w:pPr>
              <w:pStyle w:val="TableTextEntries"/>
            </w:pPr>
          </w:p>
        </w:tc>
        <w:tc>
          <w:tcPr>
            <w:tcW w:w="819" w:type="pct"/>
          </w:tcPr>
          <w:p w14:paraId="1DE5DD0D" w14:textId="77777777" w:rsidR="00795EBB" w:rsidRPr="004F1371" w:rsidRDefault="00795EBB" w:rsidP="004F1371">
            <w:pPr>
              <w:pStyle w:val="TableTextEntries"/>
            </w:pPr>
          </w:p>
        </w:tc>
        <w:tc>
          <w:tcPr>
            <w:tcW w:w="833" w:type="pct"/>
          </w:tcPr>
          <w:p w14:paraId="165DF353" w14:textId="77777777" w:rsidR="00795EBB" w:rsidRPr="004F1371" w:rsidRDefault="00795EBB" w:rsidP="004F1371">
            <w:pPr>
              <w:pStyle w:val="TableTextEntries"/>
            </w:pPr>
          </w:p>
        </w:tc>
      </w:tr>
      <w:tr w:rsidR="004F1371" w:rsidRPr="004F1371" w14:paraId="52A19A61" w14:textId="77777777" w:rsidTr="008171B0">
        <w:trPr>
          <w:cantSplit/>
          <w:tblHeader w:val="0"/>
        </w:trPr>
        <w:tc>
          <w:tcPr>
            <w:tcW w:w="820" w:type="pct"/>
            <w:vMerge/>
          </w:tcPr>
          <w:p w14:paraId="665BC2E7" w14:textId="77777777" w:rsidR="00795EBB" w:rsidRPr="004F1371" w:rsidRDefault="00795EBB" w:rsidP="004F1371">
            <w:pPr>
              <w:pStyle w:val="TableTextEntries"/>
            </w:pPr>
          </w:p>
        </w:tc>
        <w:tc>
          <w:tcPr>
            <w:tcW w:w="819" w:type="pct"/>
            <w:vMerge/>
          </w:tcPr>
          <w:p w14:paraId="6950FABF" w14:textId="77777777" w:rsidR="00795EBB" w:rsidRPr="004F1371" w:rsidRDefault="00795EBB" w:rsidP="004F1371">
            <w:pPr>
              <w:pStyle w:val="TableTextEntries"/>
            </w:pPr>
          </w:p>
        </w:tc>
        <w:tc>
          <w:tcPr>
            <w:tcW w:w="819" w:type="pct"/>
          </w:tcPr>
          <w:p w14:paraId="62B061A1" w14:textId="77777777" w:rsidR="00795EBB" w:rsidRPr="004F1371" w:rsidRDefault="00795EBB" w:rsidP="004F1371">
            <w:pPr>
              <w:pStyle w:val="TableTextEntries"/>
            </w:pPr>
          </w:p>
        </w:tc>
        <w:tc>
          <w:tcPr>
            <w:tcW w:w="819" w:type="pct"/>
          </w:tcPr>
          <w:p w14:paraId="239E3B13" w14:textId="77777777" w:rsidR="00795EBB" w:rsidRPr="004F1371" w:rsidRDefault="00795EBB" w:rsidP="004F1371">
            <w:pPr>
              <w:pStyle w:val="TableTextEntries"/>
            </w:pPr>
            <w:r w:rsidRPr="004F1371">
              <w:t>2.b Evidence that disaster management plans are being maintained, implemented, and used effectively by government and communities</w:t>
            </w:r>
          </w:p>
        </w:tc>
        <w:tc>
          <w:tcPr>
            <w:tcW w:w="819" w:type="pct"/>
          </w:tcPr>
          <w:p w14:paraId="084D1CBA" w14:textId="78CC5499" w:rsidR="00795EBB" w:rsidRPr="004F1371" w:rsidRDefault="00795EBB" w:rsidP="004F1371">
            <w:pPr>
              <w:pStyle w:val="TableTextEntries"/>
            </w:pPr>
            <w:r w:rsidRPr="004F1371">
              <w:t>2.b</w:t>
            </w:r>
            <w:r w:rsidR="00B90EB9" w:rsidRPr="004F1371">
              <w:t xml:space="preserve"> </w:t>
            </w:r>
            <w:r w:rsidRPr="004F1371">
              <w:t>Completion of 2011 emergency response activities through district management committees in three provinces</w:t>
            </w:r>
          </w:p>
        </w:tc>
        <w:tc>
          <w:tcPr>
            <w:tcW w:w="833" w:type="pct"/>
          </w:tcPr>
          <w:p w14:paraId="1153B05D" w14:textId="77777777" w:rsidR="00795EBB" w:rsidRPr="004F1371" w:rsidRDefault="00795EBB" w:rsidP="004F1371">
            <w:pPr>
              <w:pStyle w:val="TableTextEntries"/>
            </w:pPr>
          </w:p>
        </w:tc>
      </w:tr>
      <w:tr w:rsidR="004F1371" w:rsidRPr="004F1371" w14:paraId="68964BCC"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5FF36813" w14:textId="77777777" w:rsidR="00795EBB" w:rsidRPr="004F1371" w:rsidRDefault="00795EBB" w:rsidP="004F1371">
            <w:pPr>
              <w:pStyle w:val="TableTextEntries"/>
            </w:pPr>
          </w:p>
        </w:tc>
        <w:tc>
          <w:tcPr>
            <w:tcW w:w="819" w:type="pct"/>
            <w:vMerge w:val="restart"/>
          </w:tcPr>
          <w:p w14:paraId="17EC781F" w14:textId="77777777" w:rsidR="00795EBB" w:rsidRPr="004F1371" w:rsidRDefault="00795EBB" w:rsidP="004F1371">
            <w:pPr>
              <w:pStyle w:val="TableTextEntries"/>
            </w:pPr>
          </w:p>
        </w:tc>
        <w:tc>
          <w:tcPr>
            <w:tcW w:w="819" w:type="pct"/>
            <w:vMerge w:val="restart"/>
          </w:tcPr>
          <w:p w14:paraId="65C90138" w14:textId="77777777" w:rsidR="00795EBB" w:rsidRPr="004F1371" w:rsidRDefault="00795EBB" w:rsidP="004F1371">
            <w:pPr>
              <w:pStyle w:val="TableTextEntries"/>
            </w:pPr>
            <w:r w:rsidRPr="004F1371">
              <w:t>3. Vulnerable women benefiting from gender sensitive livelihood, capacity building and participation strategies as evidenced by reduced workload and improved general health outcomes</w:t>
            </w:r>
          </w:p>
          <w:p w14:paraId="6B40B7E1" w14:textId="77777777" w:rsidR="00795EBB" w:rsidRPr="004F1371" w:rsidRDefault="00795EBB" w:rsidP="004F1371">
            <w:pPr>
              <w:pStyle w:val="TableTextEntries"/>
            </w:pPr>
          </w:p>
          <w:p w14:paraId="2CDB1A37" w14:textId="77777777" w:rsidR="00795EBB" w:rsidRPr="004F1371" w:rsidRDefault="00795EBB" w:rsidP="004F1371">
            <w:pPr>
              <w:pStyle w:val="TableTextEntries"/>
            </w:pPr>
          </w:p>
          <w:p w14:paraId="6C8983F9" w14:textId="77777777" w:rsidR="00795EBB" w:rsidRPr="004F1371" w:rsidRDefault="00795EBB" w:rsidP="004F1371">
            <w:pPr>
              <w:pStyle w:val="TableTextEntries"/>
            </w:pPr>
          </w:p>
          <w:p w14:paraId="7298D90C" w14:textId="77777777" w:rsidR="00795EBB" w:rsidRPr="004F1371" w:rsidRDefault="00795EBB" w:rsidP="004F1371">
            <w:pPr>
              <w:pStyle w:val="TableTextEntries"/>
            </w:pPr>
          </w:p>
          <w:p w14:paraId="6CCB8948" w14:textId="77777777" w:rsidR="00795EBB" w:rsidRPr="004F1371" w:rsidRDefault="00795EBB" w:rsidP="004F1371">
            <w:pPr>
              <w:pStyle w:val="TableTextEntries"/>
            </w:pPr>
          </w:p>
        </w:tc>
        <w:tc>
          <w:tcPr>
            <w:tcW w:w="819" w:type="pct"/>
          </w:tcPr>
          <w:p w14:paraId="575E8CF6" w14:textId="7502D9AB" w:rsidR="00795EBB" w:rsidRPr="004F1371" w:rsidRDefault="00795EBB" w:rsidP="007218A0">
            <w:pPr>
              <w:pStyle w:val="TableTextEntries"/>
            </w:pPr>
            <w:r w:rsidRPr="004F1371">
              <w:t xml:space="preserve">3.a </w:t>
            </w:r>
            <w:r w:rsidR="007218A0">
              <w:t>Number of women benefitting from n</w:t>
            </w:r>
            <w:r w:rsidRPr="004F1371">
              <w:t>on-government organisations</w:t>
            </w:r>
            <w:r w:rsidR="00371992">
              <w:t>’</w:t>
            </w:r>
            <w:r w:rsidRPr="004F1371">
              <w:t xml:space="preserve"> strategies for gender equality</w:t>
            </w:r>
            <w:r w:rsidR="009E6B56" w:rsidRPr="004F1371">
              <w:t>,</w:t>
            </w:r>
            <w:r w:rsidRPr="004F1371">
              <w:t xml:space="preserve"> disability and ethnic inclusion</w:t>
            </w:r>
          </w:p>
        </w:tc>
        <w:tc>
          <w:tcPr>
            <w:tcW w:w="819" w:type="pct"/>
          </w:tcPr>
          <w:p w14:paraId="6152924E" w14:textId="441215D8" w:rsidR="00795EBB" w:rsidRPr="004F1371" w:rsidRDefault="00795EBB" w:rsidP="004F1371">
            <w:pPr>
              <w:pStyle w:val="TableTextEntries"/>
            </w:pPr>
            <w:r w:rsidRPr="004F1371">
              <w:t>3.</w:t>
            </w:r>
            <w:proofErr w:type="spellStart"/>
            <w:r w:rsidRPr="004F1371">
              <w:t>a</w:t>
            </w:r>
            <w:proofErr w:type="spellEnd"/>
            <w:r w:rsidR="00B90EB9" w:rsidRPr="004F1371">
              <w:t xml:space="preserve"> </w:t>
            </w:r>
            <w:r w:rsidRPr="004F1371">
              <w:t>At least 13</w:t>
            </w:r>
            <w:r w:rsidR="003835F8" w:rsidRPr="004F1371">
              <w:t xml:space="preserve"> </w:t>
            </w:r>
            <w:r w:rsidRPr="004F1371">
              <w:t>518 women with</w:t>
            </w:r>
            <w:r w:rsidR="00B90EB9" w:rsidRPr="004F1371">
              <w:t xml:space="preserve"> </w:t>
            </w:r>
            <w:r w:rsidRPr="004F1371">
              <w:t xml:space="preserve">access to improved rural roads, convenient water and sanitation system, and </w:t>
            </w:r>
            <w:r w:rsidR="003835F8" w:rsidRPr="004F1371">
              <w:t>unexploded ordnance</w:t>
            </w:r>
            <w:r w:rsidRPr="004F1371">
              <w:t xml:space="preserve">-cleared lands as </w:t>
            </w:r>
            <w:r w:rsidR="003835F8" w:rsidRPr="004F1371">
              <w:t xml:space="preserve">non-government organisations </w:t>
            </w:r>
            <w:r w:rsidRPr="004F1371">
              <w:t>develop practical inclusion strategies</w:t>
            </w:r>
            <w:r w:rsidR="00B90EB9" w:rsidRPr="004F1371">
              <w:t xml:space="preserve"> </w:t>
            </w:r>
          </w:p>
        </w:tc>
        <w:tc>
          <w:tcPr>
            <w:tcW w:w="833" w:type="pct"/>
          </w:tcPr>
          <w:p w14:paraId="37C3AB7A" w14:textId="77777777" w:rsidR="00795EBB" w:rsidRPr="004F1371" w:rsidRDefault="00795EBB" w:rsidP="004F1371">
            <w:pPr>
              <w:pStyle w:val="TableTextEntries"/>
            </w:pPr>
          </w:p>
        </w:tc>
      </w:tr>
      <w:tr w:rsidR="004F1371" w:rsidRPr="004F1371" w14:paraId="1B29B842" w14:textId="77777777" w:rsidTr="008171B0">
        <w:trPr>
          <w:cantSplit/>
          <w:tblHeader w:val="0"/>
        </w:trPr>
        <w:tc>
          <w:tcPr>
            <w:tcW w:w="820" w:type="pct"/>
            <w:vMerge/>
          </w:tcPr>
          <w:p w14:paraId="68E6C133" w14:textId="77777777" w:rsidR="00795EBB" w:rsidRPr="004F1371" w:rsidRDefault="00795EBB" w:rsidP="004F1371">
            <w:pPr>
              <w:pStyle w:val="TableTextEntries"/>
            </w:pPr>
          </w:p>
        </w:tc>
        <w:tc>
          <w:tcPr>
            <w:tcW w:w="819" w:type="pct"/>
            <w:vMerge/>
          </w:tcPr>
          <w:p w14:paraId="778EB789" w14:textId="77777777" w:rsidR="00795EBB" w:rsidRPr="004F1371" w:rsidRDefault="00795EBB" w:rsidP="004F1371">
            <w:pPr>
              <w:pStyle w:val="TableTextEntries"/>
            </w:pPr>
          </w:p>
        </w:tc>
        <w:tc>
          <w:tcPr>
            <w:tcW w:w="819" w:type="pct"/>
            <w:vMerge/>
          </w:tcPr>
          <w:p w14:paraId="39240632" w14:textId="77777777" w:rsidR="00795EBB" w:rsidRPr="004F1371" w:rsidRDefault="00795EBB" w:rsidP="004F1371">
            <w:pPr>
              <w:pStyle w:val="TableTextEntries"/>
            </w:pPr>
          </w:p>
        </w:tc>
        <w:tc>
          <w:tcPr>
            <w:tcW w:w="819" w:type="pct"/>
          </w:tcPr>
          <w:p w14:paraId="360E76B8" w14:textId="2AD98DCA" w:rsidR="00795EBB" w:rsidRPr="004F1371" w:rsidRDefault="00795EBB" w:rsidP="00371992">
            <w:pPr>
              <w:pStyle w:val="TableTextEntries"/>
            </w:pPr>
            <w:r w:rsidRPr="004F1371">
              <w:t xml:space="preserve">3.b </w:t>
            </w:r>
            <w:r w:rsidR="00371992">
              <w:t>Number of women benefitting from a</w:t>
            </w:r>
            <w:r w:rsidRPr="004F1371">
              <w:t>ccess to essential health care services, improved rural roads and water and sanitation systems</w:t>
            </w:r>
          </w:p>
        </w:tc>
        <w:tc>
          <w:tcPr>
            <w:tcW w:w="819" w:type="pct"/>
          </w:tcPr>
          <w:p w14:paraId="63ED406A" w14:textId="4002F730" w:rsidR="00795EBB" w:rsidRPr="004F1371" w:rsidRDefault="00795EBB" w:rsidP="004F1371">
            <w:pPr>
              <w:pStyle w:val="TableTextEntries"/>
            </w:pPr>
            <w:proofErr w:type="gramStart"/>
            <w:r w:rsidRPr="004F1371">
              <w:t>3.b</w:t>
            </w:r>
            <w:proofErr w:type="gramEnd"/>
            <w:r w:rsidRPr="004F1371">
              <w:t xml:space="preserve"> Milestone met. 1087 pregnant women access regular pre natal consultation</w:t>
            </w:r>
            <w:r w:rsidR="003835F8" w:rsidRPr="004F1371">
              <w:t xml:space="preserve"> and</w:t>
            </w:r>
            <w:r w:rsidR="00B90EB9" w:rsidRPr="004F1371">
              <w:t xml:space="preserve"> </w:t>
            </w:r>
            <w:r w:rsidRPr="004F1371">
              <w:t xml:space="preserve">112 safer birth deliveries by </w:t>
            </w:r>
            <w:r w:rsidR="003835F8" w:rsidRPr="004F1371">
              <w:t xml:space="preserve">health care </w:t>
            </w:r>
            <w:r w:rsidRPr="004F1371">
              <w:t>officials</w:t>
            </w:r>
          </w:p>
        </w:tc>
        <w:tc>
          <w:tcPr>
            <w:tcW w:w="833" w:type="pct"/>
          </w:tcPr>
          <w:p w14:paraId="1FCD1EF7" w14:textId="77777777" w:rsidR="00795EBB" w:rsidRPr="004F1371" w:rsidRDefault="00795EBB" w:rsidP="004F1371">
            <w:pPr>
              <w:pStyle w:val="TableTextEntries"/>
            </w:pPr>
          </w:p>
        </w:tc>
      </w:tr>
      <w:tr w:rsidR="004F1371" w:rsidRPr="004F1371" w14:paraId="5C784724"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2A8E7D3E" w14:textId="77777777" w:rsidR="00795EBB" w:rsidRPr="004F1371" w:rsidRDefault="00795EBB" w:rsidP="004F1371">
            <w:pPr>
              <w:pStyle w:val="TableTextEntries"/>
            </w:pPr>
          </w:p>
        </w:tc>
        <w:tc>
          <w:tcPr>
            <w:tcW w:w="819" w:type="pct"/>
            <w:vMerge/>
          </w:tcPr>
          <w:p w14:paraId="37676F04" w14:textId="77777777" w:rsidR="00795EBB" w:rsidRPr="004F1371" w:rsidRDefault="00795EBB" w:rsidP="004F1371">
            <w:pPr>
              <w:pStyle w:val="TableTextEntries"/>
            </w:pPr>
          </w:p>
        </w:tc>
        <w:tc>
          <w:tcPr>
            <w:tcW w:w="819" w:type="pct"/>
            <w:vMerge/>
          </w:tcPr>
          <w:p w14:paraId="161ACED6" w14:textId="77777777" w:rsidR="00795EBB" w:rsidRPr="004F1371" w:rsidRDefault="00795EBB" w:rsidP="004F1371">
            <w:pPr>
              <w:pStyle w:val="TableTextEntries"/>
            </w:pPr>
          </w:p>
        </w:tc>
        <w:tc>
          <w:tcPr>
            <w:tcW w:w="819" w:type="pct"/>
          </w:tcPr>
          <w:p w14:paraId="1D7DAE2D" w14:textId="77777777" w:rsidR="00795EBB" w:rsidRPr="004F1371" w:rsidRDefault="00795EBB" w:rsidP="004F1371">
            <w:pPr>
              <w:pStyle w:val="TableTextEntries"/>
            </w:pPr>
          </w:p>
        </w:tc>
        <w:tc>
          <w:tcPr>
            <w:tcW w:w="819" w:type="pct"/>
          </w:tcPr>
          <w:p w14:paraId="798FC44B" w14:textId="77777777" w:rsidR="00795EBB" w:rsidRPr="004F1371" w:rsidRDefault="00795EBB" w:rsidP="004F1371">
            <w:pPr>
              <w:pStyle w:val="TableTextEntries"/>
            </w:pPr>
            <w:r w:rsidRPr="004F1371">
              <w:t>3.c More than 141 women with reduced work burden</w:t>
            </w:r>
          </w:p>
        </w:tc>
        <w:tc>
          <w:tcPr>
            <w:tcW w:w="833" w:type="pct"/>
          </w:tcPr>
          <w:p w14:paraId="1B6A6A2F" w14:textId="77777777" w:rsidR="00795EBB" w:rsidRPr="004F1371" w:rsidRDefault="00795EBB" w:rsidP="004F1371">
            <w:pPr>
              <w:pStyle w:val="TableTextEntries"/>
            </w:pPr>
          </w:p>
        </w:tc>
      </w:tr>
      <w:tr w:rsidR="004F1371" w:rsidRPr="004F1371" w14:paraId="7016534E" w14:textId="77777777" w:rsidTr="008171B0">
        <w:trPr>
          <w:cantSplit/>
          <w:tblHeader w:val="0"/>
        </w:trPr>
        <w:tc>
          <w:tcPr>
            <w:tcW w:w="820" w:type="pct"/>
            <w:vMerge/>
          </w:tcPr>
          <w:p w14:paraId="0D4E2784" w14:textId="77777777" w:rsidR="00795EBB" w:rsidRPr="004F1371" w:rsidRDefault="00795EBB" w:rsidP="004F1371">
            <w:pPr>
              <w:pStyle w:val="TableTextEntries"/>
            </w:pPr>
          </w:p>
        </w:tc>
        <w:tc>
          <w:tcPr>
            <w:tcW w:w="819" w:type="pct"/>
            <w:vMerge/>
          </w:tcPr>
          <w:p w14:paraId="0A4EBAF6" w14:textId="77777777" w:rsidR="00795EBB" w:rsidRPr="004F1371" w:rsidRDefault="00795EBB" w:rsidP="004F1371">
            <w:pPr>
              <w:pStyle w:val="TableTextEntries"/>
            </w:pPr>
          </w:p>
        </w:tc>
        <w:tc>
          <w:tcPr>
            <w:tcW w:w="819" w:type="pct"/>
          </w:tcPr>
          <w:p w14:paraId="09673833" w14:textId="77777777" w:rsidR="00795EBB" w:rsidRPr="004F1371" w:rsidRDefault="00795EBB" w:rsidP="004F1371">
            <w:pPr>
              <w:pStyle w:val="TableTextEntries"/>
            </w:pPr>
            <w:r w:rsidRPr="004F1371">
              <w:t>4. Best practice approaches on integrated unexploded ordnance and disaster risk reduction, livelihood and food security, and community resilience are:</w:t>
            </w:r>
          </w:p>
          <w:p w14:paraId="57E3C548" w14:textId="77777777" w:rsidR="00795EBB" w:rsidRPr="004F1371" w:rsidRDefault="00795EBB" w:rsidP="004F1371">
            <w:pPr>
              <w:pStyle w:val="TableTextEntries"/>
            </w:pPr>
            <w:r w:rsidRPr="004F1371">
              <w:t>4.1 shared with and adapted by development partners and partner government at the local and central levels</w:t>
            </w:r>
          </w:p>
        </w:tc>
        <w:tc>
          <w:tcPr>
            <w:tcW w:w="819" w:type="pct"/>
          </w:tcPr>
          <w:p w14:paraId="5814434E" w14:textId="4CD1B2CB" w:rsidR="00795EBB" w:rsidRPr="004F1371" w:rsidRDefault="00795EBB" w:rsidP="004F1371">
            <w:pPr>
              <w:pStyle w:val="TableTextEntries"/>
            </w:pPr>
            <w:r w:rsidRPr="004F1371">
              <w:t xml:space="preserve">4.1.a Program evaluation workshop and annual evaluation workshop undertaken with effective participation by relevant </w:t>
            </w:r>
            <w:r w:rsidR="003835F8" w:rsidRPr="004F1371">
              <w:t xml:space="preserve">government </w:t>
            </w:r>
            <w:r w:rsidRPr="004F1371">
              <w:t>agencies and other relevant rural development</w:t>
            </w:r>
            <w:r w:rsidR="00C87F38" w:rsidRPr="004F1371">
              <w:t xml:space="preserve"> partners</w:t>
            </w:r>
          </w:p>
        </w:tc>
        <w:tc>
          <w:tcPr>
            <w:tcW w:w="819" w:type="pct"/>
          </w:tcPr>
          <w:p w14:paraId="1C66F39C" w14:textId="176303BA" w:rsidR="00795EBB" w:rsidRPr="004F1371" w:rsidRDefault="00795EBB" w:rsidP="004F1371">
            <w:pPr>
              <w:pStyle w:val="TableTextEntries"/>
            </w:pPr>
            <w:r w:rsidRPr="004F1371">
              <w:t>4.1</w:t>
            </w:r>
            <w:proofErr w:type="gramStart"/>
            <w:r w:rsidRPr="004F1371">
              <w:t>.a</w:t>
            </w:r>
            <w:proofErr w:type="gramEnd"/>
            <w:r w:rsidRPr="004F1371">
              <w:t xml:space="preserve"> Milestone partially met. Annual evaluation workshop undertaken with effective participation of </w:t>
            </w:r>
            <w:r w:rsidR="003835F8" w:rsidRPr="004F1371">
              <w:t xml:space="preserve">non-government organisation </w:t>
            </w:r>
            <w:r w:rsidRPr="004F1371">
              <w:t>partners.</w:t>
            </w:r>
            <w:r w:rsidR="00B90EB9" w:rsidRPr="004F1371">
              <w:t xml:space="preserve"> </w:t>
            </w:r>
            <w:r w:rsidRPr="004F1371">
              <w:t xml:space="preserve">Relevant </w:t>
            </w:r>
            <w:r w:rsidR="003835F8" w:rsidRPr="004F1371">
              <w:t xml:space="preserve">government </w:t>
            </w:r>
            <w:r w:rsidRPr="004F1371">
              <w:t>agencies and rural development stakeholders were not invited to the workshop</w:t>
            </w:r>
          </w:p>
        </w:tc>
        <w:tc>
          <w:tcPr>
            <w:tcW w:w="833" w:type="pct"/>
          </w:tcPr>
          <w:p w14:paraId="349C6D35" w14:textId="77777777" w:rsidR="00795EBB" w:rsidRPr="004F1371" w:rsidRDefault="00795EBB" w:rsidP="004F1371">
            <w:pPr>
              <w:pStyle w:val="TableTextEntries"/>
            </w:pPr>
          </w:p>
        </w:tc>
      </w:tr>
      <w:tr w:rsidR="004F1371" w:rsidRPr="004F1371" w14:paraId="3BBF026A"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2386DB5D" w14:textId="77777777" w:rsidR="00795EBB" w:rsidRPr="004F1371" w:rsidRDefault="00795EBB" w:rsidP="004F1371">
            <w:pPr>
              <w:pStyle w:val="TableTextEntries"/>
            </w:pPr>
          </w:p>
        </w:tc>
        <w:tc>
          <w:tcPr>
            <w:tcW w:w="819" w:type="pct"/>
            <w:vMerge/>
          </w:tcPr>
          <w:p w14:paraId="079A345D" w14:textId="77777777" w:rsidR="00795EBB" w:rsidRPr="004F1371" w:rsidRDefault="00795EBB" w:rsidP="004F1371">
            <w:pPr>
              <w:pStyle w:val="TableTextEntries"/>
            </w:pPr>
          </w:p>
        </w:tc>
        <w:tc>
          <w:tcPr>
            <w:tcW w:w="819" w:type="pct"/>
          </w:tcPr>
          <w:p w14:paraId="41D78264" w14:textId="77777777" w:rsidR="00795EBB" w:rsidRPr="004F1371" w:rsidRDefault="00795EBB" w:rsidP="004F1371">
            <w:pPr>
              <w:pStyle w:val="TableTextEntries"/>
            </w:pPr>
          </w:p>
        </w:tc>
        <w:tc>
          <w:tcPr>
            <w:tcW w:w="819" w:type="pct"/>
          </w:tcPr>
          <w:p w14:paraId="03B20F6C" w14:textId="131D9EBD" w:rsidR="00795EBB" w:rsidRPr="004F1371" w:rsidRDefault="00795EBB" w:rsidP="004F1371">
            <w:pPr>
              <w:pStyle w:val="TableTextEntries"/>
            </w:pPr>
            <w:r w:rsidRPr="004F1371">
              <w:t xml:space="preserve">4.1.b Evidence that </w:t>
            </w:r>
            <w:r w:rsidR="003835F8" w:rsidRPr="004F1371">
              <w:t>Laos</w:t>
            </w:r>
            <w:r w:rsidR="00643DE3" w:rsidRPr="004F1371">
              <w:t>–</w:t>
            </w:r>
            <w:r w:rsidR="003835F8" w:rsidRPr="004F1371">
              <w:t xml:space="preserve">Australia NGO Cooperation Agreement program </w:t>
            </w:r>
            <w:r w:rsidRPr="004F1371">
              <w:t xml:space="preserve">good practice is influencing </w:t>
            </w:r>
            <w:r w:rsidR="003835F8" w:rsidRPr="004F1371">
              <w:t xml:space="preserve">the Lao Government </w:t>
            </w:r>
            <w:r w:rsidRPr="004F1371">
              <w:t>and donor policy and programs stakeholders</w:t>
            </w:r>
          </w:p>
        </w:tc>
        <w:tc>
          <w:tcPr>
            <w:tcW w:w="819" w:type="pct"/>
          </w:tcPr>
          <w:p w14:paraId="61065496" w14:textId="5C57A1BC" w:rsidR="00795EBB" w:rsidRPr="004F1371" w:rsidRDefault="00795EBB" w:rsidP="004F1371">
            <w:pPr>
              <w:pStyle w:val="TableTextEntries"/>
            </w:pPr>
            <w:r w:rsidRPr="004F1371">
              <w:t>4.1</w:t>
            </w:r>
            <w:proofErr w:type="gramStart"/>
            <w:r w:rsidRPr="004F1371">
              <w:t>.b</w:t>
            </w:r>
            <w:proofErr w:type="gramEnd"/>
            <w:r w:rsidRPr="004F1371">
              <w:t xml:space="preserve"> Milestone partially met. The program’s Disaster Information System has been identified by </w:t>
            </w:r>
            <w:r w:rsidR="003835F8" w:rsidRPr="004F1371">
              <w:t xml:space="preserve">the National Disaster Management Office </w:t>
            </w:r>
            <w:r w:rsidRPr="004F1371">
              <w:t xml:space="preserve">as a </w:t>
            </w:r>
            <w:r w:rsidR="003835F8" w:rsidRPr="004F1371">
              <w:t xml:space="preserve">disaster risk reduction </w:t>
            </w:r>
            <w:r w:rsidRPr="004F1371">
              <w:t>approach that can be</w:t>
            </w:r>
            <w:r w:rsidR="003835F8" w:rsidRPr="004F1371">
              <w:t>,</w:t>
            </w:r>
            <w:r w:rsidRPr="004F1371">
              <w:t xml:space="preserve"> and will be</w:t>
            </w:r>
            <w:r w:rsidR="003835F8" w:rsidRPr="004F1371">
              <w:t>,</w:t>
            </w:r>
            <w:r w:rsidRPr="004F1371">
              <w:t xml:space="preserve"> </w:t>
            </w:r>
            <w:r w:rsidR="003835F8" w:rsidRPr="004F1371">
              <w:t>increased</w:t>
            </w:r>
            <w:r w:rsidRPr="004F1371">
              <w:t xml:space="preserve"> across the country</w:t>
            </w:r>
            <w:r w:rsidR="003835F8" w:rsidRPr="004F1371">
              <w:t>,</w:t>
            </w:r>
            <w:r w:rsidRPr="004F1371">
              <w:t xml:space="preserve"> resources permitting</w:t>
            </w:r>
          </w:p>
        </w:tc>
        <w:tc>
          <w:tcPr>
            <w:tcW w:w="833" w:type="pct"/>
          </w:tcPr>
          <w:p w14:paraId="4AE7DABB" w14:textId="77777777" w:rsidR="00795EBB" w:rsidRPr="004F1371" w:rsidRDefault="00795EBB" w:rsidP="004F1371">
            <w:pPr>
              <w:pStyle w:val="TableTextEntries"/>
            </w:pPr>
          </w:p>
        </w:tc>
      </w:tr>
      <w:tr w:rsidR="004F1371" w:rsidRPr="004F1371" w14:paraId="4986B892" w14:textId="77777777" w:rsidTr="008171B0">
        <w:trPr>
          <w:cantSplit/>
          <w:tblHeader w:val="0"/>
        </w:trPr>
        <w:tc>
          <w:tcPr>
            <w:tcW w:w="820" w:type="pct"/>
          </w:tcPr>
          <w:p w14:paraId="5DA5FD64" w14:textId="77777777" w:rsidR="00795EBB" w:rsidRPr="004F1371" w:rsidRDefault="00795EBB" w:rsidP="004F1371">
            <w:pPr>
              <w:pStyle w:val="TableTextEntries"/>
            </w:pPr>
          </w:p>
        </w:tc>
        <w:tc>
          <w:tcPr>
            <w:tcW w:w="819" w:type="pct"/>
          </w:tcPr>
          <w:p w14:paraId="43F6D4E5" w14:textId="77777777" w:rsidR="00795EBB" w:rsidRPr="004F1371" w:rsidRDefault="00795EBB" w:rsidP="004F1371">
            <w:pPr>
              <w:pStyle w:val="TableTextEntries"/>
            </w:pPr>
          </w:p>
        </w:tc>
        <w:tc>
          <w:tcPr>
            <w:tcW w:w="819" w:type="pct"/>
          </w:tcPr>
          <w:p w14:paraId="6F5240C9" w14:textId="77777777" w:rsidR="00795EBB" w:rsidRPr="004F1371" w:rsidRDefault="00795EBB" w:rsidP="004F1371">
            <w:pPr>
              <w:pStyle w:val="TableTextEntries"/>
            </w:pPr>
            <w:r w:rsidRPr="004F1371">
              <w:t>4.2 being sustained by communities in partnership with the government after the cessation of project inputs</w:t>
            </w:r>
          </w:p>
        </w:tc>
        <w:tc>
          <w:tcPr>
            <w:tcW w:w="819" w:type="pct"/>
          </w:tcPr>
          <w:p w14:paraId="418C58EE" w14:textId="77777777" w:rsidR="00795EBB" w:rsidRPr="004F1371" w:rsidRDefault="00795EBB" w:rsidP="004F1371">
            <w:pPr>
              <w:pStyle w:val="TableTextEntries"/>
            </w:pPr>
          </w:p>
        </w:tc>
        <w:tc>
          <w:tcPr>
            <w:tcW w:w="819" w:type="pct"/>
          </w:tcPr>
          <w:p w14:paraId="403C6A51" w14:textId="77777777" w:rsidR="00795EBB" w:rsidRPr="004F1371" w:rsidRDefault="00795EBB" w:rsidP="004F1371">
            <w:pPr>
              <w:pStyle w:val="TableTextEntries"/>
            </w:pPr>
          </w:p>
        </w:tc>
        <w:tc>
          <w:tcPr>
            <w:tcW w:w="833" w:type="pct"/>
          </w:tcPr>
          <w:p w14:paraId="68C786AE" w14:textId="77777777" w:rsidR="00795EBB" w:rsidRPr="004F1371" w:rsidRDefault="00795EBB" w:rsidP="004F1371">
            <w:pPr>
              <w:pStyle w:val="TableTextEntries"/>
            </w:pPr>
          </w:p>
        </w:tc>
      </w:tr>
      <w:tr w:rsidR="004F1371" w:rsidRPr="004F1371" w14:paraId="79C53696"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5063A070" w14:textId="77777777" w:rsidR="00795EBB" w:rsidRPr="004F1371" w:rsidRDefault="00795EBB" w:rsidP="004F1371">
            <w:pPr>
              <w:pStyle w:val="TableTextEntries"/>
            </w:pPr>
          </w:p>
        </w:tc>
        <w:tc>
          <w:tcPr>
            <w:tcW w:w="819" w:type="pct"/>
            <w:vMerge w:val="restart"/>
          </w:tcPr>
          <w:p w14:paraId="190EDC01" w14:textId="28E49D5D" w:rsidR="00795EBB" w:rsidRPr="004F1371" w:rsidRDefault="00795EBB" w:rsidP="004F1371">
            <w:pPr>
              <w:pStyle w:val="TableTextEntries"/>
            </w:pPr>
            <w:r w:rsidRPr="004F1371">
              <w:t>Strategy objective 5: Improved prioritisation, delivery efficiency and coordination of mine action activities</w:t>
            </w:r>
          </w:p>
        </w:tc>
        <w:tc>
          <w:tcPr>
            <w:tcW w:w="819" w:type="pct"/>
            <w:vMerge w:val="restart"/>
          </w:tcPr>
          <w:p w14:paraId="234696B3" w14:textId="329E38F9" w:rsidR="00795EBB" w:rsidRPr="004F1371" w:rsidRDefault="00795EBB" w:rsidP="004F1371">
            <w:pPr>
              <w:pStyle w:val="TableTextEntries"/>
            </w:pPr>
            <w:r w:rsidRPr="004F1371">
              <w:t>At the central level</w:t>
            </w:r>
            <w:r w:rsidR="00FC7E29" w:rsidRPr="004F1371">
              <w:t xml:space="preserve">, better </w:t>
            </w:r>
            <w:r w:rsidRPr="004F1371">
              <w:t xml:space="preserve">quality control and assurance processes and systems within the National Regulatory Authority for the </w:t>
            </w:r>
            <w:r w:rsidR="003835F8" w:rsidRPr="004F1371">
              <w:t>unexploded ordnance</w:t>
            </w:r>
            <w:r w:rsidRPr="004F1371">
              <w:t>/</w:t>
            </w:r>
            <w:r w:rsidR="003835F8" w:rsidRPr="004F1371">
              <w:t xml:space="preserve">mine action sector </w:t>
            </w:r>
            <w:r w:rsidRPr="004F1371">
              <w:t xml:space="preserve">and UXO Lao </w:t>
            </w:r>
            <w:r w:rsidR="003835F8" w:rsidRPr="004F1371">
              <w:t xml:space="preserve">which </w:t>
            </w:r>
            <w:r w:rsidRPr="004F1371">
              <w:t>lead</w:t>
            </w:r>
            <w:r w:rsidR="003835F8" w:rsidRPr="004F1371">
              <w:t>s</w:t>
            </w:r>
            <w:r w:rsidRPr="004F1371">
              <w:t xml:space="preserve"> to zero-accident and environment-friendly outcomes</w:t>
            </w:r>
          </w:p>
          <w:p w14:paraId="6610052D" w14:textId="77777777" w:rsidR="00795EBB" w:rsidRPr="004F1371" w:rsidRDefault="00795EBB" w:rsidP="004F1371">
            <w:pPr>
              <w:pStyle w:val="TableTextEntries"/>
            </w:pPr>
          </w:p>
          <w:p w14:paraId="0FA37960" w14:textId="77777777" w:rsidR="00795EBB" w:rsidRPr="004F1371" w:rsidRDefault="00795EBB" w:rsidP="004F1371">
            <w:pPr>
              <w:pStyle w:val="TableTextEntries"/>
            </w:pPr>
          </w:p>
        </w:tc>
        <w:tc>
          <w:tcPr>
            <w:tcW w:w="819" w:type="pct"/>
          </w:tcPr>
          <w:p w14:paraId="0D740C2E" w14:textId="436D374D" w:rsidR="00795EBB" w:rsidRPr="004F1371" w:rsidRDefault="00795EBB" w:rsidP="004F1371">
            <w:pPr>
              <w:pStyle w:val="TableTextEntries"/>
            </w:pPr>
            <w:r w:rsidRPr="004F1371">
              <w:lastRenderedPageBreak/>
              <w:t>1.</w:t>
            </w:r>
            <w:proofErr w:type="spellStart"/>
            <w:r w:rsidRPr="004F1371">
              <w:t>a</w:t>
            </w:r>
            <w:proofErr w:type="spellEnd"/>
            <w:r w:rsidR="00B90EB9" w:rsidRPr="004F1371">
              <w:t xml:space="preserve"> </w:t>
            </w:r>
            <w:r w:rsidRPr="004F1371">
              <w:t>At least 2500 hectares of land released</w:t>
            </w:r>
            <w:r w:rsidR="00661C32" w:rsidRPr="004F1371">
              <w:t xml:space="preserve"> </w:t>
            </w:r>
            <w:r w:rsidRPr="004F1371">
              <w:t xml:space="preserve">from </w:t>
            </w:r>
            <w:r w:rsidR="003835F8" w:rsidRPr="004F1371">
              <w:t xml:space="preserve">unexploded ordnance </w:t>
            </w:r>
            <w:r w:rsidRPr="004F1371">
              <w:t xml:space="preserve">contamination </w:t>
            </w:r>
          </w:p>
        </w:tc>
        <w:tc>
          <w:tcPr>
            <w:tcW w:w="819" w:type="pct"/>
          </w:tcPr>
          <w:p w14:paraId="3803EBF2" w14:textId="4FEF5153" w:rsidR="00795EBB" w:rsidRPr="004F1371" w:rsidRDefault="00795EBB" w:rsidP="004F1371">
            <w:pPr>
              <w:pStyle w:val="TableTextEntries"/>
            </w:pPr>
            <w:proofErr w:type="gramStart"/>
            <w:r w:rsidRPr="004F1371">
              <w:t>1.a</w:t>
            </w:r>
            <w:proofErr w:type="gramEnd"/>
            <w:r w:rsidRPr="004F1371">
              <w:t xml:space="preserve"> Milestone partially met. A total of 831 hectares of unexploded ordnance contaminated land was cleared with Australia’s support </w:t>
            </w:r>
            <w:r w:rsidR="00990BB1" w:rsidRPr="004F1371">
              <w:t>(Australia shar</w:t>
            </w:r>
            <w:r w:rsidR="00DC491F" w:rsidRPr="004F1371">
              <w:t>es</w:t>
            </w:r>
            <w:r w:rsidR="00990BB1" w:rsidRPr="004F1371">
              <w:t xml:space="preserve"> 30% of total trust fund in 2012</w:t>
            </w:r>
            <w:r w:rsidR="003835F8" w:rsidRPr="004F1371">
              <w:t>–</w:t>
            </w:r>
            <w:r w:rsidR="00990BB1" w:rsidRPr="004F1371">
              <w:t xml:space="preserve">13) </w:t>
            </w:r>
            <w:r w:rsidRPr="004F1371">
              <w:t xml:space="preserve">to UXO Lao against total sector wide target of 2500 hectares </w:t>
            </w:r>
          </w:p>
        </w:tc>
        <w:tc>
          <w:tcPr>
            <w:tcW w:w="833" w:type="pct"/>
          </w:tcPr>
          <w:p w14:paraId="097F7557" w14:textId="77777777" w:rsidR="00795EBB" w:rsidRPr="004F1371" w:rsidRDefault="00795EBB" w:rsidP="004F1371">
            <w:pPr>
              <w:pStyle w:val="TableTextEntries"/>
            </w:pPr>
          </w:p>
        </w:tc>
      </w:tr>
      <w:tr w:rsidR="004F1371" w:rsidRPr="004F1371" w14:paraId="01A54429" w14:textId="77777777" w:rsidTr="008171B0">
        <w:trPr>
          <w:cantSplit/>
          <w:tblHeader w:val="0"/>
        </w:trPr>
        <w:tc>
          <w:tcPr>
            <w:tcW w:w="820" w:type="pct"/>
            <w:vMerge/>
          </w:tcPr>
          <w:p w14:paraId="1DCC0A3C" w14:textId="77777777" w:rsidR="00795EBB" w:rsidRPr="004F1371" w:rsidRDefault="00795EBB" w:rsidP="004F1371">
            <w:pPr>
              <w:pStyle w:val="TableTextEntries"/>
            </w:pPr>
          </w:p>
        </w:tc>
        <w:tc>
          <w:tcPr>
            <w:tcW w:w="819" w:type="pct"/>
            <w:vMerge/>
          </w:tcPr>
          <w:p w14:paraId="37B16F72" w14:textId="77777777" w:rsidR="00795EBB" w:rsidRPr="004F1371" w:rsidRDefault="00795EBB" w:rsidP="004F1371">
            <w:pPr>
              <w:pStyle w:val="TableTextEntries"/>
            </w:pPr>
          </w:p>
        </w:tc>
        <w:tc>
          <w:tcPr>
            <w:tcW w:w="819" w:type="pct"/>
            <w:vMerge/>
          </w:tcPr>
          <w:p w14:paraId="2D0D457A" w14:textId="77777777" w:rsidR="00795EBB" w:rsidRPr="004F1371" w:rsidRDefault="00795EBB" w:rsidP="004F1371">
            <w:pPr>
              <w:pStyle w:val="TableTextEntries"/>
            </w:pPr>
          </w:p>
        </w:tc>
        <w:tc>
          <w:tcPr>
            <w:tcW w:w="819" w:type="pct"/>
          </w:tcPr>
          <w:p w14:paraId="712F23B9" w14:textId="3064F0AD" w:rsidR="00795EBB" w:rsidRPr="004F1371" w:rsidRDefault="00A25D9B" w:rsidP="004F1371">
            <w:pPr>
              <w:pStyle w:val="TableTextEntries"/>
            </w:pPr>
            <w:r>
              <w:t xml:space="preserve">1.b </w:t>
            </w:r>
            <w:r w:rsidR="00795EBB" w:rsidRPr="004F1371">
              <w:t>Quality assurance and quality control teams regularly conduct quality assessment and control of clearance operations</w:t>
            </w:r>
          </w:p>
        </w:tc>
        <w:tc>
          <w:tcPr>
            <w:tcW w:w="819" w:type="pct"/>
          </w:tcPr>
          <w:p w14:paraId="387A5835" w14:textId="553E6900" w:rsidR="00795EBB" w:rsidRPr="004F1371" w:rsidRDefault="00795EBB" w:rsidP="004F1371">
            <w:pPr>
              <w:pStyle w:val="TableTextEntries"/>
            </w:pPr>
            <w:proofErr w:type="gramStart"/>
            <w:r w:rsidRPr="004F1371">
              <w:t>1.b</w:t>
            </w:r>
            <w:proofErr w:type="gramEnd"/>
            <w:r w:rsidRPr="004F1371">
              <w:t xml:space="preserve"> Milestone </w:t>
            </w:r>
            <w:r w:rsidR="003835F8" w:rsidRPr="004F1371">
              <w:t xml:space="preserve">partially </w:t>
            </w:r>
            <w:r w:rsidRPr="004F1371">
              <w:t xml:space="preserve">met. one </w:t>
            </w:r>
            <w:r w:rsidR="00ED49F4" w:rsidRPr="004F1371">
              <w:t>quality assurance</w:t>
            </w:r>
            <w:r w:rsidRPr="004F1371">
              <w:t>/</w:t>
            </w:r>
            <w:r w:rsidR="00ED49F4" w:rsidRPr="004F1371">
              <w:t xml:space="preserve">quality control </w:t>
            </w:r>
            <w:r w:rsidRPr="004F1371">
              <w:t>team has not been set</w:t>
            </w:r>
            <w:r w:rsidR="00B90EB9" w:rsidRPr="004F1371">
              <w:t xml:space="preserve"> </w:t>
            </w:r>
            <w:r w:rsidRPr="004F1371">
              <w:t>up</w:t>
            </w:r>
          </w:p>
          <w:p w14:paraId="4896C797" w14:textId="77777777" w:rsidR="00795EBB" w:rsidRPr="004F1371" w:rsidRDefault="00795EBB" w:rsidP="004F1371">
            <w:pPr>
              <w:pStyle w:val="TableTextEntries"/>
            </w:pPr>
          </w:p>
        </w:tc>
        <w:tc>
          <w:tcPr>
            <w:tcW w:w="833" w:type="pct"/>
          </w:tcPr>
          <w:p w14:paraId="5B73B9A1" w14:textId="77777777" w:rsidR="00795EBB" w:rsidRPr="004F1371" w:rsidRDefault="00795EBB" w:rsidP="004F1371">
            <w:pPr>
              <w:pStyle w:val="TableTextEntries"/>
            </w:pPr>
          </w:p>
        </w:tc>
      </w:tr>
      <w:tr w:rsidR="004F1371" w:rsidRPr="004F1371" w14:paraId="69CB4F28"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3C34973C" w14:textId="77777777" w:rsidR="00795EBB" w:rsidRPr="004F1371" w:rsidRDefault="00795EBB" w:rsidP="004F1371">
            <w:pPr>
              <w:pStyle w:val="TableTextEntries"/>
            </w:pPr>
          </w:p>
        </w:tc>
        <w:tc>
          <w:tcPr>
            <w:tcW w:w="819" w:type="pct"/>
            <w:vMerge/>
          </w:tcPr>
          <w:p w14:paraId="489AB76F" w14:textId="77777777" w:rsidR="00795EBB" w:rsidRPr="004F1371" w:rsidRDefault="00795EBB" w:rsidP="004F1371">
            <w:pPr>
              <w:pStyle w:val="TableTextEntries"/>
            </w:pPr>
          </w:p>
        </w:tc>
        <w:tc>
          <w:tcPr>
            <w:tcW w:w="819" w:type="pct"/>
            <w:vMerge/>
          </w:tcPr>
          <w:p w14:paraId="727BEC12" w14:textId="77777777" w:rsidR="00795EBB" w:rsidRPr="004F1371" w:rsidRDefault="00795EBB" w:rsidP="004F1371">
            <w:pPr>
              <w:pStyle w:val="TableTextEntries"/>
            </w:pPr>
          </w:p>
        </w:tc>
        <w:tc>
          <w:tcPr>
            <w:tcW w:w="819" w:type="pct"/>
          </w:tcPr>
          <w:p w14:paraId="171C6B13" w14:textId="564F19E3" w:rsidR="00795EBB" w:rsidRPr="004F1371" w:rsidRDefault="00795EBB" w:rsidP="004F1371">
            <w:pPr>
              <w:pStyle w:val="TableTextEntries"/>
            </w:pPr>
            <w:r w:rsidRPr="004F1371">
              <w:t xml:space="preserve">1.c Zero </w:t>
            </w:r>
            <w:r w:rsidR="003835F8" w:rsidRPr="004F1371">
              <w:t>unexploded ordnance</w:t>
            </w:r>
            <w:r w:rsidRPr="004F1371">
              <w:t xml:space="preserve">-related accident for </w:t>
            </w:r>
            <w:r w:rsidR="005E36BB" w:rsidRPr="004F1371">
              <w:t>de-miners</w:t>
            </w:r>
          </w:p>
        </w:tc>
        <w:tc>
          <w:tcPr>
            <w:tcW w:w="819" w:type="pct"/>
          </w:tcPr>
          <w:p w14:paraId="3844672F" w14:textId="77777777" w:rsidR="00795EBB" w:rsidRPr="004F1371" w:rsidRDefault="00795EBB" w:rsidP="004F1371">
            <w:pPr>
              <w:pStyle w:val="TableTextEntries"/>
            </w:pPr>
            <w:proofErr w:type="gramStart"/>
            <w:r w:rsidRPr="004F1371">
              <w:t>1.c</w:t>
            </w:r>
            <w:proofErr w:type="gramEnd"/>
            <w:r w:rsidRPr="004F1371">
              <w:t xml:space="preserve"> Milestone met. No accidents reported</w:t>
            </w:r>
          </w:p>
        </w:tc>
        <w:tc>
          <w:tcPr>
            <w:tcW w:w="833" w:type="pct"/>
          </w:tcPr>
          <w:p w14:paraId="33374127" w14:textId="77777777" w:rsidR="00795EBB" w:rsidRPr="004F1371" w:rsidRDefault="00795EBB" w:rsidP="004F1371">
            <w:pPr>
              <w:pStyle w:val="TableTextEntries"/>
            </w:pPr>
          </w:p>
        </w:tc>
      </w:tr>
      <w:tr w:rsidR="004F1371" w:rsidRPr="004F1371" w14:paraId="4399281E" w14:textId="77777777" w:rsidTr="008171B0">
        <w:trPr>
          <w:cantSplit/>
          <w:tblHeader w:val="0"/>
        </w:trPr>
        <w:tc>
          <w:tcPr>
            <w:tcW w:w="820" w:type="pct"/>
            <w:vMerge w:val="restart"/>
          </w:tcPr>
          <w:p w14:paraId="6F1614C2" w14:textId="77777777" w:rsidR="00795EBB" w:rsidRPr="004F1371" w:rsidRDefault="00795EBB" w:rsidP="004F1371">
            <w:pPr>
              <w:pStyle w:val="TableTextEntries"/>
            </w:pPr>
          </w:p>
        </w:tc>
        <w:tc>
          <w:tcPr>
            <w:tcW w:w="819" w:type="pct"/>
            <w:vMerge w:val="restart"/>
          </w:tcPr>
          <w:p w14:paraId="3D273AA8" w14:textId="77777777" w:rsidR="00795EBB" w:rsidRPr="004F1371" w:rsidRDefault="00795EBB" w:rsidP="004F1371">
            <w:pPr>
              <w:pStyle w:val="TableTextEntries"/>
            </w:pPr>
          </w:p>
        </w:tc>
        <w:tc>
          <w:tcPr>
            <w:tcW w:w="819" w:type="pct"/>
            <w:vMerge w:val="restart"/>
          </w:tcPr>
          <w:p w14:paraId="25021354" w14:textId="4242A77D" w:rsidR="00795EBB" w:rsidRPr="004F1371" w:rsidRDefault="00795EBB" w:rsidP="004F1371">
            <w:pPr>
              <w:pStyle w:val="TableTextEntries"/>
            </w:pPr>
            <w:r w:rsidRPr="004F1371">
              <w:t>2. Evidence of gender considerations integrated into unexploded ordnance clearance prioritisation process</w:t>
            </w:r>
            <w:r w:rsidR="003835F8" w:rsidRPr="004F1371">
              <w:t>,</w:t>
            </w:r>
            <w:r w:rsidRPr="004F1371">
              <w:t xml:space="preserve"> and access to cleared lands and victim assistance services</w:t>
            </w:r>
          </w:p>
        </w:tc>
        <w:tc>
          <w:tcPr>
            <w:tcW w:w="819" w:type="pct"/>
          </w:tcPr>
          <w:p w14:paraId="79DD1B0D" w14:textId="37797B32" w:rsidR="00795EBB" w:rsidRPr="004F1371" w:rsidRDefault="00795EBB" w:rsidP="00A25D9B">
            <w:pPr>
              <w:pStyle w:val="TableTextEntries"/>
            </w:pPr>
            <w:r w:rsidRPr="004F1371">
              <w:t xml:space="preserve">2.a </w:t>
            </w:r>
            <w:r w:rsidR="00A25D9B">
              <w:t xml:space="preserve">Number of </w:t>
            </w:r>
            <w:r w:rsidRPr="004F1371">
              <w:t xml:space="preserve">women </w:t>
            </w:r>
            <w:r w:rsidR="00A25D9B">
              <w:t xml:space="preserve">with </w:t>
            </w:r>
            <w:r w:rsidRPr="004F1371">
              <w:t>access to rehabilitation services</w:t>
            </w:r>
            <w:r w:rsidR="00A25D9B">
              <w:t xml:space="preserve"> </w:t>
            </w:r>
            <w:r w:rsidR="00581D43">
              <w:t>of land</w:t>
            </w:r>
            <w:r w:rsidRPr="004F1371">
              <w:t xml:space="preserve"> </w:t>
            </w:r>
          </w:p>
        </w:tc>
        <w:tc>
          <w:tcPr>
            <w:tcW w:w="819" w:type="pct"/>
            <w:vMerge w:val="restart"/>
          </w:tcPr>
          <w:p w14:paraId="3263C0F4" w14:textId="1024D802" w:rsidR="00795EBB" w:rsidRPr="004F1371" w:rsidRDefault="00432FC9" w:rsidP="004F1371">
            <w:pPr>
              <w:pStyle w:val="TableTextEntries"/>
            </w:pPr>
            <w:proofErr w:type="gramStart"/>
            <w:r w:rsidRPr="004F1371">
              <w:t>2.a</w:t>
            </w:r>
            <w:proofErr w:type="gramEnd"/>
            <w:r w:rsidRPr="004F1371">
              <w:t xml:space="preserve"> Milestone met. Women improved access to services. COPE support</w:t>
            </w:r>
            <w:r w:rsidR="003835F8" w:rsidRPr="004F1371">
              <w:t>ed</w:t>
            </w:r>
            <w:r w:rsidRPr="004F1371">
              <w:t xml:space="preserve"> a total of 818 people with disabilit</w:t>
            </w:r>
            <w:r w:rsidR="003835F8" w:rsidRPr="004F1371">
              <w:t>y</w:t>
            </w:r>
            <w:r w:rsidRPr="004F1371">
              <w:t>: 580 men and 238 women</w:t>
            </w:r>
            <w:r w:rsidR="003835F8" w:rsidRPr="004F1371">
              <w:t>. O</w:t>
            </w:r>
            <w:r w:rsidRPr="004F1371">
              <w:t xml:space="preserve">f this number 205 were </w:t>
            </w:r>
            <w:r w:rsidR="003835F8" w:rsidRPr="004F1371">
              <w:t xml:space="preserve">unexploded ordnance </w:t>
            </w:r>
            <w:r w:rsidRPr="004F1371">
              <w:t>survivors (60 female). With</w:t>
            </w:r>
            <w:r w:rsidR="00FB69E9">
              <w:t xml:space="preserve"> the Australian Government’s </w:t>
            </w:r>
            <w:r w:rsidRPr="004F1371">
              <w:t>s contribution, which represents about 20% of COPE’s total funding, COPE support</w:t>
            </w:r>
            <w:r w:rsidR="003835F8" w:rsidRPr="004F1371">
              <w:t>ed</w:t>
            </w:r>
            <w:r w:rsidRPr="004F1371">
              <w:t xml:space="preserve"> 164 people with disabilit</w:t>
            </w:r>
            <w:r w:rsidR="003835F8" w:rsidRPr="004F1371">
              <w:t>y</w:t>
            </w:r>
            <w:r w:rsidRPr="004F1371">
              <w:t xml:space="preserve">: 116 men, 48 women </w:t>
            </w:r>
            <w:r w:rsidR="003835F8" w:rsidRPr="004F1371">
              <w:t xml:space="preserve">including </w:t>
            </w:r>
            <w:r w:rsidRPr="004F1371">
              <w:t xml:space="preserve">48 men and 12 women were </w:t>
            </w:r>
            <w:r w:rsidR="003835F8" w:rsidRPr="004F1371">
              <w:t xml:space="preserve">unexploded ordnance </w:t>
            </w:r>
            <w:r w:rsidRPr="004F1371">
              <w:t>survivors</w:t>
            </w:r>
          </w:p>
        </w:tc>
        <w:tc>
          <w:tcPr>
            <w:tcW w:w="833" w:type="pct"/>
          </w:tcPr>
          <w:p w14:paraId="37EE149A" w14:textId="77777777" w:rsidR="00795EBB" w:rsidRPr="004F1371" w:rsidRDefault="00795EBB" w:rsidP="004F1371">
            <w:pPr>
              <w:pStyle w:val="TableTextEntries"/>
            </w:pPr>
          </w:p>
        </w:tc>
      </w:tr>
      <w:tr w:rsidR="004F1371" w:rsidRPr="004F1371" w14:paraId="6E7826D0"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65A4EE5F" w14:textId="77777777" w:rsidR="00795EBB" w:rsidRPr="004F1371" w:rsidRDefault="00795EBB" w:rsidP="004F1371">
            <w:pPr>
              <w:pStyle w:val="TableTextEntries"/>
            </w:pPr>
          </w:p>
        </w:tc>
        <w:tc>
          <w:tcPr>
            <w:tcW w:w="819" w:type="pct"/>
            <w:vMerge/>
          </w:tcPr>
          <w:p w14:paraId="0359ACCC" w14:textId="77777777" w:rsidR="00795EBB" w:rsidRPr="004F1371" w:rsidRDefault="00795EBB" w:rsidP="004F1371">
            <w:pPr>
              <w:pStyle w:val="TableTextEntries"/>
            </w:pPr>
          </w:p>
        </w:tc>
        <w:tc>
          <w:tcPr>
            <w:tcW w:w="819" w:type="pct"/>
            <w:vMerge/>
          </w:tcPr>
          <w:p w14:paraId="2246D25F" w14:textId="77777777" w:rsidR="00795EBB" w:rsidRPr="004F1371" w:rsidRDefault="00795EBB" w:rsidP="004F1371">
            <w:pPr>
              <w:pStyle w:val="TableTextEntries"/>
            </w:pPr>
          </w:p>
        </w:tc>
        <w:tc>
          <w:tcPr>
            <w:tcW w:w="819" w:type="pct"/>
          </w:tcPr>
          <w:p w14:paraId="12014C33" w14:textId="6DD2CDA2" w:rsidR="00795EBB" w:rsidRPr="004F1371" w:rsidRDefault="00795EBB" w:rsidP="004F1371">
            <w:pPr>
              <w:pStyle w:val="TableTextEntries"/>
            </w:pPr>
          </w:p>
        </w:tc>
        <w:tc>
          <w:tcPr>
            <w:tcW w:w="819" w:type="pct"/>
            <w:vMerge/>
          </w:tcPr>
          <w:p w14:paraId="56D4F128" w14:textId="77777777" w:rsidR="00795EBB" w:rsidRPr="004F1371" w:rsidRDefault="00795EBB" w:rsidP="004F1371">
            <w:pPr>
              <w:pStyle w:val="TableTextEntries"/>
            </w:pPr>
          </w:p>
        </w:tc>
        <w:tc>
          <w:tcPr>
            <w:tcW w:w="833" w:type="pct"/>
          </w:tcPr>
          <w:p w14:paraId="423460F3" w14:textId="77777777" w:rsidR="00795EBB" w:rsidRPr="004F1371" w:rsidRDefault="00795EBB" w:rsidP="004F1371">
            <w:pPr>
              <w:pStyle w:val="TableTextEntries"/>
            </w:pPr>
          </w:p>
        </w:tc>
      </w:tr>
      <w:tr w:rsidR="008171B0" w:rsidRPr="004F1371" w14:paraId="6737A6CD" w14:textId="77777777" w:rsidTr="008171B0">
        <w:trPr>
          <w:cantSplit/>
          <w:tblHeader w:val="0"/>
        </w:trPr>
        <w:tc>
          <w:tcPr>
            <w:tcW w:w="820" w:type="pct"/>
            <w:vMerge/>
          </w:tcPr>
          <w:p w14:paraId="1275DFEB" w14:textId="77777777" w:rsidR="008171B0" w:rsidRPr="004F1371" w:rsidRDefault="008171B0" w:rsidP="004F1371">
            <w:pPr>
              <w:pStyle w:val="TableTextEntries"/>
            </w:pPr>
          </w:p>
        </w:tc>
        <w:tc>
          <w:tcPr>
            <w:tcW w:w="819" w:type="pct"/>
            <w:vMerge/>
          </w:tcPr>
          <w:p w14:paraId="4F1BF2A4" w14:textId="77777777" w:rsidR="008171B0" w:rsidRPr="004F1371" w:rsidRDefault="008171B0" w:rsidP="004F1371">
            <w:pPr>
              <w:pStyle w:val="TableTextEntries"/>
            </w:pPr>
          </w:p>
        </w:tc>
        <w:tc>
          <w:tcPr>
            <w:tcW w:w="819" w:type="pct"/>
            <w:vMerge/>
          </w:tcPr>
          <w:p w14:paraId="7E386739" w14:textId="77777777" w:rsidR="008171B0" w:rsidRPr="004F1371" w:rsidRDefault="008171B0" w:rsidP="004F1371">
            <w:pPr>
              <w:pStyle w:val="TableTextEntries"/>
            </w:pPr>
          </w:p>
        </w:tc>
        <w:tc>
          <w:tcPr>
            <w:tcW w:w="819" w:type="pct"/>
          </w:tcPr>
          <w:p w14:paraId="54DCFA41" w14:textId="4A77EC07" w:rsidR="008171B0" w:rsidRPr="004F1371" w:rsidRDefault="00987191" w:rsidP="00581D43">
            <w:pPr>
              <w:pStyle w:val="TableTextEntries"/>
            </w:pPr>
            <w:r>
              <w:t xml:space="preserve">2.b. Number of </w:t>
            </w:r>
            <w:r w:rsidR="008171B0" w:rsidRPr="004F1371">
              <w:t xml:space="preserve">women </w:t>
            </w:r>
            <w:r>
              <w:t>benefiting</w:t>
            </w:r>
            <w:r w:rsidR="008171B0" w:rsidRPr="004F1371">
              <w:t xml:space="preserve"> from unexploded ordnance clearance</w:t>
            </w:r>
          </w:p>
        </w:tc>
        <w:tc>
          <w:tcPr>
            <w:tcW w:w="819" w:type="pct"/>
          </w:tcPr>
          <w:p w14:paraId="15C1A6BC" w14:textId="53085180" w:rsidR="008171B0" w:rsidRPr="004F1371" w:rsidRDefault="008171B0" w:rsidP="004F1371">
            <w:pPr>
              <w:pStyle w:val="TableTextEntries"/>
            </w:pPr>
            <w:proofErr w:type="gramStart"/>
            <w:r w:rsidRPr="004F1371">
              <w:t>2.b</w:t>
            </w:r>
            <w:proofErr w:type="gramEnd"/>
            <w:r w:rsidRPr="004F1371">
              <w:t xml:space="preserve"> Milestone not met.</w:t>
            </w:r>
          </w:p>
          <w:p w14:paraId="3C7975E4" w14:textId="012B745E" w:rsidR="008171B0" w:rsidRPr="004F1371" w:rsidRDefault="008171B0" w:rsidP="004F1371">
            <w:pPr>
              <w:pStyle w:val="TableTextEntries"/>
            </w:pPr>
            <w:r w:rsidRPr="004F1371">
              <w:t xml:space="preserve">Data is not available for the sector report </w:t>
            </w:r>
          </w:p>
        </w:tc>
        <w:tc>
          <w:tcPr>
            <w:tcW w:w="833" w:type="pct"/>
          </w:tcPr>
          <w:p w14:paraId="1AAC8359" w14:textId="77777777" w:rsidR="008171B0" w:rsidRPr="004F1371" w:rsidRDefault="008171B0" w:rsidP="004F1371">
            <w:pPr>
              <w:pStyle w:val="TableTextEntries"/>
            </w:pPr>
          </w:p>
        </w:tc>
      </w:tr>
      <w:tr w:rsidR="008171B0" w:rsidRPr="004F1371" w14:paraId="7F86493B"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5D06EC86" w14:textId="77777777" w:rsidR="008171B0" w:rsidRPr="004F1371" w:rsidRDefault="008171B0" w:rsidP="004F1371">
            <w:pPr>
              <w:pStyle w:val="TableTextEntries"/>
            </w:pPr>
          </w:p>
        </w:tc>
        <w:tc>
          <w:tcPr>
            <w:tcW w:w="819" w:type="pct"/>
            <w:vMerge w:val="restart"/>
          </w:tcPr>
          <w:p w14:paraId="6DACB9A7" w14:textId="77777777" w:rsidR="008171B0" w:rsidRPr="004F1371" w:rsidRDefault="008171B0" w:rsidP="004F1371">
            <w:pPr>
              <w:pStyle w:val="TableTextEntries"/>
            </w:pPr>
            <w:r w:rsidRPr="004F1371">
              <w:t>Strategy objective 6: Improved rural infrastructure, particularly roads and electrification</w:t>
            </w:r>
          </w:p>
        </w:tc>
        <w:tc>
          <w:tcPr>
            <w:tcW w:w="819" w:type="pct"/>
          </w:tcPr>
          <w:p w14:paraId="165B27DE" w14:textId="77777777" w:rsidR="008171B0" w:rsidRPr="004F1371" w:rsidRDefault="008171B0" w:rsidP="004F1371">
            <w:pPr>
              <w:pStyle w:val="TableTextEntries"/>
            </w:pPr>
            <w:r w:rsidRPr="004F1371">
              <w:t xml:space="preserve">1. Increased number of households with access to improved rural infrastructure </w:t>
            </w:r>
          </w:p>
        </w:tc>
        <w:tc>
          <w:tcPr>
            <w:tcW w:w="819" w:type="pct"/>
          </w:tcPr>
          <w:p w14:paraId="42152E37" w14:textId="77777777" w:rsidR="008171B0" w:rsidRPr="004F1371" w:rsidRDefault="008171B0" w:rsidP="004F1371">
            <w:pPr>
              <w:pStyle w:val="TableTextEntries"/>
            </w:pPr>
          </w:p>
        </w:tc>
        <w:tc>
          <w:tcPr>
            <w:tcW w:w="819" w:type="pct"/>
          </w:tcPr>
          <w:p w14:paraId="419AC128" w14:textId="77777777" w:rsidR="008171B0" w:rsidRPr="004F1371" w:rsidRDefault="008171B0" w:rsidP="004F1371">
            <w:pPr>
              <w:pStyle w:val="TableTextEntries"/>
            </w:pPr>
          </w:p>
        </w:tc>
        <w:tc>
          <w:tcPr>
            <w:tcW w:w="833" w:type="pct"/>
          </w:tcPr>
          <w:p w14:paraId="68F0F8D1" w14:textId="77777777" w:rsidR="008171B0" w:rsidRPr="004F1371" w:rsidRDefault="008171B0" w:rsidP="004F1371">
            <w:pPr>
              <w:pStyle w:val="TableTextEntries"/>
            </w:pPr>
          </w:p>
        </w:tc>
      </w:tr>
      <w:tr w:rsidR="008171B0" w:rsidRPr="004F1371" w14:paraId="30A0CFD4" w14:textId="77777777" w:rsidTr="008171B0">
        <w:trPr>
          <w:cantSplit/>
          <w:tblHeader w:val="0"/>
        </w:trPr>
        <w:tc>
          <w:tcPr>
            <w:tcW w:w="820" w:type="pct"/>
            <w:vMerge/>
          </w:tcPr>
          <w:p w14:paraId="5DB45E6F" w14:textId="77777777" w:rsidR="008171B0" w:rsidRPr="004F1371" w:rsidRDefault="008171B0" w:rsidP="004F1371">
            <w:pPr>
              <w:pStyle w:val="TableTextEntries"/>
            </w:pPr>
          </w:p>
        </w:tc>
        <w:tc>
          <w:tcPr>
            <w:tcW w:w="819" w:type="pct"/>
            <w:vMerge/>
          </w:tcPr>
          <w:p w14:paraId="6B97A7DB" w14:textId="77777777" w:rsidR="008171B0" w:rsidRPr="004F1371" w:rsidRDefault="008171B0" w:rsidP="004F1371">
            <w:pPr>
              <w:pStyle w:val="TableTextEntries"/>
            </w:pPr>
          </w:p>
        </w:tc>
        <w:tc>
          <w:tcPr>
            <w:tcW w:w="819" w:type="pct"/>
          </w:tcPr>
          <w:p w14:paraId="340F6D1A" w14:textId="77777777" w:rsidR="008171B0" w:rsidRPr="004F1371" w:rsidRDefault="008171B0" w:rsidP="004F1371">
            <w:pPr>
              <w:pStyle w:val="TableTextEntries"/>
            </w:pPr>
            <w:r w:rsidRPr="004F1371">
              <w:t xml:space="preserve">1.a. Number of additional households with access to improved roads </w:t>
            </w:r>
          </w:p>
        </w:tc>
        <w:tc>
          <w:tcPr>
            <w:tcW w:w="819" w:type="pct"/>
          </w:tcPr>
          <w:p w14:paraId="4ED951B1" w14:textId="7BEA889A" w:rsidR="008171B0" w:rsidRPr="004F1371" w:rsidRDefault="008171B0" w:rsidP="004F1371">
            <w:pPr>
              <w:pStyle w:val="TableTextEntries"/>
            </w:pPr>
            <w:r w:rsidRPr="004F1371">
              <w:t>1a.1 Northern Transport Network Improvement Project: (Australian outputs) 30 kilometres of section V of the main road paved providing improved road access to 6138 people and 1234 households</w:t>
            </w:r>
          </w:p>
        </w:tc>
        <w:tc>
          <w:tcPr>
            <w:tcW w:w="819" w:type="pct"/>
          </w:tcPr>
          <w:p w14:paraId="021FC593" w14:textId="3AF4D816" w:rsidR="008171B0" w:rsidRPr="004F1371" w:rsidRDefault="008171B0" w:rsidP="004F1371">
            <w:pPr>
              <w:pStyle w:val="TableTextEntries"/>
            </w:pPr>
            <w:r w:rsidRPr="004F1371">
              <w:t>1a.1 Milestone exceeded. 58 kilometres of section V of the (main road) paved, providing improved road access to 8000 people and 1500 households</w:t>
            </w:r>
          </w:p>
          <w:p w14:paraId="17EB5CD1" w14:textId="77777777" w:rsidR="008171B0" w:rsidRPr="004F1371" w:rsidRDefault="008171B0" w:rsidP="004F1371">
            <w:pPr>
              <w:pStyle w:val="TableTextEntries"/>
            </w:pPr>
          </w:p>
        </w:tc>
        <w:tc>
          <w:tcPr>
            <w:tcW w:w="833" w:type="pct"/>
          </w:tcPr>
          <w:p w14:paraId="3B546B2F" w14:textId="77777777" w:rsidR="008171B0" w:rsidRPr="004F1371" w:rsidRDefault="008171B0" w:rsidP="004F1371">
            <w:pPr>
              <w:pStyle w:val="TableTextEntries"/>
            </w:pPr>
          </w:p>
        </w:tc>
      </w:tr>
      <w:tr w:rsidR="008171B0" w:rsidRPr="004F1371" w14:paraId="0BC16C11"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21DA2CDE" w14:textId="77777777" w:rsidR="008171B0" w:rsidRPr="004F1371" w:rsidRDefault="008171B0" w:rsidP="004F1371">
            <w:pPr>
              <w:pStyle w:val="TableTextEntries"/>
            </w:pPr>
          </w:p>
        </w:tc>
        <w:tc>
          <w:tcPr>
            <w:tcW w:w="819" w:type="pct"/>
            <w:vMerge w:val="restart"/>
          </w:tcPr>
          <w:p w14:paraId="49F7FA31" w14:textId="77777777" w:rsidR="008171B0" w:rsidRPr="004F1371" w:rsidRDefault="008171B0" w:rsidP="004F1371">
            <w:pPr>
              <w:pStyle w:val="TableTextEntries"/>
            </w:pPr>
          </w:p>
        </w:tc>
        <w:tc>
          <w:tcPr>
            <w:tcW w:w="819" w:type="pct"/>
            <w:vMerge w:val="restart"/>
          </w:tcPr>
          <w:p w14:paraId="494616D2" w14:textId="77777777" w:rsidR="008171B0" w:rsidRPr="004F1371" w:rsidRDefault="008171B0" w:rsidP="004F1371">
            <w:pPr>
              <w:pStyle w:val="TableTextEntries"/>
            </w:pPr>
          </w:p>
        </w:tc>
        <w:tc>
          <w:tcPr>
            <w:tcW w:w="819" w:type="pct"/>
          </w:tcPr>
          <w:p w14:paraId="20E65B25" w14:textId="77777777" w:rsidR="008171B0" w:rsidRPr="004F1371" w:rsidRDefault="008171B0" w:rsidP="004F1371">
            <w:pPr>
              <w:pStyle w:val="TableTextEntries"/>
            </w:pPr>
            <w:r w:rsidRPr="004F1371">
              <w:t>1a.2 Northern Transport Network Improvement Project: rural feeder roads (Australian outputs) contract signed, equipment mobilised on sites and civil works commenced</w:t>
            </w:r>
          </w:p>
          <w:p w14:paraId="404360A6" w14:textId="77777777" w:rsidR="008171B0" w:rsidRPr="004F1371" w:rsidRDefault="008171B0" w:rsidP="004F1371">
            <w:pPr>
              <w:pStyle w:val="TableTextEntries"/>
            </w:pPr>
          </w:p>
        </w:tc>
        <w:tc>
          <w:tcPr>
            <w:tcW w:w="819" w:type="pct"/>
          </w:tcPr>
          <w:p w14:paraId="73DFA1B5" w14:textId="77777777" w:rsidR="008171B0" w:rsidRPr="004F1371" w:rsidRDefault="008171B0" w:rsidP="004F1371">
            <w:pPr>
              <w:pStyle w:val="TableTextEntries"/>
            </w:pPr>
            <w:r w:rsidRPr="004F1371">
              <w:t>1a.2 Milestone met</w:t>
            </w:r>
          </w:p>
          <w:p w14:paraId="654BA20D" w14:textId="61CD84A8" w:rsidR="008171B0" w:rsidRPr="004F1371" w:rsidRDefault="008171B0" w:rsidP="004F1371">
            <w:pPr>
              <w:pStyle w:val="TableTextEntries"/>
            </w:pPr>
            <w:r w:rsidRPr="004F1371">
              <w:t>Four contracts have been signed. Civil work started in January 2013</w:t>
            </w:r>
          </w:p>
          <w:p w14:paraId="2194ABF5" w14:textId="77777777" w:rsidR="008171B0" w:rsidRPr="004F1371" w:rsidRDefault="008171B0" w:rsidP="004F1371">
            <w:pPr>
              <w:pStyle w:val="TableTextEntries"/>
            </w:pPr>
          </w:p>
        </w:tc>
        <w:tc>
          <w:tcPr>
            <w:tcW w:w="833" w:type="pct"/>
          </w:tcPr>
          <w:p w14:paraId="5F95AAAC" w14:textId="77777777" w:rsidR="008171B0" w:rsidRPr="004F1371" w:rsidRDefault="008171B0" w:rsidP="004F1371">
            <w:pPr>
              <w:pStyle w:val="TableTextEntries"/>
            </w:pPr>
          </w:p>
        </w:tc>
      </w:tr>
      <w:tr w:rsidR="008171B0" w:rsidRPr="004F1371" w14:paraId="18AA3437" w14:textId="77777777" w:rsidTr="008171B0">
        <w:trPr>
          <w:cantSplit/>
          <w:tblHeader w:val="0"/>
        </w:trPr>
        <w:tc>
          <w:tcPr>
            <w:tcW w:w="820" w:type="pct"/>
            <w:vMerge/>
          </w:tcPr>
          <w:p w14:paraId="165B8B04" w14:textId="77777777" w:rsidR="008171B0" w:rsidRPr="004F1371" w:rsidRDefault="008171B0" w:rsidP="004F1371">
            <w:pPr>
              <w:pStyle w:val="TableTextEntries"/>
            </w:pPr>
          </w:p>
        </w:tc>
        <w:tc>
          <w:tcPr>
            <w:tcW w:w="819" w:type="pct"/>
            <w:vMerge/>
          </w:tcPr>
          <w:p w14:paraId="50F0CCD4" w14:textId="77777777" w:rsidR="008171B0" w:rsidRPr="004F1371" w:rsidRDefault="008171B0" w:rsidP="004F1371">
            <w:pPr>
              <w:pStyle w:val="TableTextEntries"/>
            </w:pPr>
          </w:p>
        </w:tc>
        <w:tc>
          <w:tcPr>
            <w:tcW w:w="819" w:type="pct"/>
            <w:vMerge/>
          </w:tcPr>
          <w:p w14:paraId="40EEB995" w14:textId="77777777" w:rsidR="008171B0" w:rsidRPr="004F1371" w:rsidRDefault="008171B0" w:rsidP="004F1371">
            <w:pPr>
              <w:pStyle w:val="TableTextEntries"/>
            </w:pPr>
          </w:p>
        </w:tc>
        <w:tc>
          <w:tcPr>
            <w:tcW w:w="819" w:type="pct"/>
          </w:tcPr>
          <w:p w14:paraId="2152576E" w14:textId="246716BF" w:rsidR="008171B0" w:rsidRPr="004F1371" w:rsidRDefault="008171B0" w:rsidP="004F1371">
            <w:pPr>
              <w:pStyle w:val="TableTextEntries"/>
            </w:pPr>
            <w:r w:rsidRPr="004F1371">
              <w:t>1a.3 Northern Transport Network Improvement Project: 90% of total project completed</w:t>
            </w:r>
          </w:p>
        </w:tc>
        <w:tc>
          <w:tcPr>
            <w:tcW w:w="819" w:type="pct"/>
          </w:tcPr>
          <w:p w14:paraId="6EF0E9AE" w14:textId="77777777" w:rsidR="008171B0" w:rsidRPr="004F1371" w:rsidRDefault="008171B0" w:rsidP="004F1371">
            <w:pPr>
              <w:pStyle w:val="TableTextEntries"/>
            </w:pPr>
            <w:r w:rsidRPr="004F1371">
              <w:t>1a.3 Milestone met</w:t>
            </w:r>
          </w:p>
          <w:p w14:paraId="2B41A66F" w14:textId="21E06CF6" w:rsidR="008171B0" w:rsidRPr="004F1371" w:rsidRDefault="008171B0" w:rsidP="004F1371">
            <w:pPr>
              <w:pStyle w:val="TableTextEntries"/>
            </w:pPr>
            <w:r w:rsidRPr="004F1371">
              <w:t>Physical progress 90% of total project completed</w:t>
            </w:r>
          </w:p>
        </w:tc>
        <w:tc>
          <w:tcPr>
            <w:tcW w:w="833" w:type="pct"/>
          </w:tcPr>
          <w:p w14:paraId="109AAB4C" w14:textId="77777777" w:rsidR="008171B0" w:rsidRPr="004F1371" w:rsidRDefault="008171B0" w:rsidP="004F1371">
            <w:pPr>
              <w:pStyle w:val="TableTextEntries"/>
            </w:pPr>
          </w:p>
        </w:tc>
      </w:tr>
      <w:tr w:rsidR="008171B0" w:rsidRPr="004F1371" w14:paraId="13963127"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54A1DEE5" w14:textId="77777777" w:rsidR="008171B0" w:rsidRPr="004F1371" w:rsidRDefault="008171B0" w:rsidP="004F1371">
            <w:pPr>
              <w:pStyle w:val="TableTextEntries"/>
            </w:pPr>
          </w:p>
        </w:tc>
        <w:tc>
          <w:tcPr>
            <w:tcW w:w="819" w:type="pct"/>
            <w:vMerge/>
          </w:tcPr>
          <w:p w14:paraId="60F0EAE1" w14:textId="77777777" w:rsidR="008171B0" w:rsidRPr="004F1371" w:rsidRDefault="008171B0" w:rsidP="004F1371">
            <w:pPr>
              <w:pStyle w:val="TableTextEntries"/>
            </w:pPr>
          </w:p>
        </w:tc>
        <w:tc>
          <w:tcPr>
            <w:tcW w:w="819" w:type="pct"/>
            <w:vMerge w:val="restart"/>
          </w:tcPr>
          <w:p w14:paraId="156FA4F7" w14:textId="39C0EF76" w:rsidR="008171B0" w:rsidRPr="004F1371" w:rsidRDefault="008171B0" w:rsidP="004F1371">
            <w:pPr>
              <w:pStyle w:val="TableTextEntries"/>
            </w:pPr>
            <w:r w:rsidRPr="004F1371">
              <w:t>1.b. Number of additional households with access to main grid or off-grid electricity</w:t>
            </w:r>
          </w:p>
        </w:tc>
        <w:tc>
          <w:tcPr>
            <w:tcW w:w="819" w:type="pct"/>
          </w:tcPr>
          <w:p w14:paraId="7718486E" w14:textId="77777777" w:rsidR="008171B0" w:rsidRPr="004F1371" w:rsidRDefault="008171B0" w:rsidP="004F1371">
            <w:pPr>
              <w:pStyle w:val="TableTextEntries"/>
            </w:pPr>
            <w:r w:rsidRPr="004F1371">
              <w:t>1b.1 Rural Electrification Program Phase 1: (Australian outputs) national grid access to an additional 5650 households</w:t>
            </w:r>
          </w:p>
        </w:tc>
        <w:tc>
          <w:tcPr>
            <w:tcW w:w="819" w:type="pct"/>
          </w:tcPr>
          <w:p w14:paraId="799FA6B5" w14:textId="39AF5065" w:rsidR="008171B0" w:rsidRPr="004F1371" w:rsidRDefault="008171B0" w:rsidP="004F1371">
            <w:pPr>
              <w:pStyle w:val="TableTextEntries"/>
            </w:pPr>
            <w:r w:rsidRPr="004F1371">
              <w:t>1b.1 Milestone partially met</w:t>
            </w:r>
          </w:p>
          <w:p w14:paraId="7CCB6C9B" w14:textId="15ABF3F5" w:rsidR="008171B0" w:rsidRPr="004F1371" w:rsidRDefault="008171B0" w:rsidP="004F1371">
            <w:pPr>
              <w:pStyle w:val="TableTextEntries"/>
            </w:pPr>
            <w:r w:rsidRPr="004F1371">
              <w:t>(Australian outputs) national grid access to an additional 2193 households</w:t>
            </w:r>
          </w:p>
        </w:tc>
        <w:tc>
          <w:tcPr>
            <w:tcW w:w="833" w:type="pct"/>
          </w:tcPr>
          <w:p w14:paraId="23126415" w14:textId="77777777" w:rsidR="008171B0" w:rsidRPr="004F1371" w:rsidRDefault="008171B0" w:rsidP="004F1371">
            <w:pPr>
              <w:pStyle w:val="TableTextEntries"/>
            </w:pPr>
          </w:p>
        </w:tc>
      </w:tr>
      <w:tr w:rsidR="008171B0" w:rsidRPr="004F1371" w14:paraId="0C87637E" w14:textId="77777777" w:rsidTr="008171B0">
        <w:trPr>
          <w:cantSplit/>
          <w:tblHeader w:val="0"/>
        </w:trPr>
        <w:tc>
          <w:tcPr>
            <w:tcW w:w="820" w:type="pct"/>
            <w:vMerge/>
          </w:tcPr>
          <w:p w14:paraId="03E86F80" w14:textId="77777777" w:rsidR="008171B0" w:rsidRPr="004F1371" w:rsidRDefault="008171B0" w:rsidP="004F1371">
            <w:pPr>
              <w:pStyle w:val="TableTextEntries"/>
            </w:pPr>
          </w:p>
        </w:tc>
        <w:tc>
          <w:tcPr>
            <w:tcW w:w="819" w:type="pct"/>
            <w:vMerge/>
          </w:tcPr>
          <w:p w14:paraId="070A3C2C" w14:textId="77777777" w:rsidR="008171B0" w:rsidRPr="004F1371" w:rsidRDefault="008171B0" w:rsidP="004F1371">
            <w:pPr>
              <w:pStyle w:val="TableTextEntries"/>
            </w:pPr>
          </w:p>
        </w:tc>
        <w:tc>
          <w:tcPr>
            <w:tcW w:w="819" w:type="pct"/>
            <w:vMerge/>
          </w:tcPr>
          <w:p w14:paraId="2EB32014" w14:textId="77777777" w:rsidR="008171B0" w:rsidRPr="004F1371" w:rsidRDefault="008171B0" w:rsidP="004F1371">
            <w:pPr>
              <w:pStyle w:val="TableTextEntries"/>
            </w:pPr>
          </w:p>
        </w:tc>
        <w:tc>
          <w:tcPr>
            <w:tcW w:w="819" w:type="pct"/>
          </w:tcPr>
          <w:p w14:paraId="28E26CAB" w14:textId="77777777" w:rsidR="008171B0" w:rsidRPr="004F1371" w:rsidRDefault="008171B0" w:rsidP="004F1371">
            <w:pPr>
              <w:pStyle w:val="TableTextEntries"/>
            </w:pPr>
            <w:r w:rsidRPr="004F1371">
              <w:t>1b.2 Rural Electrification Program Phase 1: (Australian outputs) off grid electrification to 5220 households</w:t>
            </w:r>
          </w:p>
        </w:tc>
        <w:tc>
          <w:tcPr>
            <w:tcW w:w="819" w:type="pct"/>
          </w:tcPr>
          <w:p w14:paraId="116FA7F4" w14:textId="00BAB980" w:rsidR="008171B0" w:rsidRPr="004F1371" w:rsidRDefault="008171B0" w:rsidP="004F1371">
            <w:pPr>
              <w:pStyle w:val="TableTextEntries"/>
            </w:pPr>
            <w:r w:rsidRPr="004F1371">
              <w:t xml:space="preserve">1b.2 Milestone exceeded </w:t>
            </w:r>
          </w:p>
          <w:p w14:paraId="038AE83A" w14:textId="26A4F7C1" w:rsidR="008171B0" w:rsidRPr="004F1371" w:rsidRDefault="008171B0" w:rsidP="004F1371">
            <w:pPr>
              <w:pStyle w:val="TableTextEntries"/>
            </w:pPr>
            <w:r w:rsidRPr="004F1371">
              <w:t>(Australian outputs) off grid electrification to 6800 households</w:t>
            </w:r>
          </w:p>
        </w:tc>
        <w:tc>
          <w:tcPr>
            <w:tcW w:w="833" w:type="pct"/>
          </w:tcPr>
          <w:p w14:paraId="02FBAF79" w14:textId="77777777" w:rsidR="008171B0" w:rsidRPr="004F1371" w:rsidRDefault="008171B0" w:rsidP="004F1371">
            <w:pPr>
              <w:pStyle w:val="TableTextEntries"/>
            </w:pPr>
          </w:p>
        </w:tc>
      </w:tr>
      <w:tr w:rsidR="008171B0" w:rsidRPr="004F1371" w14:paraId="55D76D9B"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41008489" w14:textId="77777777" w:rsidR="008171B0" w:rsidRPr="004F1371" w:rsidRDefault="008171B0" w:rsidP="004F1371">
            <w:pPr>
              <w:pStyle w:val="TableTextEntries"/>
            </w:pPr>
          </w:p>
        </w:tc>
        <w:tc>
          <w:tcPr>
            <w:tcW w:w="819" w:type="pct"/>
            <w:vMerge/>
          </w:tcPr>
          <w:p w14:paraId="4BE9493C" w14:textId="77777777" w:rsidR="008171B0" w:rsidRPr="004F1371" w:rsidRDefault="008171B0" w:rsidP="004F1371">
            <w:pPr>
              <w:pStyle w:val="TableTextEntries"/>
            </w:pPr>
          </w:p>
        </w:tc>
        <w:tc>
          <w:tcPr>
            <w:tcW w:w="819" w:type="pct"/>
            <w:vMerge/>
          </w:tcPr>
          <w:p w14:paraId="4FAB6CAB" w14:textId="77777777" w:rsidR="008171B0" w:rsidRPr="004F1371" w:rsidRDefault="008171B0" w:rsidP="004F1371">
            <w:pPr>
              <w:pStyle w:val="TableTextEntries"/>
            </w:pPr>
          </w:p>
        </w:tc>
        <w:tc>
          <w:tcPr>
            <w:tcW w:w="819" w:type="pct"/>
          </w:tcPr>
          <w:p w14:paraId="7E74CF35" w14:textId="77777777" w:rsidR="008171B0" w:rsidRPr="004F1371" w:rsidRDefault="008171B0" w:rsidP="004F1371">
            <w:pPr>
              <w:pStyle w:val="TableTextEntries"/>
            </w:pPr>
          </w:p>
        </w:tc>
        <w:tc>
          <w:tcPr>
            <w:tcW w:w="819" w:type="pct"/>
          </w:tcPr>
          <w:p w14:paraId="623E2474" w14:textId="77777777" w:rsidR="008171B0" w:rsidRPr="004F1371" w:rsidRDefault="008171B0" w:rsidP="004F1371">
            <w:pPr>
              <w:pStyle w:val="TableTextEntries"/>
            </w:pPr>
          </w:p>
        </w:tc>
        <w:tc>
          <w:tcPr>
            <w:tcW w:w="833" w:type="pct"/>
          </w:tcPr>
          <w:p w14:paraId="05096E41" w14:textId="77777777" w:rsidR="008171B0" w:rsidRPr="004F1371" w:rsidRDefault="008171B0" w:rsidP="004F1371">
            <w:pPr>
              <w:pStyle w:val="TableTextEntries"/>
            </w:pPr>
          </w:p>
        </w:tc>
      </w:tr>
      <w:tr w:rsidR="008171B0" w:rsidRPr="004F1371" w14:paraId="17A7BAB5" w14:textId="77777777" w:rsidTr="008171B0">
        <w:trPr>
          <w:cantSplit/>
          <w:tblHeader w:val="0"/>
        </w:trPr>
        <w:tc>
          <w:tcPr>
            <w:tcW w:w="820" w:type="pct"/>
            <w:vMerge/>
          </w:tcPr>
          <w:p w14:paraId="4494C3C7" w14:textId="77777777" w:rsidR="008171B0" w:rsidRPr="004F1371" w:rsidRDefault="008171B0" w:rsidP="004F1371">
            <w:pPr>
              <w:pStyle w:val="TableTextEntries"/>
            </w:pPr>
          </w:p>
        </w:tc>
        <w:tc>
          <w:tcPr>
            <w:tcW w:w="819" w:type="pct"/>
            <w:vMerge/>
          </w:tcPr>
          <w:p w14:paraId="1A27756C" w14:textId="77777777" w:rsidR="008171B0" w:rsidRPr="004F1371" w:rsidRDefault="008171B0" w:rsidP="004F1371">
            <w:pPr>
              <w:pStyle w:val="TableTextEntries"/>
            </w:pPr>
          </w:p>
        </w:tc>
        <w:tc>
          <w:tcPr>
            <w:tcW w:w="819" w:type="pct"/>
            <w:vMerge/>
          </w:tcPr>
          <w:p w14:paraId="76D078B0" w14:textId="77777777" w:rsidR="008171B0" w:rsidRPr="004F1371" w:rsidRDefault="008171B0" w:rsidP="004F1371">
            <w:pPr>
              <w:pStyle w:val="TableTextEntries"/>
            </w:pPr>
          </w:p>
        </w:tc>
        <w:tc>
          <w:tcPr>
            <w:tcW w:w="819" w:type="pct"/>
          </w:tcPr>
          <w:p w14:paraId="36B2EA94" w14:textId="21C15C34" w:rsidR="008171B0" w:rsidRPr="004F1371" w:rsidRDefault="008171B0" w:rsidP="004F1371">
            <w:pPr>
              <w:pStyle w:val="TableTextEntries"/>
            </w:pPr>
            <w:r w:rsidRPr="004F1371">
              <w:t>1b.4 Rural Electrification Program Phase 1: All project components completed</w:t>
            </w:r>
          </w:p>
        </w:tc>
        <w:tc>
          <w:tcPr>
            <w:tcW w:w="819" w:type="pct"/>
          </w:tcPr>
          <w:p w14:paraId="08DE0650" w14:textId="77777777" w:rsidR="008171B0" w:rsidRPr="004F1371" w:rsidRDefault="008171B0" w:rsidP="004F1371">
            <w:pPr>
              <w:pStyle w:val="TableTextEntries"/>
            </w:pPr>
            <w:r w:rsidRPr="004F1371">
              <w:t xml:space="preserve">1.b.4 Milestone partially met </w:t>
            </w:r>
          </w:p>
          <w:p w14:paraId="48A4D6AC" w14:textId="77777777" w:rsidR="008171B0" w:rsidRPr="004F1371" w:rsidRDefault="008171B0" w:rsidP="004F1371">
            <w:pPr>
              <w:pStyle w:val="TableTextEntries"/>
            </w:pPr>
            <w:r w:rsidRPr="004F1371">
              <w:t>A total of 65 897 households electrified on grid and off grid, exceeding 65 000 households target. Some activities not yet complete</w:t>
            </w:r>
          </w:p>
        </w:tc>
        <w:tc>
          <w:tcPr>
            <w:tcW w:w="833" w:type="pct"/>
          </w:tcPr>
          <w:p w14:paraId="76CC5361" w14:textId="77777777" w:rsidR="008171B0" w:rsidRPr="004F1371" w:rsidRDefault="008171B0" w:rsidP="004F1371">
            <w:pPr>
              <w:pStyle w:val="TableTextEntries"/>
            </w:pPr>
          </w:p>
        </w:tc>
      </w:tr>
      <w:tr w:rsidR="008171B0" w:rsidRPr="004F1371" w14:paraId="3000C9D7"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0EFE00FC" w14:textId="77777777" w:rsidR="008171B0" w:rsidRPr="004F1371" w:rsidRDefault="008171B0" w:rsidP="004F1371">
            <w:pPr>
              <w:pStyle w:val="TableTextEntries"/>
            </w:pPr>
          </w:p>
        </w:tc>
        <w:tc>
          <w:tcPr>
            <w:tcW w:w="819" w:type="pct"/>
            <w:vMerge w:val="restart"/>
          </w:tcPr>
          <w:p w14:paraId="41788E07" w14:textId="77777777" w:rsidR="008171B0" w:rsidRPr="004F1371" w:rsidRDefault="008171B0" w:rsidP="004F1371">
            <w:pPr>
              <w:pStyle w:val="TableTextEntries"/>
            </w:pPr>
          </w:p>
        </w:tc>
        <w:tc>
          <w:tcPr>
            <w:tcW w:w="819" w:type="pct"/>
          </w:tcPr>
          <w:p w14:paraId="48ED6B26" w14:textId="77777777" w:rsidR="008171B0" w:rsidRPr="004F1371" w:rsidRDefault="008171B0" w:rsidP="004F1371">
            <w:pPr>
              <w:pStyle w:val="TableTextEntries"/>
            </w:pPr>
            <w:r w:rsidRPr="004F1371">
              <w:t>1.c. Kilometres of roads constructed, rehabilitated or maintained</w:t>
            </w:r>
          </w:p>
        </w:tc>
        <w:tc>
          <w:tcPr>
            <w:tcW w:w="819" w:type="pct"/>
          </w:tcPr>
          <w:p w14:paraId="57346B04" w14:textId="2F5AEB5D" w:rsidR="008171B0" w:rsidRPr="004F1371" w:rsidRDefault="008171B0" w:rsidP="00987191">
            <w:pPr>
              <w:pStyle w:val="TableTextEntries"/>
            </w:pPr>
            <w:r w:rsidRPr="004F1371">
              <w:t>1.c. Poverty Reduction Fund –kilometres of rural access roads constructed, rehabilitated or maintained</w:t>
            </w:r>
          </w:p>
        </w:tc>
        <w:tc>
          <w:tcPr>
            <w:tcW w:w="819" w:type="pct"/>
          </w:tcPr>
          <w:p w14:paraId="10FA6CF8" w14:textId="14DD7F5F" w:rsidR="008171B0" w:rsidRPr="004F1371" w:rsidRDefault="008171B0" w:rsidP="004F1371">
            <w:pPr>
              <w:pStyle w:val="TableTextEntries"/>
            </w:pPr>
            <w:r w:rsidRPr="004F1371">
              <w:t>1.c. Milestone not met</w:t>
            </w:r>
            <w:r w:rsidRPr="004F1371">
              <w:br/>
              <w:t>Ten kilometres of rural access roads constructed and rehabilitated</w:t>
            </w:r>
          </w:p>
        </w:tc>
        <w:tc>
          <w:tcPr>
            <w:tcW w:w="833" w:type="pct"/>
          </w:tcPr>
          <w:p w14:paraId="72332AE0" w14:textId="77777777" w:rsidR="008171B0" w:rsidRPr="004F1371" w:rsidRDefault="008171B0" w:rsidP="004F1371">
            <w:pPr>
              <w:pStyle w:val="TableTextEntries"/>
            </w:pPr>
          </w:p>
        </w:tc>
      </w:tr>
      <w:tr w:rsidR="008171B0" w:rsidRPr="004F1371" w14:paraId="3E04501D" w14:textId="77777777" w:rsidTr="008171B0">
        <w:trPr>
          <w:cantSplit/>
          <w:tblHeader w:val="0"/>
        </w:trPr>
        <w:tc>
          <w:tcPr>
            <w:tcW w:w="820" w:type="pct"/>
            <w:vMerge/>
          </w:tcPr>
          <w:p w14:paraId="294BF754" w14:textId="77777777" w:rsidR="008171B0" w:rsidRPr="004F1371" w:rsidRDefault="008171B0" w:rsidP="004F1371">
            <w:pPr>
              <w:pStyle w:val="TableTextEntries"/>
            </w:pPr>
          </w:p>
        </w:tc>
        <w:tc>
          <w:tcPr>
            <w:tcW w:w="819" w:type="pct"/>
            <w:vMerge/>
          </w:tcPr>
          <w:p w14:paraId="625C0A29" w14:textId="77777777" w:rsidR="008171B0" w:rsidRPr="004F1371" w:rsidRDefault="008171B0" w:rsidP="004F1371">
            <w:pPr>
              <w:pStyle w:val="TableTextEntries"/>
            </w:pPr>
          </w:p>
        </w:tc>
        <w:tc>
          <w:tcPr>
            <w:tcW w:w="819" w:type="pct"/>
          </w:tcPr>
          <w:p w14:paraId="7FFEAD05" w14:textId="77777777" w:rsidR="008171B0" w:rsidRPr="004F1371" w:rsidRDefault="008171B0" w:rsidP="004F1371">
            <w:pPr>
              <w:pStyle w:val="TableTextEntries"/>
            </w:pPr>
            <w:r w:rsidRPr="004F1371">
              <w:t>1.d. Number of people provided with increased access to safe water</w:t>
            </w:r>
          </w:p>
        </w:tc>
        <w:tc>
          <w:tcPr>
            <w:tcW w:w="819" w:type="pct"/>
          </w:tcPr>
          <w:p w14:paraId="684088C2" w14:textId="55488AC3" w:rsidR="008171B0" w:rsidRPr="004F1371" w:rsidRDefault="00987191" w:rsidP="004F1371">
            <w:pPr>
              <w:pStyle w:val="TableTextEntries"/>
            </w:pPr>
            <w:r>
              <w:t xml:space="preserve">1.d Poverty Reduction Fund – </w:t>
            </w:r>
            <w:r w:rsidR="008171B0" w:rsidRPr="004F1371">
              <w:t>number of people provided with increased access to safe water</w:t>
            </w:r>
          </w:p>
        </w:tc>
        <w:tc>
          <w:tcPr>
            <w:tcW w:w="819" w:type="pct"/>
          </w:tcPr>
          <w:p w14:paraId="0ECB62B5" w14:textId="77777777" w:rsidR="008171B0" w:rsidRPr="004F1371" w:rsidRDefault="008171B0" w:rsidP="004F1371">
            <w:pPr>
              <w:pStyle w:val="TableTextEntries"/>
            </w:pPr>
            <w:r w:rsidRPr="004F1371">
              <w:t>1.d Milestone not met</w:t>
            </w:r>
          </w:p>
          <w:p w14:paraId="2B966045" w14:textId="0AD0C32E" w:rsidR="008171B0" w:rsidRPr="004F1371" w:rsidRDefault="008171B0" w:rsidP="004F1371">
            <w:pPr>
              <w:pStyle w:val="TableTextEntries"/>
            </w:pPr>
            <w:r w:rsidRPr="004F1371">
              <w:t>A total of 5233 people (2550 women) provided with increased access to safe water</w:t>
            </w:r>
          </w:p>
        </w:tc>
        <w:tc>
          <w:tcPr>
            <w:tcW w:w="833" w:type="pct"/>
          </w:tcPr>
          <w:p w14:paraId="42F7F87B" w14:textId="77777777" w:rsidR="008171B0" w:rsidRPr="004F1371" w:rsidRDefault="008171B0" w:rsidP="004F1371">
            <w:pPr>
              <w:pStyle w:val="TableTextEntries"/>
            </w:pPr>
          </w:p>
        </w:tc>
      </w:tr>
      <w:tr w:rsidR="008171B0" w:rsidRPr="004F1371" w14:paraId="40251634"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1159F30D" w14:textId="77777777" w:rsidR="008171B0" w:rsidRPr="004F1371" w:rsidRDefault="008171B0" w:rsidP="004F1371">
            <w:pPr>
              <w:pStyle w:val="TableTextEntries"/>
            </w:pPr>
          </w:p>
        </w:tc>
        <w:tc>
          <w:tcPr>
            <w:tcW w:w="819" w:type="pct"/>
            <w:vMerge w:val="restart"/>
          </w:tcPr>
          <w:p w14:paraId="42CDF9DD" w14:textId="77777777" w:rsidR="008171B0" w:rsidRPr="004F1371" w:rsidRDefault="008171B0" w:rsidP="004F1371">
            <w:pPr>
              <w:pStyle w:val="TableTextEntries"/>
            </w:pPr>
          </w:p>
        </w:tc>
        <w:tc>
          <w:tcPr>
            <w:tcW w:w="819" w:type="pct"/>
            <w:vMerge w:val="restart"/>
          </w:tcPr>
          <w:p w14:paraId="72F75957" w14:textId="77777777" w:rsidR="008171B0" w:rsidRPr="004F1371" w:rsidRDefault="008171B0" w:rsidP="004F1371">
            <w:pPr>
              <w:pStyle w:val="TableTextEntries"/>
            </w:pPr>
            <w:r w:rsidRPr="004F1371">
              <w:t>2. Increased number of poor rural women with access to improved rural infrastructure</w:t>
            </w:r>
          </w:p>
          <w:p w14:paraId="162B5871" w14:textId="77777777" w:rsidR="008171B0" w:rsidRPr="004F1371" w:rsidRDefault="008171B0" w:rsidP="004F1371">
            <w:pPr>
              <w:pStyle w:val="TableTextEntries"/>
            </w:pPr>
          </w:p>
        </w:tc>
        <w:tc>
          <w:tcPr>
            <w:tcW w:w="819" w:type="pct"/>
          </w:tcPr>
          <w:p w14:paraId="17ECA804" w14:textId="61EBC3C9" w:rsidR="008171B0" w:rsidRPr="004F1371" w:rsidRDefault="008171B0" w:rsidP="004F1371">
            <w:pPr>
              <w:pStyle w:val="TableTextEntries"/>
            </w:pPr>
            <w:r w:rsidRPr="004F1371">
              <w:t>2.a.1 Northern Transport Network Improvement Project: (Australian outputs only) 3042 women with access to upgraded section V of main road</w:t>
            </w:r>
          </w:p>
        </w:tc>
        <w:tc>
          <w:tcPr>
            <w:tcW w:w="819" w:type="pct"/>
          </w:tcPr>
          <w:p w14:paraId="6CF6676F" w14:textId="77777777" w:rsidR="008171B0" w:rsidRPr="004F1371" w:rsidRDefault="008171B0" w:rsidP="004F1371">
            <w:pPr>
              <w:pStyle w:val="TableTextEntries"/>
            </w:pPr>
            <w:r w:rsidRPr="004F1371">
              <w:t>2.a.1 Milestone fully achieved</w:t>
            </w:r>
          </w:p>
          <w:p w14:paraId="43EB0030" w14:textId="2CC2F207" w:rsidR="008171B0" w:rsidRPr="004F1371" w:rsidRDefault="008171B0" w:rsidP="004F1371">
            <w:pPr>
              <w:pStyle w:val="TableTextEntries"/>
            </w:pPr>
            <w:r w:rsidRPr="004F1371">
              <w:t>More than 4000 women with access to upgraded section V of main road</w:t>
            </w:r>
          </w:p>
        </w:tc>
        <w:tc>
          <w:tcPr>
            <w:tcW w:w="833" w:type="pct"/>
          </w:tcPr>
          <w:p w14:paraId="29731CD0" w14:textId="77777777" w:rsidR="008171B0" w:rsidRPr="004F1371" w:rsidRDefault="008171B0" w:rsidP="004F1371">
            <w:pPr>
              <w:pStyle w:val="TableTextEntries"/>
            </w:pPr>
          </w:p>
        </w:tc>
      </w:tr>
      <w:tr w:rsidR="008171B0" w:rsidRPr="004F1371" w14:paraId="4132E597" w14:textId="77777777" w:rsidTr="008171B0">
        <w:trPr>
          <w:cantSplit/>
          <w:tblHeader w:val="0"/>
        </w:trPr>
        <w:tc>
          <w:tcPr>
            <w:tcW w:w="820" w:type="pct"/>
            <w:vMerge/>
          </w:tcPr>
          <w:p w14:paraId="69D19D08" w14:textId="77777777" w:rsidR="008171B0" w:rsidRPr="004F1371" w:rsidRDefault="008171B0" w:rsidP="004F1371">
            <w:pPr>
              <w:pStyle w:val="TableTextEntries"/>
            </w:pPr>
          </w:p>
        </w:tc>
        <w:tc>
          <w:tcPr>
            <w:tcW w:w="819" w:type="pct"/>
            <w:vMerge/>
          </w:tcPr>
          <w:p w14:paraId="29823B70" w14:textId="77777777" w:rsidR="008171B0" w:rsidRPr="004F1371" w:rsidRDefault="008171B0" w:rsidP="004F1371">
            <w:pPr>
              <w:pStyle w:val="TableTextEntries"/>
            </w:pPr>
          </w:p>
        </w:tc>
        <w:tc>
          <w:tcPr>
            <w:tcW w:w="819" w:type="pct"/>
            <w:vMerge/>
          </w:tcPr>
          <w:p w14:paraId="042EF103" w14:textId="77777777" w:rsidR="008171B0" w:rsidRPr="004F1371" w:rsidRDefault="008171B0" w:rsidP="004F1371">
            <w:pPr>
              <w:pStyle w:val="TableTextEntries"/>
            </w:pPr>
          </w:p>
        </w:tc>
        <w:tc>
          <w:tcPr>
            <w:tcW w:w="819" w:type="pct"/>
          </w:tcPr>
          <w:p w14:paraId="22137653" w14:textId="06F0953F" w:rsidR="008171B0" w:rsidRPr="004F1371" w:rsidRDefault="008171B0" w:rsidP="004F1371">
            <w:pPr>
              <w:pStyle w:val="TableTextEntries"/>
            </w:pPr>
            <w:r w:rsidRPr="004F1371">
              <w:t xml:space="preserve">2.a.2 Northern Transport Network Improvement Project: number of women with access to upgraded roads not yet known – will be assessed in benefit monitoring survey after the project completes </w:t>
            </w:r>
          </w:p>
        </w:tc>
        <w:tc>
          <w:tcPr>
            <w:tcW w:w="819" w:type="pct"/>
          </w:tcPr>
          <w:p w14:paraId="5FAF133C" w14:textId="40E95177" w:rsidR="008171B0" w:rsidRPr="004F1371" w:rsidRDefault="008171B0" w:rsidP="004F1371">
            <w:pPr>
              <w:pStyle w:val="TableTextEntries"/>
            </w:pPr>
            <w:r w:rsidRPr="004F1371">
              <w:t>2.a.2 Milestone in progress Will be assessed through benefit monitoring survey after the project completes</w:t>
            </w:r>
          </w:p>
        </w:tc>
        <w:tc>
          <w:tcPr>
            <w:tcW w:w="833" w:type="pct"/>
          </w:tcPr>
          <w:p w14:paraId="5A81D0C4" w14:textId="77777777" w:rsidR="008171B0" w:rsidRPr="004F1371" w:rsidRDefault="008171B0" w:rsidP="004F1371">
            <w:pPr>
              <w:pStyle w:val="TableTextEntries"/>
            </w:pPr>
          </w:p>
        </w:tc>
      </w:tr>
      <w:tr w:rsidR="008171B0" w:rsidRPr="004F1371" w14:paraId="4DBF282C"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val="restart"/>
          </w:tcPr>
          <w:p w14:paraId="7851D041" w14:textId="77777777" w:rsidR="008171B0" w:rsidRPr="004F1371" w:rsidRDefault="008171B0" w:rsidP="004F1371">
            <w:pPr>
              <w:pStyle w:val="TableTextEntries"/>
            </w:pPr>
          </w:p>
        </w:tc>
        <w:tc>
          <w:tcPr>
            <w:tcW w:w="819" w:type="pct"/>
            <w:vMerge w:val="restart"/>
          </w:tcPr>
          <w:p w14:paraId="75AF5767" w14:textId="77777777" w:rsidR="008171B0" w:rsidRPr="004F1371" w:rsidRDefault="008171B0" w:rsidP="004F1371">
            <w:pPr>
              <w:pStyle w:val="TableTextEntries"/>
            </w:pPr>
          </w:p>
        </w:tc>
        <w:tc>
          <w:tcPr>
            <w:tcW w:w="819" w:type="pct"/>
          </w:tcPr>
          <w:p w14:paraId="7012C4EB" w14:textId="2EFB889E" w:rsidR="008171B0" w:rsidRPr="004F1371" w:rsidRDefault="008171B0" w:rsidP="004F1371">
            <w:pPr>
              <w:pStyle w:val="TableTextEntries"/>
            </w:pPr>
            <w:r w:rsidRPr="004F1371">
              <w:t xml:space="preserve">3. Increasing integration and implementation of mitigation measures relating to social safeguards (HIV, trafficking, road safety) and environmental impact in rural infrastructure interventions </w:t>
            </w:r>
          </w:p>
        </w:tc>
        <w:tc>
          <w:tcPr>
            <w:tcW w:w="819" w:type="pct"/>
          </w:tcPr>
          <w:p w14:paraId="1B196C66" w14:textId="21DB835B" w:rsidR="008171B0" w:rsidRPr="004F1371" w:rsidRDefault="008171B0" w:rsidP="004F1371">
            <w:pPr>
              <w:pStyle w:val="TableTextEntries"/>
            </w:pPr>
            <w:r w:rsidRPr="004F1371">
              <w:t>3.a. Northern Transport Network Improvement Project: evidence that project implementation is fully compliance with social safeguard framework</w:t>
            </w:r>
          </w:p>
        </w:tc>
        <w:tc>
          <w:tcPr>
            <w:tcW w:w="819" w:type="pct"/>
          </w:tcPr>
          <w:p w14:paraId="396056CD" w14:textId="77777777" w:rsidR="008171B0" w:rsidRPr="004F1371" w:rsidRDefault="008171B0" w:rsidP="004F1371">
            <w:pPr>
              <w:pStyle w:val="TableTextEntries"/>
            </w:pPr>
            <w:r w:rsidRPr="004F1371">
              <w:t>3.a. Milestone met</w:t>
            </w:r>
          </w:p>
          <w:p w14:paraId="3FEED6D5" w14:textId="39D87D3C" w:rsidR="008171B0" w:rsidRPr="004F1371" w:rsidRDefault="008171B0" w:rsidP="004F1371">
            <w:pPr>
              <w:pStyle w:val="TableTextEntries"/>
            </w:pPr>
            <w:r w:rsidRPr="004F1371">
              <w:t xml:space="preserve">Recent joint supervision in December 2012 confirmed that there were no complaints or issues associated with </w:t>
            </w:r>
            <w:r w:rsidR="007C457E">
              <w:t>re-settlement</w:t>
            </w:r>
            <w:r w:rsidRPr="004F1371">
              <w:t xml:space="preserve"> processes. The HIV/AIDs trafficking and road safety teams continue working on site</w:t>
            </w:r>
          </w:p>
        </w:tc>
        <w:tc>
          <w:tcPr>
            <w:tcW w:w="833" w:type="pct"/>
          </w:tcPr>
          <w:p w14:paraId="48B4737C" w14:textId="77777777" w:rsidR="008171B0" w:rsidRPr="004F1371" w:rsidRDefault="008171B0" w:rsidP="004F1371">
            <w:pPr>
              <w:pStyle w:val="TableTextEntries"/>
            </w:pPr>
          </w:p>
        </w:tc>
      </w:tr>
      <w:tr w:rsidR="008171B0" w:rsidRPr="004F1371" w14:paraId="7E4A3DE4" w14:textId="77777777" w:rsidTr="008171B0">
        <w:trPr>
          <w:cantSplit/>
          <w:tblHeader w:val="0"/>
        </w:trPr>
        <w:tc>
          <w:tcPr>
            <w:tcW w:w="820" w:type="pct"/>
            <w:vMerge/>
          </w:tcPr>
          <w:p w14:paraId="39750ECE" w14:textId="77777777" w:rsidR="008171B0" w:rsidRPr="004F1371" w:rsidRDefault="008171B0" w:rsidP="004F1371">
            <w:pPr>
              <w:pStyle w:val="TableTextEntries"/>
            </w:pPr>
          </w:p>
        </w:tc>
        <w:tc>
          <w:tcPr>
            <w:tcW w:w="819" w:type="pct"/>
            <w:vMerge/>
          </w:tcPr>
          <w:p w14:paraId="5AC5C11D" w14:textId="77777777" w:rsidR="008171B0" w:rsidRPr="004F1371" w:rsidRDefault="008171B0" w:rsidP="004F1371">
            <w:pPr>
              <w:pStyle w:val="TableTextEntries"/>
            </w:pPr>
          </w:p>
        </w:tc>
        <w:tc>
          <w:tcPr>
            <w:tcW w:w="819" w:type="pct"/>
          </w:tcPr>
          <w:p w14:paraId="4103AD7F" w14:textId="77777777" w:rsidR="008171B0" w:rsidRPr="004F1371" w:rsidRDefault="008171B0" w:rsidP="004F1371">
            <w:pPr>
              <w:pStyle w:val="TableTextEntries"/>
            </w:pPr>
          </w:p>
        </w:tc>
        <w:tc>
          <w:tcPr>
            <w:tcW w:w="819" w:type="pct"/>
          </w:tcPr>
          <w:p w14:paraId="4523B847" w14:textId="41492E21" w:rsidR="008171B0" w:rsidRPr="004F1371" w:rsidRDefault="008171B0" w:rsidP="004F1371">
            <w:pPr>
              <w:pStyle w:val="TableTextEntries"/>
            </w:pPr>
            <w:r w:rsidRPr="004F1371">
              <w:t xml:space="preserve">3.b. Rural Electrification Program Phase 1: evidence that World Bank social safeguard and environmental policies are being adhered to such as </w:t>
            </w:r>
            <w:r w:rsidR="007C457E">
              <w:t>re-settlement</w:t>
            </w:r>
            <w:r w:rsidRPr="004F1371">
              <w:t xml:space="preserve"> policy framework, ethnic people’s development plan, environmental safeguards </w:t>
            </w:r>
          </w:p>
        </w:tc>
        <w:tc>
          <w:tcPr>
            <w:tcW w:w="819" w:type="pct"/>
          </w:tcPr>
          <w:p w14:paraId="06615F27" w14:textId="77777777" w:rsidR="008171B0" w:rsidRPr="004F1371" w:rsidRDefault="008171B0" w:rsidP="004F1371">
            <w:pPr>
              <w:pStyle w:val="TableTextEntries"/>
            </w:pPr>
            <w:r w:rsidRPr="004F1371">
              <w:t>3.b. Milestone met</w:t>
            </w:r>
          </w:p>
          <w:p w14:paraId="7745EB2E" w14:textId="61C1B373" w:rsidR="008171B0" w:rsidRPr="004F1371" w:rsidRDefault="008171B0" w:rsidP="004F1371">
            <w:pPr>
              <w:pStyle w:val="TableTextEntries"/>
            </w:pPr>
            <w:r w:rsidRPr="004F1371">
              <w:t>Evidence from the implementation completion report and results mission in December 2012 confirmed that environmental and social safeguards policies have been complied with. For both Electric due Laos and the Ministry of Energy Mines components, environmental management plans and safeguards operational manuals were prepared and implemented. Potential impacts were identified and managed by applying good construction practices. Public consultations were carried out before the installation, and ethnic minority communities were prioritised for assistance</w:t>
            </w:r>
          </w:p>
        </w:tc>
        <w:tc>
          <w:tcPr>
            <w:tcW w:w="833" w:type="pct"/>
          </w:tcPr>
          <w:p w14:paraId="505C4184" w14:textId="77777777" w:rsidR="008171B0" w:rsidRPr="004F1371" w:rsidRDefault="008171B0" w:rsidP="004F1371">
            <w:pPr>
              <w:pStyle w:val="TableTextEntries"/>
            </w:pPr>
          </w:p>
        </w:tc>
      </w:tr>
      <w:tr w:rsidR="008171B0" w:rsidRPr="004F1371" w14:paraId="3C10EE8E"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4980" w:type="pct"/>
            <w:gridSpan w:val="6"/>
          </w:tcPr>
          <w:p w14:paraId="6AE3B12D" w14:textId="77777777" w:rsidR="008171B0" w:rsidRPr="004F1371" w:rsidRDefault="008171B0" w:rsidP="004F1371">
            <w:pPr>
              <w:pStyle w:val="TableHeading2"/>
            </w:pPr>
            <w:r w:rsidRPr="004F1371">
              <w:t>Strategy wide objectives</w:t>
            </w:r>
          </w:p>
        </w:tc>
      </w:tr>
      <w:tr w:rsidR="008171B0" w:rsidRPr="004F1371" w14:paraId="008D13CB" w14:textId="77777777" w:rsidTr="008171B0">
        <w:trPr>
          <w:cantSplit/>
          <w:tblHeader w:val="0"/>
        </w:trPr>
        <w:tc>
          <w:tcPr>
            <w:tcW w:w="820" w:type="pct"/>
            <w:vMerge w:val="restart"/>
          </w:tcPr>
          <w:p w14:paraId="709C83F1" w14:textId="77777777" w:rsidR="008171B0" w:rsidRPr="004F1371" w:rsidRDefault="008171B0" w:rsidP="004F1371">
            <w:pPr>
              <w:pStyle w:val="TableTextEntries"/>
            </w:pPr>
          </w:p>
        </w:tc>
        <w:tc>
          <w:tcPr>
            <w:tcW w:w="819" w:type="pct"/>
            <w:vMerge w:val="restart"/>
          </w:tcPr>
          <w:p w14:paraId="3F7EA3E5" w14:textId="77777777" w:rsidR="008171B0" w:rsidRPr="004F1371" w:rsidRDefault="008171B0" w:rsidP="004F1371">
            <w:pPr>
              <w:pStyle w:val="TableTextEntries"/>
            </w:pPr>
            <w:r w:rsidRPr="004F1371">
              <w:t xml:space="preserve">Human resource development through tertiary education </w:t>
            </w:r>
            <w:r w:rsidRPr="004F1371">
              <w:lastRenderedPageBreak/>
              <w:t>scholarships</w:t>
            </w:r>
          </w:p>
        </w:tc>
        <w:tc>
          <w:tcPr>
            <w:tcW w:w="819" w:type="pct"/>
            <w:vMerge w:val="restart"/>
          </w:tcPr>
          <w:p w14:paraId="78625F08" w14:textId="65340361" w:rsidR="008171B0" w:rsidRPr="004F1371" w:rsidRDefault="008171B0" w:rsidP="004F1371">
            <w:pPr>
              <w:pStyle w:val="TableTextEntries"/>
            </w:pPr>
            <w:r w:rsidRPr="004F1371">
              <w:lastRenderedPageBreak/>
              <w:t>Number of people awarded tertiary scholarships (headline result 16)</w:t>
            </w:r>
          </w:p>
        </w:tc>
        <w:tc>
          <w:tcPr>
            <w:tcW w:w="819" w:type="pct"/>
          </w:tcPr>
          <w:p w14:paraId="70E4A3C0" w14:textId="6BD7F43B" w:rsidR="008171B0" w:rsidRPr="004F1371" w:rsidRDefault="008171B0" w:rsidP="004F1371">
            <w:pPr>
              <w:pStyle w:val="TableTextEntries"/>
            </w:pPr>
            <w:r w:rsidRPr="004F1371">
              <w:t>51 (26 Female)</w:t>
            </w:r>
          </w:p>
        </w:tc>
        <w:tc>
          <w:tcPr>
            <w:tcW w:w="819" w:type="pct"/>
          </w:tcPr>
          <w:p w14:paraId="0E6AE1AF" w14:textId="77777777" w:rsidR="008171B0" w:rsidRPr="004F1371" w:rsidRDefault="008171B0" w:rsidP="004F1371">
            <w:pPr>
              <w:pStyle w:val="TableTextEntries"/>
            </w:pPr>
            <w:r w:rsidRPr="004F1371">
              <w:t>1. Milestone partially met</w:t>
            </w:r>
          </w:p>
          <w:p w14:paraId="35609D77" w14:textId="4111CCFA" w:rsidR="008171B0" w:rsidRPr="004F1371" w:rsidRDefault="008171B0" w:rsidP="004F1371">
            <w:pPr>
              <w:pStyle w:val="TableTextEntries"/>
            </w:pPr>
            <w:r w:rsidRPr="004F1371">
              <w:t xml:space="preserve">47 scholarships awarded, including to 22 women </w:t>
            </w:r>
          </w:p>
        </w:tc>
        <w:tc>
          <w:tcPr>
            <w:tcW w:w="833" w:type="pct"/>
          </w:tcPr>
          <w:p w14:paraId="56859C1F" w14:textId="77777777" w:rsidR="008171B0" w:rsidRPr="004F1371" w:rsidRDefault="008171B0" w:rsidP="004F1371">
            <w:pPr>
              <w:pStyle w:val="TableTextEntries"/>
            </w:pPr>
            <w:r w:rsidRPr="004F1371">
              <w:t xml:space="preserve">Not applicable </w:t>
            </w:r>
          </w:p>
          <w:p w14:paraId="5EC32C73" w14:textId="77777777" w:rsidR="008171B0" w:rsidRPr="004F1371" w:rsidRDefault="008171B0" w:rsidP="004F1371">
            <w:pPr>
              <w:pStyle w:val="TableTextEntries"/>
            </w:pPr>
          </w:p>
        </w:tc>
      </w:tr>
      <w:tr w:rsidR="008171B0" w:rsidRPr="004F1371" w14:paraId="7B0CC03E"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3F3D0852" w14:textId="77777777" w:rsidR="008171B0" w:rsidRPr="004F1371" w:rsidRDefault="008171B0" w:rsidP="004F1371">
            <w:pPr>
              <w:pStyle w:val="TableTextEntries"/>
            </w:pPr>
          </w:p>
        </w:tc>
        <w:tc>
          <w:tcPr>
            <w:tcW w:w="819" w:type="pct"/>
            <w:vMerge/>
          </w:tcPr>
          <w:p w14:paraId="237506C3" w14:textId="77777777" w:rsidR="008171B0" w:rsidRPr="004F1371" w:rsidRDefault="008171B0" w:rsidP="004F1371">
            <w:pPr>
              <w:pStyle w:val="TableTextEntries"/>
            </w:pPr>
          </w:p>
        </w:tc>
        <w:tc>
          <w:tcPr>
            <w:tcW w:w="819" w:type="pct"/>
            <w:vMerge/>
          </w:tcPr>
          <w:p w14:paraId="5B912507" w14:textId="77777777" w:rsidR="008171B0" w:rsidRPr="004F1371" w:rsidRDefault="008171B0" w:rsidP="004F1371">
            <w:pPr>
              <w:pStyle w:val="TableTextEntries"/>
            </w:pPr>
          </w:p>
        </w:tc>
        <w:tc>
          <w:tcPr>
            <w:tcW w:w="819" w:type="pct"/>
          </w:tcPr>
          <w:p w14:paraId="6A46749A" w14:textId="52906334" w:rsidR="008171B0" w:rsidRPr="004F1371" w:rsidRDefault="008171B0" w:rsidP="004F1371">
            <w:pPr>
              <w:pStyle w:val="TableTextEntries"/>
            </w:pPr>
            <w:r w:rsidRPr="004F1371">
              <w:t>70 Laos–Australia National Scholarships (35F), explore possibility of extending scholarships to provincial universities</w:t>
            </w:r>
          </w:p>
        </w:tc>
        <w:tc>
          <w:tcPr>
            <w:tcW w:w="819" w:type="pct"/>
          </w:tcPr>
          <w:p w14:paraId="2BF429D6" w14:textId="77777777" w:rsidR="008171B0" w:rsidRPr="004F1371" w:rsidRDefault="008171B0" w:rsidP="004F1371">
            <w:pPr>
              <w:pStyle w:val="TableTextEntries"/>
            </w:pPr>
            <w:r w:rsidRPr="004F1371">
              <w:t>2. Milestone met</w:t>
            </w:r>
          </w:p>
          <w:p w14:paraId="50F5D42D" w14:textId="4D8BCE8D" w:rsidR="008171B0" w:rsidRPr="004F1371" w:rsidRDefault="008171B0" w:rsidP="004F1371">
            <w:pPr>
              <w:pStyle w:val="TableTextEntries"/>
            </w:pPr>
            <w:r w:rsidRPr="004F1371">
              <w:t>Laos–Australia National Scholarships design finalised and interim management arrangements put in place with Vientiane College. 70 provincial students (35 women) selected for national university scholarships program scholarships in November 2012</w:t>
            </w:r>
          </w:p>
        </w:tc>
        <w:tc>
          <w:tcPr>
            <w:tcW w:w="833" w:type="pct"/>
          </w:tcPr>
          <w:p w14:paraId="01D9AF99" w14:textId="77777777" w:rsidR="008171B0" w:rsidRPr="004F1371" w:rsidRDefault="008171B0" w:rsidP="004F1371">
            <w:pPr>
              <w:pStyle w:val="TableTextEntries"/>
            </w:pPr>
            <w:r w:rsidRPr="004F1371">
              <w:t xml:space="preserve">Not applicable </w:t>
            </w:r>
          </w:p>
          <w:p w14:paraId="17322D9E" w14:textId="77777777" w:rsidR="008171B0" w:rsidRPr="004F1371" w:rsidRDefault="008171B0" w:rsidP="004F1371">
            <w:pPr>
              <w:pStyle w:val="TableTextEntries"/>
            </w:pPr>
          </w:p>
        </w:tc>
      </w:tr>
      <w:tr w:rsidR="008171B0" w:rsidRPr="004F1371" w14:paraId="4BD3E93D" w14:textId="77777777" w:rsidTr="008171B0">
        <w:trPr>
          <w:cantSplit/>
          <w:tblHeader w:val="0"/>
        </w:trPr>
        <w:tc>
          <w:tcPr>
            <w:tcW w:w="820" w:type="pct"/>
            <w:vMerge/>
          </w:tcPr>
          <w:p w14:paraId="3338040F" w14:textId="77777777" w:rsidR="008171B0" w:rsidRPr="004F1371" w:rsidRDefault="008171B0" w:rsidP="004F1371">
            <w:pPr>
              <w:pStyle w:val="TableTextEntries"/>
            </w:pPr>
          </w:p>
        </w:tc>
        <w:tc>
          <w:tcPr>
            <w:tcW w:w="819" w:type="pct"/>
            <w:vMerge w:val="restart"/>
          </w:tcPr>
          <w:p w14:paraId="07007EE8" w14:textId="77777777" w:rsidR="008171B0" w:rsidRPr="004F1371" w:rsidRDefault="008171B0" w:rsidP="004F1371">
            <w:pPr>
              <w:pStyle w:val="TableTextEntries"/>
            </w:pPr>
            <w:r w:rsidRPr="004F1371">
              <w:t>Provide humanitarian assistance in the case of disaster or humanitarian crisis</w:t>
            </w:r>
          </w:p>
        </w:tc>
        <w:tc>
          <w:tcPr>
            <w:tcW w:w="819" w:type="pct"/>
          </w:tcPr>
          <w:p w14:paraId="39113A63" w14:textId="17728ED6" w:rsidR="008171B0" w:rsidRPr="004F1371" w:rsidRDefault="008171B0" w:rsidP="004F1371">
            <w:pPr>
              <w:pStyle w:val="TableTextEntries"/>
            </w:pPr>
            <w:r w:rsidRPr="004F1371">
              <w:t>Number of vulnerable women, men, girls and boys provided with life-saving assistance in conflict and crisis situations (headline result 29)</w:t>
            </w:r>
          </w:p>
        </w:tc>
        <w:tc>
          <w:tcPr>
            <w:tcW w:w="819" w:type="pct"/>
          </w:tcPr>
          <w:p w14:paraId="64F9B2F7" w14:textId="4B02EE5E" w:rsidR="008171B0" w:rsidRPr="004F1371" w:rsidRDefault="008171B0" w:rsidP="004F1371">
            <w:pPr>
              <w:pStyle w:val="TableTextEntries"/>
            </w:pPr>
            <w:r w:rsidRPr="004F1371">
              <w:t>Not applicable</w:t>
            </w:r>
          </w:p>
        </w:tc>
        <w:tc>
          <w:tcPr>
            <w:tcW w:w="819" w:type="pct"/>
          </w:tcPr>
          <w:p w14:paraId="563EE744" w14:textId="506852F1" w:rsidR="008171B0" w:rsidRPr="004F1371" w:rsidRDefault="008171B0" w:rsidP="004F1371">
            <w:pPr>
              <w:pStyle w:val="TableTextEntries"/>
            </w:pPr>
            <w:r w:rsidRPr="004F1371">
              <w:t>Emergency activities were supported to reach around 73 400 (34 895 women). These included providing people with basic relief items, distributing agricultural seeds and livestock, carrying out urgent repairs to irrigation systems, clearing flooded rice fields, constructing and repairing weirs and re-stocking fish ponds</w:t>
            </w:r>
          </w:p>
        </w:tc>
        <w:tc>
          <w:tcPr>
            <w:tcW w:w="833" w:type="pct"/>
          </w:tcPr>
          <w:p w14:paraId="463AEC7A" w14:textId="77777777" w:rsidR="008171B0" w:rsidRPr="004F1371" w:rsidRDefault="008171B0" w:rsidP="004F1371">
            <w:pPr>
              <w:pStyle w:val="TableTextEntries"/>
            </w:pPr>
            <w:r w:rsidRPr="004F1371">
              <w:t xml:space="preserve">Not applicable </w:t>
            </w:r>
          </w:p>
          <w:p w14:paraId="5D8ED6D1" w14:textId="77777777" w:rsidR="008171B0" w:rsidRPr="004F1371" w:rsidRDefault="008171B0" w:rsidP="004F1371">
            <w:pPr>
              <w:pStyle w:val="TableTextEntries"/>
            </w:pPr>
          </w:p>
        </w:tc>
      </w:tr>
      <w:tr w:rsidR="008171B0" w:rsidRPr="004F1371" w14:paraId="4227E01B" w14:textId="77777777" w:rsidTr="008171B0">
        <w:trPr>
          <w:cnfStyle w:val="000000010000" w:firstRow="0" w:lastRow="0" w:firstColumn="0" w:lastColumn="0" w:oddVBand="0" w:evenVBand="0" w:oddHBand="0" w:evenHBand="1" w:firstRowFirstColumn="0" w:firstRowLastColumn="0" w:lastRowFirstColumn="0" w:lastRowLastColumn="0"/>
          <w:cantSplit/>
          <w:tblHeader w:val="0"/>
        </w:trPr>
        <w:tc>
          <w:tcPr>
            <w:tcW w:w="820" w:type="pct"/>
            <w:vMerge/>
          </w:tcPr>
          <w:p w14:paraId="1BA7B6C8" w14:textId="77777777" w:rsidR="008171B0" w:rsidRPr="004F1371" w:rsidRDefault="008171B0" w:rsidP="004F1371">
            <w:pPr>
              <w:pStyle w:val="TableTextEntries"/>
            </w:pPr>
          </w:p>
        </w:tc>
        <w:tc>
          <w:tcPr>
            <w:tcW w:w="819" w:type="pct"/>
            <w:vMerge/>
          </w:tcPr>
          <w:p w14:paraId="0C1BE689" w14:textId="77777777" w:rsidR="008171B0" w:rsidRPr="004F1371" w:rsidRDefault="008171B0" w:rsidP="004F1371">
            <w:pPr>
              <w:pStyle w:val="TableTextEntries"/>
            </w:pPr>
          </w:p>
        </w:tc>
        <w:tc>
          <w:tcPr>
            <w:tcW w:w="819" w:type="pct"/>
          </w:tcPr>
          <w:p w14:paraId="2567BB03" w14:textId="238954BD" w:rsidR="008171B0" w:rsidRPr="004F1371" w:rsidRDefault="007D3737" w:rsidP="004F1371">
            <w:pPr>
              <w:pStyle w:val="TableTextEntries"/>
            </w:pPr>
            <w:r>
              <w:t>DFAT</w:t>
            </w:r>
            <w:r w:rsidR="00FB69E9">
              <w:t xml:space="preserve"> </w:t>
            </w:r>
            <w:r w:rsidR="008171B0" w:rsidRPr="004F1371">
              <w:t>disaster responses launched within 48 hours of a request for assistance with humanitarian crises (headline result</w:t>
            </w:r>
            <w:r w:rsidR="008171B0" w:rsidRPr="004F1371" w:rsidDel="00316E56">
              <w:t xml:space="preserve"> </w:t>
            </w:r>
            <w:r w:rsidR="008171B0" w:rsidRPr="004F1371">
              <w:t>30)</w:t>
            </w:r>
          </w:p>
        </w:tc>
        <w:tc>
          <w:tcPr>
            <w:tcW w:w="819" w:type="pct"/>
          </w:tcPr>
          <w:p w14:paraId="177E2022" w14:textId="77777777" w:rsidR="008171B0" w:rsidRPr="004F1371" w:rsidRDefault="008171B0" w:rsidP="004F1371">
            <w:pPr>
              <w:pStyle w:val="TableTextEntries"/>
            </w:pPr>
            <w:r w:rsidRPr="004F1371">
              <w:t>Not applicable</w:t>
            </w:r>
          </w:p>
        </w:tc>
        <w:tc>
          <w:tcPr>
            <w:tcW w:w="819" w:type="pct"/>
          </w:tcPr>
          <w:p w14:paraId="5CA37B1C" w14:textId="642390C8" w:rsidR="008171B0" w:rsidRPr="004F1371" w:rsidRDefault="00FB69E9" w:rsidP="004F1371">
            <w:pPr>
              <w:pStyle w:val="TableTextEntries"/>
            </w:pPr>
            <w:r>
              <w:t xml:space="preserve">The Australian embassy </w:t>
            </w:r>
            <w:r w:rsidR="008171B0" w:rsidRPr="004F1371">
              <w:t>approached government to offer humanitarian assistance after a series of storms that led to extensive flooding</w:t>
            </w:r>
          </w:p>
        </w:tc>
        <w:tc>
          <w:tcPr>
            <w:tcW w:w="833" w:type="pct"/>
          </w:tcPr>
          <w:p w14:paraId="06B6DB4F" w14:textId="77777777" w:rsidR="008171B0" w:rsidRPr="004F1371" w:rsidRDefault="008171B0" w:rsidP="004F1371">
            <w:pPr>
              <w:pStyle w:val="TableTextEntries"/>
            </w:pPr>
            <w:r w:rsidRPr="004F1371">
              <w:t xml:space="preserve">Not applicable </w:t>
            </w:r>
          </w:p>
          <w:p w14:paraId="30081C06" w14:textId="77777777" w:rsidR="008171B0" w:rsidRPr="004F1371" w:rsidRDefault="008171B0" w:rsidP="004F1371">
            <w:pPr>
              <w:pStyle w:val="TableTextEntries"/>
            </w:pPr>
          </w:p>
        </w:tc>
      </w:tr>
    </w:tbl>
    <w:p w14:paraId="0ECD420E" w14:textId="5E9F7839" w:rsidR="00AA1244" w:rsidRDefault="00AA1244" w:rsidP="00AA1244">
      <w:pPr>
        <w:pStyle w:val="BodyText"/>
        <w:rPr>
          <w:color w:val="000000" w:themeColor="text1"/>
        </w:rPr>
      </w:pPr>
    </w:p>
    <w:p w14:paraId="26D405D7" w14:textId="77777777" w:rsidR="00AA1244" w:rsidRDefault="00AA1244" w:rsidP="00A77837">
      <w:pPr>
        <w:pStyle w:val="BodyText"/>
      </w:pPr>
      <w:r>
        <w:br w:type="page"/>
      </w:r>
    </w:p>
    <w:p w14:paraId="0B2EFA9F" w14:textId="36D27B75" w:rsidR="0061386F" w:rsidRDefault="00316136" w:rsidP="00C45A5D">
      <w:pPr>
        <w:pStyle w:val="Heading1"/>
      </w:pPr>
      <w:r>
        <w:lastRenderedPageBreak/>
        <w:t>Annex D</w:t>
      </w:r>
      <w:r w:rsidR="0061386F" w:rsidRPr="006703BA">
        <w:t>.1: Performance Assessment Framework 2013–14 (for trade and investment and rural development)</w:t>
      </w:r>
    </w:p>
    <w:tbl>
      <w:tblPr>
        <w:tblStyle w:val="APPR"/>
        <w:tblW w:w="5000" w:type="pct"/>
        <w:tblLayout w:type="fixed"/>
        <w:tblLook w:val="01E0" w:firstRow="1" w:lastRow="1" w:firstColumn="1" w:lastColumn="1" w:noHBand="0" w:noVBand="0"/>
      </w:tblPr>
      <w:tblGrid>
        <w:gridCol w:w="2310"/>
        <w:gridCol w:w="2296"/>
        <w:gridCol w:w="2296"/>
        <w:gridCol w:w="2296"/>
        <w:gridCol w:w="2294"/>
        <w:gridCol w:w="2445"/>
      </w:tblGrid>
      <w:tr w:rsidR="00377C84" w:rsidRPr="004C79DC" w14:paraId="292F7CDE" w14:textId="77777777" w:rsidTr="00377C84">
        <w:trPr>
          <w:cnfStyle w:val="100000000000" w:firstRow="1" w:lastRow="0" w:firstColumn="0" w:lastColumn="0" w:oddVBand="0" w:evenVBand="0" w:oddHBand="0" w:evenHBand="0" w:firstRowFirstColumn="0" w:firstRowLastColumn="0" w:lastRowFirstColumn="0" w:lastRowLastColumn="0"/>
          <w:cantSplit/>
        </w:trPr>
        <w:tc>
          <w:tcPr>
            <w:tcW w:w="822" w:type="pct"/>
          </w:tcPr>
          <w:p w14:paraId="01E9B4D3" w14:textId="77777777" w:rsidR="00377C84" w:rsidRPr="004C79DC" w:rsidRDefault="00377C84" w:rsidP="001820A7">
            <w:pPr>
              <w:pStyle w:val="TableTextColumnHeading"/>
              <w:rPr>
                <w:b/>
              </w:rPr>
            </w:pPr>
            <w:r w:rsidRPr="004C79DC">
              <w:rPr>
                <w:b/>
              </w:rPr>
              <w:t xml:space="preserve">Laos development outcomes 2015 </w:t>
            </w:r>
          </w:p>
        </w:tc>
        <w:tc>
          <w:tcPr>
            <w:tcW w:w="822" w:type="pct"/>
          </w:tcPr>
          <w:p w14:paraId="7DCABB85" w14:textId="77777777" w:rsidR="00377C84" w:rsidRPr="004C79DC" w:rsidRDefault="00377C84" w:rsidP="001820A7">
            <w:pPr>
              <w:pStyle w:val="TableTextColumnHeading"/>
              <w:rPr>
                <w:b/>
              </w:rPr>
            </w:pPr>
            <w:r w:rsidRPr="004C79DC">
              <w:rPr>
                <w:b/>
              </w:rPr>
              <w:t>Australia country strategy objectives 2015</w:t>
            </w:r>
          </w:p>
        </w:tc>
        <w:tc>
          <w:tcPr>
            <w:tcW w:w="822" w:type="pct"/>
          </w:tcPr>
          <w:p w14:paraId="6588D859" w14:textId="77777777" w:rsidR="00377C84" w:rsidRPr="004C79DC" w:rsidRDefault="00377C84" w:rsidP="001820A7">
            <w:pPr>
              <w:pStyle w:val="TableTextColumnHeading"/>
              <w:rPr>
                <w:b/>
              </w:rPr>
            </w:pPr>
            <w:r w:rsidRPr="004C79DC">
              <w:rPr>
                <w:b/>
              </w:rPr>
              <w:t>Strategy objective indicators (2015)</w:t>
            </w:r>
          </w:p>
        </w:tc>
        <w:tc>
          <w:tcPr>
            <w:tcW w:w="822" w:type="pct"/>
          </w:tcPr>
          <w:p w14:paraId="4DE0C8D7" w14:textId="38710E72" w:rsidR="00377C84" w:rsidRPr="004C79DC" w:rsidRDefault="00377C84" w:rsidP="001820A7">
            <w:pPr>
              <w:pStyle w:val="TableTextColumnHeading"/>
              <w:rPr>
                <w:b/>
              </w:rPr>
            </w:pPr>
            <w:r w:rsidRPr="004C79DC">
              <w:rPr>
                <w:b/>
              </w:rPr>
              <w:t>2013–14 milestones</w:t>
            </w:r>
            <w:r>
              <w:rPr>
                <w:b/>
              </w:rPr>
              <w:t xml:space="preserve"> targets</w:t>
            </w:r>
          </w:p>
        </w:tc>
        <w:tc>
          <w:tcPr>
            <w:tcW w:w="821" w:type="pct"/>
          </w:tcPr>
          <w:p w14:paraId="4385B945" w14:textId="08F19F18" w:rsidR="00377C84" w:rsidRPr="004C79DC" w:rsidRDefault="00377C84" w:rsidP="001820A7">
            <w:pPr>
              <w:pStyle w:val="TableTextColumnHeading"/>
              <w:rPr>
                <w:b/>
              </w:rPr>
            </w:pPr>
          </w:p>
        </w:tc>
        <w:tc>
          <w:tcPr>
            <w:tcW w:w="821" w:type="pct"/>
          </w:tcPr>
          <w:p w14:paraId="7C216BBF" w14:textId="60B132AA" w:rsidR="00377C84" w:rsidRPr="004C79DC" w:rsidRDefault="00377C84" w:rsidP="001820A7">
            <w:pPr>
              <w:pStyle w:val="TableTextColumnHeading"/>
              <w:rPr>
                <w:b/>
              </w:rPr>
            </w:pPr>
          </w:p>
        </w:tc>
      </w:tr>
      <w:tr w:rsidR="00377C84" w:rsidRPr="004C79DC" w14:paraId="39E9E8F3" w14:textId="77777777" w:rsidTr="00377C84">
        <w:trPr>
          <w:cantSplit/>
          <w:tblHeader w:val="0"/>
        </w:trPr>
        <w:tc>
          <w:tcPr>
            <w:tcW w:w="4980" w:type="pct"/>
            <w:gridSpan w:val="6"/>
          </w:tcPr>
          <w:p w14:paraId="1DD61B81" w14:textId="77777777" w:rsidR="00377C84" w:rsidRPr="004C79DC" w:rsidRDefault="00377C84" w:rsidP="001820A7">
            <w:pPr>
              <w:pStyle w:val="TableHeading2"/>
            </w:pPr>
            <w:r w:rsidRPr="004C79DC">
              <w:t xml:space="preserve">Pillar 2 – Trade and Investment </w:t>
            </w:r>
          </w:p>
        </w:tc>
      </w:tr>
      <w:tr w:rsidR="00377C84" w:rsidRPr="004C79DC" w14:paraId="09FF89B3"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val="restart"/>
          </w:tcPr>
          <w:p w14:paraId="5D9A77E2" w14:textId="77777777" w:rsidR="00377C84" w:rsidRPr="004C79DC" w:rsidRDefault="00377C84" w:rsidP="001820A7">
            <w:pPr>
              <w:pStyle w:val="TableTextEntries"/>
            </w:pPr>
            <w:r w:rsidRPr="004C79DC">
              <w:t>Increased trade and investment in sectors which support poverty reduction</w:t>
            </w:r>
          </w:p>
          <w:p w14:paraId="09F60F7E" w14:textId="77777777" w:rsidR="00377C84" w:rsidRPr="004C79DC" w:rsidRDefault="00377C84" w:rsidP="001820A7">
            <w:pPr>
              <w:pStyle w:val="TableTextEntries"/>
            </w:pPr>
            <w:r w:rsidRPr="004C79DC">
              <w:t>Trade share of GDP</w:t>
            </w:r>
          </w:p>
          <w:p w14:paraId="3FBD07F3" w14:textId="77777777" w:rsidR="00377C84" w:rsidRPr="004C79DC" w:rsidRDefault="00377C84" w:rsidP="001820A7">
            <w:pPr>
              <w:pStyle w:val="TableTextEntries"/>
            </w:pPr>
            <w:r w:rsidRPr="004C79DC">
              <w:t>Non-resource sector share of GDP</w:t>
            </w:r>
          </w:p>
          <w:p w14:paraId="51E6D170" w14:textId="77777777" w:rsidR="00377C84" w:rsidRPr="004C79DC" w:rsidRDefault="00377C84" w:rsidP="001820A7">
            <w:pPr>
              <w:pStyle w:val="TableTextEntries"/>
            </w:pPr>
            <w:r w:rsidRPr="004C79DC">
              <w:t>Non-resource sector growth and share of total trade</w:t>
            </w:r>
          </w:p>
          <w:p w14:paraId="1EFD9F90" w14:textId="77777777" w:rsidR="00377C84" w:rsidRPr="004C79DC" w:rsidRDefault="00377C84" w:rsidP="001820A7">
            <w:pPr>
              <w:pStyle w:val="TableTextEntries"/>
            </w:pPr>
            <w:r w:rsidRPr="004C79DC">
              <w:t>Trade in services growth and share of total trade</w:t>
            </w:r>
          </w:p>
          <w:p w14:paraId="02DF240B" w14:textId="77777777" w:rsidR="00377C84" w:rsidRPr="004C79DC" w:rsidRDefault="00377C84" w:rsidP="001820A7">
            <w:pPr>
              <w:pStyle w:val="TableTextEntries"/>
            </w:pPr>
            <w:r w:rsidRPr="004C79DC">
              <w:t>Improved logistic performance</w:t>
            </w:r>
          </w:p>
          <w:p w14:paraId="45766D79" w14:textId="77777777" w:rsidR="00377C84" w:rsidRPr="004C79DC" w:rsidRDefault="00377C84" w:rsidP="001820A7">
            <w:pPr>
              <w:pStyle w:val="TableTextEntries"/>
            </w:pPr>
            <w:r w:rsidRPr="004C79DC">
              <w:t xml:space="preserve">Reduction in number of days required for services firms to obtain operating licences </w:t>
            </w:r>
          </w:p>
          <w:p w14:paraId="6B528CA1" w14:textId="77777777" w:rsidR="00377C84" w:rsidRPr="004C79DC" w:rsidRDefault="00377C84" w:rsidP="001820A7">
            <w:pPr>
              <w:pStyle w:val="TableTextEntries"/>
            </w:pPr>
            <w:r w:rsidRPr="004C79DC">
              <w:t>Reduction in number of days to clear exports</w:t>
            </w:r>
          </w:p>
          <w:p w14:paraId="58E9ECE1" w14:textId="77777777" w:rsidR="00377C84" w:rsidRPr="004C79DC" w:rsidRDefault="00377C84" w:rsidP="001820A7">
            <w:pPr>
              <w:pStyle w:val="TableTextEntries"/>
            </w:pPr>
            <w:r w:rsidRPr="004C79DC">
              <w:t>Reduction in number of days to clear imports</w:t>
            </w:r>
          </w:p>
          <w:p w14:paraId="21315F43" w14:textId="77777777" w:rsidR="00377C84" w:rsidRPr="004C79DC" w:rsidRDefault="00377C84" w:rsidP="001820A7">
            <w:pPr>
              <w:pStyle w:val="TableTextEntries"/>
            </w:pPr>
          </w:p>
        </w:tc>
        <w:tc>
          <w:tcPr>
            <w:tcW w:w="822" w:type="pct"/>
          </w:tcPr>
          <w:p w14:paraId="7E2059EA" w14:textId="77777777" w:rsidR="00377C84" w:rsidRPr="004C79DC" w:rsidRDefault="00377C84" w:rsidP="001820A7">
            <w:pPr>
              <w:pStyle w:val="TableTextEntries"/>
            </w:pPr>
            <w:r w:rsidRPr="004C79DC">
              <w:t>Strategy objective 3:</w:t>
            </w:r>
          </w:p>
          <w:p w14:paraId="3A265846" w14:textId="77777777" w:rsidR="00377C84" w:rsidRPr="004C79DC" w:rsidRDefault="00377C84" w:rsidP="001820A7">
            <w:pPr>
              <w:pStyle w:val="TableTextEntries"/>
            </w:pPr>
            <w:r w:rsidRPr="004C79DC">
              <w:t>Policy and institutional impediments to trade and investment addressed in sectors that have high potential to contribute to inclusive growth</w:t>
            </w:r>
          </w:p>
        </w:tc>
        <w:tc>
          <w:tcPr>
            <w:tcW w:w="822" w:type="pct"/>
          </w:tcPr>
          <w:p w14:paraId="6C154F6B" w14:textId="77777777" w:rsidR="00377C84" w:rsidRPr="004C79DC" w:rsidRDefault="00377C84" w:rsidP="001820A7">
            <w:pPr>
              <w:pStyle w:val="TableTextEntries"/>
            </w:pPr>
            <w:r w:rsidRPr="004C79DC">
              <w:t xml:space="preserve">1. Key elements of the Trade Facilitation Action Plan have been implemented </w:t>
            </w:r>
          </w:p>
        </w:tc>
        <w:tc>
          <w:tcPr>
            <w:tcW w:w="822" w:type="pct"/>
          </w:tcPr>
          <w:p w14:paraId="08949B7C" w14:textId="77777777" w:rsidR="00377C84" w:rsidRPr="004C79DC" w:rsidRDefault="00377C84" w:rsidP="001820A7">
            <w:pPr>
              <w:pStyle w:val="TableTextEntries"/>
            </w:pPr>
            <w:r w:rsidRPr="004C79DC">
              <w:t>1. Trade Facilitation Secretariat met to implement action plan and resolve trade facilitation issues</w:t>
            </w:r>
          </w:p>
          <w:p w14:paraId="481D8ED5" w14:textId="77777777" w:rsidR="00377C84" w:rsidRPr="004C79DC" w:rsidRDefault="00377C84" w:rsidP="001820A7">
            <w:pPr>
              <w:pStyle w:val="TableTextEntries"/>
            </w:pPr>
          </w:p>
        </w:tc>
        <w:tc>
          <w:tcPr>
            <w:tcW w:w="821" w:type="pct"/>
          </w:tcPr>
          <w:p w14:paraId="30FD505B" w14:textId="77777777" w:rsidR="00377C84" w:rsidRPr="004C79DC" w:rsidRDefault="00377C84" w:rsidP="001820A7">
            <w:pPr>
              <w:pStyle w:val="TableTextEntries"/>
            </w:pPr>
          </w:p>
        </w:tc>
        <w:tc>
          <w:tcPr>
            <w:tcW w:w="821" w:type="pct"/>
          </w:tcPr>
          <w:p w14:paraId="010077C6" w14:textId="77777777" w:rsidR="00377C84" w:rsidRPr="004C79DC" w:rsidRDefault="00377C84" w:rsidP="001820A7">
            <w:pPr>
              <w:pStyle w:val="TableTextEntries"/>
            </w:pPr>
          </w:p>
        </w:tc>
      </w:tr>
      <w:tr w:rsidR="00377C84" w:rsidRPr="004C79DC" w14:paraId="7DE5D2B9" w14:textId="77777777" w:rsidTr="00377C84">
        <w:trPr>
          <w:cantSplit/>
          <w:tblHeader w:val="0"/>
        </w:trPr>
        <w:tc>
          <w:tcPr>
            <w:tcW w:w="822" w:type="pct"/>
            <w:vMerge/>
          </w:tcPr>
          <w:p w14:paraId="2B52564C" w14:textId="77777777" w:rsidR="00377C84" w:rsidRPr="004C79DC" w:rsidRDefault="00377C84" w:rsidP="001820A7">
            <w:pPr>
              <w:pStyle w:val="TableTextEntries"/>
            </w:pPr>
          </w:p>
        </w:tc>
        <w:tc>
          <w:tcPr>
            <w:tcW w:w="822" w:type="pct"/>
          </w:tcPr>
          <w:p w14:paraId="10C55E6B" w14:textId="77777777" w:rsidR="00377C84" w:rsidRPr="004C79DC" w:rsidRDefault="00377C84" w:rsidP="001820A7">
            <w:pPr>
              <w:pStyle w:val="TableTextEntries"/>
            </w:pPr>
          </w:p>
        </w:tc>
        <w:tc>
          <w:tcPr>
            <w:tcW w:w="822" w:type="pct"/>
          </w:tcPr>
          <w:p w14:paraId="7EC3DE8F" w14:textId="77777777" w:rsidR="00377C84" w:rsidRPr="004C79DC" w:rsidRDefault="00377C84" w:rsidP="001820A7">
            <w:pPr>
              <w:pStyle w:val="TableTextEntries"/>
            </w:pPr>
            <w:r w:rsidRPr="004C79DC">
              <w:t>2. Reform of laws and regulatory measures affecting services trade</w:t>
            </w:r>
          </w:p>
          <w:p w14:paraId="3B3E1889" w14:textId="77777777" w:rsidR="00377C84" w:rsidRPr="004C79DC" w:rsidRDefault="00377C84" w:rsidP="001820A7">
            <w:pPr>
              <w:pStyle w:val="TableTextEntries"/>
            </w:pPr>
          </w:p>
        </w:tc>
        <w:tc>
          <w:tcPr>
            <w:tcW w:w="822" w:type="pct"/>
          </w:tcPr>
          <w:p w14:paraId="58401650" w14:textId="77777777" w:rsidR="00377C84" w:rsidRPr="004C79DC" w:rsidRDefault="00377C84" w:rsidP="001820A7">
            <w:pPr>
              <w:pStyle w:val="TableTextEntries"/>
            </w:pPr>
            <w:r w:rsidRPr="004C79DC">
              <w:t xml:space="preserve">2. A regulatory assessment commenced to identify measures affecting services trade </w:t>
            </w:r>
          </w:p>
        </w:tc>
        <w:tc>
          <w:tcPr>
            <w:tcW w:w="821" w:type="pct"/>
          </w:tcPr>
          <w:p w14:paraId="2DA4CD09" w14:textId="77777777" w:rsidR="00377C84" w:rsidRPr="004C79DC" w:rsidRDefault="00377C84" w:rsidP="001820A7">
            <w:pPr>
              <w:pStyle w:val="TableTextEntries"/>
            </w:pPr>
          </w:p>
        </w:tc>
        <w:tc>
          <w:tcPr>
            <w:tcW w:w="821" w:type="pct"/>
          </w:tcPr>
          <w:p w14:paraId="265AA12C" w14:textId="77777777" w:rsidR="00377C84" w:rsidRPr="004C79DC" w:rsidRDefault="00377C84" w:rsidP="001820A7">
            <w:pPr>
              <w:pStyle w:val="TableTextEntries"/>
            </w:pPr>
          </w:p>
        </w:tc>
      </w:tr>
      <w:tr w:rsidR="00377C84" w:rsidRPr="004C79DC" w14:paraId="48AE2080"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tcPr>
          <w:p w14:paraId="74D1F6D2" w14:textId="77777777" w:rsidR="00377C84" w:rsidRPr="004C79DC" w:rsidRDefault="00377C84" w:rsidP="001820A7">
            <w:pPr>
              <w:pStyle w:val="TableTextEntries"/>
            </w:pPr>
          </w:p>
        </w:tc>
        <w:tc>
          <w:tcPr>
            <w:tcW w:w="822" w:type="pct"/>
          </w:tcPr>
          <w:p w14:paraId="35F6BA9E" w14:textId="77777777" w:rsidR="00377C84" w:rsidRPr="004C79DC" w:rsidRDefault="00377C84" w:rsidP="001820A7">
            <w:pPr>
              <w:pStyle w:val="TableTextEntries"/>
            </w:pPr>
          </w:p>
        </w:tc>
        <w:tc>
          <w:tcPr>
            <w:tcW w:w="822" w:type="pct"/>
          </w:tcPr>
          <w:p w14:paraId="556221A1" w14:textId="77777777" w:rsidR="00377C84" w:rsidRPr="004C79DC" w:rsidRDefault="00377C84" w:rsidP="001820A7">
            <w:pPr>
              <w:pStyle w:val="TableTextEntries"/>
            </w:pPr>
            <w:r w:rsidRPr="004C79DC">
              <w:t>3. Effective trade diversification and trade competitiveness programs in place supporting industries which contribute to inclusive growth</w:t>
            </w:r>
          </w:p>
          <w:p w14:paraId="30B0FC59" w14:textId="77777777" w:rsidR="00377C84" w:rsidRPr="004C79DC" w:rsidRDefault="00377C84" w:rsidP="001820A7">
            <w:pPr>
              <w:pStyle w:val="TableTextEntries"/>
            </w:pPr>
          </w:p>
        </w:tc>
        <w:tc>
          <w:tcPr>
            <w:tcW w:w="822" w:type="pct"/>
          </w:tcPr>
          <w:p w14:paraId="10CDBA87" w14:textId="77777777" w:rsidR="00377C84" w:rsidRPr="004C79DC" w:rsidRDefault="00377C84" w:rsidP="001820A7">
            <w:pPr>
              <w:pStyle w:val="TableTextEntries"/>
            </w:pPr>
            <w:r w:rsidRPr="004C79DC">
              <w:t>3.1 Business assistance unit established</w:t>
            </w:r>
          </w:p>
          <w:p w14:paraId="3F797880" w14:textId="77777777" w:rsidR="00377C84" w:rsidRPr="004C79DC" w:rsidRDefault="00377C84" w:rsidP="001820A7">
            <w:pPr>
              <w:pStyle w:val="TableTextEntries"/>
            </w:pPr>
          </w:p>
        </w:tc>
        <w:tc>
          <w:tcPr>
            <w:tcW w:w="821" w:type="pct"/>
          </w:tcPr>
          <w:p w14:paraId="3210ADD4" w14:textId="77777777" w:rsidR="00377C84" w:rsidRPr="004C79DC" w:rsidRDefault="00377C84" w:rsidP="001820A7">
            <w:pPr>
              <w:pStyle w:val="TableTextEntries"/>
            </w:pPr>
          </w:p>
        </w:tc>
        <w:tc>
          <w:tcPr>
            <w:tcW w:w="821" w:type="pct"/>
          </w:tcPr>
          <w:p w14:paraId="44E96400" w14:textId="77777777" w:rsidR="00377C84" w:rsidRPr="004C79DC" w:rsidRDefault="00377C84" w:rsidP="001820A7">
            <w:pPr>
              <w:pStyle w:val="TableTextEntries"/>
            </w:pPr>
          </w:p>
        </w:tc>
      </w:tr>
      <w:tr w:rsidR="00377C84" w:rsidRPr="004C79DC" w14:paraId="39F90CCE" w14:textId="77777777" w:rsidTr="00377C84">
        <w:trPr>
          <w:cantSplit/>
          <w:tblHeader w:val="0"/>
        </w:trPr>
        <w:tc>
          <w:tcPr>
            <w:tcW w:w="822" w:type="pct"/>
            <w:vMerge/>
          </w:tcPr>
          <w:p w14:paraId="5B21B9CC" w14:textId="77777777" w:rsidR="00377C84" w:rsidRPr="004C79DC" w:rsidRDefault="00377C84" w:rsidP="001820A7">
            <w:pPr>
              <w:pStyle w:val="TableTextEntries"/>
            </w:pPr>
          </w:p>
        </w:tc>
        <w:tc>
          <w:tcPr>
            <w:tcW w:w="822" w:type="pct"/>
          </w:tcPr>
          <w:p w14:paraId="37E1A525" w14:textId="77777777" w:rsidR="00377C84" w:rsidRPr="004C79DC" w:rsidRDefault="00377C84" w:rsidP="001820A7">
            <w:pPr>
              <w:pStyle w:val="TableTextEntries"/>
            </w:pPr>
          </w:p>
        </w:tc>
        <w:tc>
          <w:tcPr>
            <w:tcW w:w="822" w:type="pct"/>
          </w:tcPr>
          <w:p w14:paraId="668954B4" w14:textId="77777777" w:rsidR="00377C84" w:rsidRPr="004C79DC" w:rsidRDefault="00377C84" w:rsidP="001820A7">
            <w:pPr>
              <w:pStyle w:val="TableTextEntries"/>
            </w:pPr>
          </w:p>
        </w:tc>
        <w:tc>
          <w:tcPr>
            <w:tcW w:w="822" w:type="pct"/>
          </w:tcPr>
          <w:p w14:paraId="3D837C8B" w14:textId="77777777" w:rsidR="00377C84" w:rsidRPr="004C79DC" w:rsidRDefault="00377C84" w:rsidP="001820A7">
            <w:pPr>
              <w:pStyle w:val="TableTextEntries"/>
            </w:pPr>
            <w:r w:rsidRPr="004C79DC">
              <w:t xml:space="preserve">3.2 A preliminary assessment of the Lao PDR labour inspectorate commenced, including an assessment of current weaknesses in capacity for the execution of labour inspections in the </w:t>
            </w:r>
          </w:p>
        </w:tc>
        <w:tc>
          <w:tcPr>
            <w:tcW w:w="821" w:type="pct"/>
          </w:tcPr>
          <w:p w14:paraId="784DC3B3" w14:textId="77777777" w:rsidR="00377C84" w:rsidRPr="004C79DC" w:rsidRDefault="00377C84" w:rsidP="001820A7">
            <w:pPr>
              <w:pStyle w:val="TableTextEntries"/>
            </w:pPr>
          </w:p>
        </w:tc>
        <w:tc>
          <w:tcPr>
            <w:tcW w:w="821" w:type="pct"/>
          </w:tcPr>
          <w:p w14:paraId="5A5996BF" w14:textId="77777777" w:rsidR="00377C84" w:rsidRPr="004C79DC" w:rsidRDefault="00377C84" w:rsidP="001820A7">
            <w:pPr>
              <w:pStyle w:val="TableTextEntries"/>
            </w:pPr>
          </w:p>
        </w:tc>
      </w:tr>
      <w:tr w:rsidR="00377C84" w:rsidRPr="004C79DC" w14:paraId="55E3B5AD"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tcPr>
          <w:p w14:paraId="226D1880" w14:textId="77777777" w:rsidR="00377C84" w:rsidRPr="004C79DC" w:rsidRDefault="00377C84" w:rsidP="001820A7">
            <w:pPr>
              <w:pStyle w:val="TableTextEntries"/>
              <w:rPr>
                <w:highlight w:val="green"/>
              </w:rPr>
            </w:pPr>
          </w:p>
        </w:tc>
        <w:tc>
          <w:tcPr>
            <w:tcW w:w="822" w:type="pct"/>
          </w:tcPr>
          <w:p w14:paraId="4E519BEC" w14:textId="77777777" w:rsidR="00377C84" w:rsidRPr="004C79DC" w:rsidRDefault="00377C84" w:rsidP="001820A7">
            <w:pPr>
              <w:pStyle w:val="TableTextEntries"/>
              <w:rPr>
                <w:highlight w:val="green"/>
              </w:rPr>
            </w:pPr>
          </w:p>
        </w:tc>
        <w:tc>
          <w:tcPr>
            <w:tcW w:w="822" w:type="pct"/>
          </w:tcPr>
          <w:p w14:paraId="2BD79A22" w14:textId="77777777" w:rsidR="00377C84" w:rsidRPr="004C79DC" w:rsidRDefault="00377C84" w:rsidP="001820A7">
            <w:pPr>
              <w:pStyle w:val="TableTextEntries"/>
            </w:pPr>
            <w:r w:rsidRPr="004C79DC">
              <w:t xml:space="preserve">4. Improved inter-trade agency and trade donor program coordination and policy dialogue with a focus on challenges and opportunities pertaining trade and private sector development </w:t>
            </w:r>
          </w:p>
          <w:p w14:paraId="0940C553" w14:textId="77777777" w:rsidR="00377C84" w:rsidRPr="004C79DC" w:rsidRDefault="00377C84" w:rsidP="001820A7">
            <w:pPr>
              <w:pStyle w:val="TableTextEntries"/>
            </w:pPr>
          </w:p>
        </w:tc>
        <w:tc>
          <w:tcPr>
            <w:tcW w:w="822" w:type="pct"/>
          </w:tcPr>
          <w:p w14:paraId="14DEB2C2" w14:textId="77777777" w:rsidR="00377C84" w:rsidRPr="004C79DC" w:rsidRDefault="00377C84" w:rsidP="001820A7">
            <w:pPr>
              <w:pStyle w:val="TableTextEntries"/>
            </w:pPr>
            <w:r w:rsidRPr="004C79DC">
              <w:t>4.1 Stronger Ministry of Industry and Commerce national implementation unit support for the trade and private sector working group (TPSWG) – [as evidenced by: quality of coordination services provided; quality of technical advice provided; quality of TPSWG agendas and discussion]</w:t>
            </w:r>
          </w:p>
        </w:tc>
        <w:tc>
          <w:tcPr>
            <w:tcW w:w="821" w:type="pct"/>
          </w:tcPr>
          <w:p w14:paraId="3E7C7965" w14:textId="77777777" w:rsidR="00377C84" w:rsidRPr="004C79DC" w:rsidRDefault="00377C84" w:rsidP="001820A7">
            <w:pPr>
              <w:pStyle w:val="TableTextEntries"/>
            </w:pPr>
          </w:p>
        </w:tc>
        <w:tc>
          <w:tcPr>
            <w:tcW w:w="821" w:type="pct"/>
          </w:tcPr>
          <w:p w14:paraId="4849E504" w14:textId="77777777" w:rsidR="00377C84" w:rsidRPr="004C79DC" w:rsidRDefault="00377C84" w:rsidP="001820A7">
            <w:pPr>
              <w:pStyle w:val="TableTextEntries"/>
            </w:pPr>
          </w:p>
        </w:tc>
      </w:tr>
      <w:tr w:rsidR="00377C84" w:rsidRPr="004C79DC" w14:paraId="540482B8" w14:textId="77777777" w:rsidTr="00377C84">
        <w:trPr>
          <w:cantSplit/>
          <w:tblHeader w:val="0"/>
        </w:trPr>
        <w:tc>
          <w:tcPr>
            <w:tcW w:w="822" w:type="pct"/>
            <w:vMerge/>
          </w:tcPr>
          <w:p w14:paraId="1BBD84EB" w14:textId="77777777" w:rsidR="00377C84" w:rsidRPr="004C79DC" w:rsidRDefault="00377C84" w:rsidP="001820A7">
            <w:pPr>
              <w:pStyle w:val="TableTextEntries"/>
            </w:pPr>
          </w:p>
        </w:tc>
        <w:tc>
          <w:tcPr>
            <w:tcW w:w="822" w:type="pct"/>
          </w:tcPr>
          <w:p w14:paraId="50A0E165" w14:textId="77777777" w:rsidR="00377C84" w:rsidRPr="004C79DC" w:rsidRDefault="00377C84" w:rsidP="001820A7">
            <w:pPr>
              <w:pStyle w:val="TableTextEntries"/>
            </w:pPr>
          </w:p>
        </w:tc>
        <w:tc>
          <w:tcPr>
            <w:tcW w:w="822" w:type="pct"/>
          </w:tcPr>
          <w:p w14:paraId="46F3B81B" w14:textId="77777777" w:rsidR="00377C84" w:rsidRPr="004C79DC" w:rsidRDefault="00377C84" w:rsidP="001820A7">
            <w:pPr>
              <w:pStyle w:val="TableTextEntries"/>
            </w:pPr>
          </w:p>
        </w:tc>
        <w:tc>
          <w:tcPr>
            <w:tcW w:w="822" w:type="pct"/>
          </w:tcPr>
          <w:p w14:paraId="0EEACA8A" w14:textId="77777777" w:rsidR="00377C84" w:rsidRPr="004C79DC" w:rsidRDefault="00377C84" w:rsidP="001820A7">
            <w:pPr>
              <w:pStyle w:val="TableTextEntries"/>
            </w:pPr>
            <w:r w:rsidRPr="004C79DC">
              <w:t>4.2. trade challenge fund established</w:t>
            </w:r>
          </w:p>
        </w:tc>
        <w:tc>
          <w:tcPr>
            <w:tcW w:w="821" w:type="pct"/>
          </w:tcPr>
          <w:p w14:paraId="6068C4BB" w14:textId="77777777" w:rsidR="00377C84" w:rsidRPr="004C79DC" w:rsidRDefault="00377C84" w:rsidP="001820A7">
            <w:pPr>
              <w:pStyle w:val="TableTextEntries"/>
            </w:pPr>
          </w:p>
        </w:tc>
        <w:tc>
          <w:tcPr>
            <w:tcW w:w="821" w:type="pct"/>
          </w:tcPr>
          <w:p w14:paraId="2E502768" w14:textId="77777777" w:rsidR="00377C84" w:rsidRPr="004C79DC" w:rsidRDefault="00377C84" w:rsidP="001820A7">
            <w:pPr>
              <w:pStyle w:val="TableTextEntries"/>
            </w:pPr>
          </w:p>
        </w:tc>
      </w:tr>
      <w:tr w:rsidR="00377C84" w:rsidRPr="004C79DC" w14:paraId="67FF72FA"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tcPr>
          <w:p w14:paraId="4C17A0B0" w14:textId="77777777" w:rsidR="00377C84" w:rsidRPr="004C79DC" w:rsidRDefault="00377C84" w:rsidP="001820A7">
            <w:pPr>
              <w:pStyle w:val="TableTextEntries"/>
            </w:pPr>
          </w:p>
        </w:tc>
        <w:tc>
          <w:tcPr>
            <w:tcW w:w="822" w:type="pct"/>
          </w:tcPr>
          <w:p w14:paraId="417C6398" w14:textId="77777777" w:rsidR="00377C84" w:rsidRPr="004C79DC" w:rsidRDefault="00377C84" w:rsidP="001820A7">
            <w:pPr>
              <w:pStyle w:val="TableTextEntries"/>
            </w:pPr>
          </w:p>
        </w:tc>
        <w:tc>
          <w:tcPr>
            <w:tcW w:w="822" w:type="pct"/>
          </w:tcPr>
          <w:p w14:paraId="5C058806" w14:textId="77777777" w:rsidR="00377C84" w:rsidRPr="004C79DC" w:rsidRDefault="00377C84" w:rsidP="001820A7">
            <w:pPr>
              <w:pStyle w:val="TableTextEntries"/>
            </w:pPr>
          </w:p>
        </w:tc>
        <w:tc>
          <w:tcPr>
            <w:tcW w:w="822" w:type="pct"/>
          </w:tcPr>
          <w:p w14:paraId="5B4024CC" w14:textId="77777777" w:rsidR="00377C84" w:rsidRPr="004C79DC" w:rsidRDefault="00377C84" w:rsidP="001820A7">
            <w:pPr>
              <w:pStyle w:val="TableTextEntries"/>
            </w:pPr>
            <w:r w:rsidRPr="004C79DC">
              <w:t>4.3. trade research program established</w:t>
            </w:r>
          </w:p>
        </w:tc>
        <w:tc>
          <w:tcPr>
            <w:tcW w:w="821" w:type="pct"/>
          </w:tcPr>
          <w:p w14:paraId="46D07F0D" w14:textId="77777777" w:rsidR="00377C84" w:rsidRPr="004C79DC" w:rsidRDefault="00377C84" w:rsidP="001820A7">
            <w:pPr>
              <w:pStyle w:val="TableTextEntries"/>
            </w:pPr>
          </w:p>
        </w:tc>
        <w:tc>
          <w:tcPr>
            <w:tcW w:w="821" w:type="pct"/>
          </w:tcPr>
          <w:p w14:paraId="47A6E080" w14:textId="77777777" w:rsidR="00377C84" w:rsidRPr="004C79DC" w:rsidRDefault="00377C84" w:rsidP="001820A7">
            <w:pPr>
              <w:pStyle w:val="TableTextEntries"/>
            </w:pPr>
          </w:p>
        </w:tc>
      </w:tr>
      <w:tr w:rsidR="00377C84" w:rsidRPr="004C79DC" w14:paraId="445D70A8" w14:textId="77777777" w:rsidTr="00377C84">
        <w:trPr>
          <w:cantSplit/>
          <w:tblHeader w:val="0"/>
        </w:trPr>
        <w:tc>
          <w:tcPr>
            <w:tcW w:w="4980" w:type="pct"/>
            <w:gridSpan w:val="6"/>
          </w:tcPr>
          <w:p w14:paraId="4DEAD0EA" w14:textId="77777777" w:rsidR="00377C84" w:rsidRPr="004C79DC" w:rsidRDefault="00377C84" w:rsidP="001820A7">
            <w:pPr>
              <w:pStyle w:val="TableHeading2"/>
            </w:pPr>
            <w:r w:rsidRPr="004C79DC">
              <w:t>Pillar 3 – Rural development</w:t>
            </w:r>
          </w:p>
        </w:tc>
      </w:tr>
      <w:tr w:rsidR="00377C84" w:rsidRPr="004C79DC" w14:paraId="31CCA34D"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val="restart"/>
          </w:tcPr>
          <w:p w14:paraId="4FB7BA17" w14:textId="77777777" w:rsidR="00377C84" w:rsidRPr="004C79DC" w:rsidRDefault="00377C84" w:rsidP="001820A7">
            <w:pPr>
              <w:pStyle w:val="TableTextEntries"/>
            </w:pPr>
            <w:r w:rsidRPr="004C79DC">
              <w:t>Halve, between 1990 and 2015, the proportion of people under the national poverty line</w:t>
            </w:r>
          </w:p>
          <w:p w14:paraId="566AF51F" w14:textId="77777777" w:rsidR="00377C84" w:rsidRPr="004C79DC" w:rsidRDefault="00377C84" w:rsidP="001820A7">
            <w:pPr>
              <w:pStyle w:val="TableTextEntries"/>
            </w:pPr>
          </w:p>
          <w:p w14:paraId="604A8E43" w14:textId="77777777" w:rsidR="00377C84" w:rsidRPr="004C79DC" w:rsidRDefault="00377C84" w:rsidP="001820A7">
            <w:pPr>
              <w:pStyle w:val="TableTextEntries"/>
            </w:pPr>
            <w:r w:rsidRPr="004C79DC">
              <w:t>Achieve full and productive employment and decent work for all</w:t>
            </w:r>
          </w:p>
          <w:p w14:paraId="27407EAD" w14:textId="77777777" w:rsidR="00377C84" w:rsidRPr="004C79DC" w:rsidRDefault="00377C84" w:rsidP="001820A7">
            <w:pPr>
              <w:pStyle w:val="TableTextEntries"/>
            </w:pPr>
          </w:p>
          <w:p w14:paraId="7048809F" w14:textId="77777777" w:rsidR="00377C84" w:rsidRPr="004C79DC" w:rsidRDefault="00377C84" w:rsidP="001820A7">
            <w:pPr>
              <w:pStyle w:val="TableTextEntries"/>
            </w:pPr>
            <w:r w:rsidRPr="004C79DC">
              <w:t>Halve, between 1990 and 2015, the proportion of people who suffer from hunger</w:t>
            </w:r>
          </w:p>
          <w:p w14:paraId="287B426F" w14:textId="77777777" w:rsidR="00377C84" w:rsidRPr="004C79DC" w:rsidRDefault="00377C84" w:rsidP="001820A7">
            <w:pPr>
              <w:pStyle w:val="TableTextEntries"/>
            </w:pPr>
          </w:p>
          <w:p w14:paraId="1BB05ABE" w14:textId="77777777" w:rsidR="00377C84" w:rsidRPr="004C79DC" w:rsidRDefault="00377C84" w:rsidP="001820A7">
            <w:pPr>
              <w:pStyle w:val="TableTextEntries"/>
            </w:pPr>
          </w:p>
          <w:p w14:paraId="5795EA43" w14:textId="77777777" w:rsidR="00377C84" w:rsidRPr="004C79DC" w:rsidRDefault="00377C84" w:rsidP="001820A7">
            <w:pPr>
              <w:pStyle w:val="TableTextEntries"/>
            </w:pPr>
          </w:p>
          <w:p w14:paraId="2D48F1DF" w14:textId="77777777" w:rsidR="00377C84" w:rsidRPr="004C79DC" w:rsidRDefault="00377C84" w:rsidP="001820A7">
            <w:pPr>
              <w:pStyle w:val="TableTextEntries"/>
            </w:pPr>
            <w:r w:rsidRPr="004C79DC">
              <w:t xml:space="preserve">Reduction in poverty in </w:t>
            </w:r>
            <w:r w:rsidRPr="004C79DC">
              <w:lastRenderedPageBreak/>
              <w:t>communities benefiting from Australian aid investments</w:t>
            </w:r>
          </w:p>
          <w:p w14:paraId="6273B035" w14:textId="77777777" w:rsidR="00377C84" w:rsidRPr="004C79DC" w:rsidRDefault="00377C84" w:rsidP="001820A7">
            <w:pPr>
              <w:pStyle w:val="TableTextEntries"/>
            </w:pPr>
          </w:p>
          <w:p w14:paraId="0B3BC3F0" w14:textId="77777777" w:rsidR="00377C84" w:rsidRPr="004C79DC" w:rsidRDefault="00377C84" w:rsidP="001820A7">
            <w:pPr>
              <w:pStyle w:val="TableTextEntries"/>
            </w:pPr>
          </w:p>
        </w:tc>
        <w:tc>
          <w:tcPr>
            <w:tcW w:w="822" w:type="pct"/>
            <w:vMerge w:val="restart"/>
          </w:tcPr>
          <w:p w14:paraId="0ED88A22" w14:textId="77777777" w:rsidR="00377C84" w:rsidRPr="004C79DC" w:rsidRDefault="00377C84" w:rsidP="001820A7">
            <w:pPr>
              <w:pStyle w:val="TableTextEntries"/>
            </w:pPr>
            <w:r w:rsidRPr="004C79DC">
              <w:lastRenderedPageBreak/>
              <w:t xml:space="preserve">Strategy objective 4: </w:t>
            </w:r>
          </w:p>
          <w:p w14:paraId="2437F9D1" w14:textId="77777777" w:rsidR="00377C84" w:rsidRPr="004C79DC" w:rsidRDefault="00377C84" w:rsidP="001820A7">
            <w:pPr>
              <w:pStyle w:val="TableTextEntries"/>
            </w:pPr>
            <w:r w:rsidRPr="004C79DC">
              <w:t>Improve inclusive access to finance, productive assets, and market opportunities</w:t>
            </w:r>
          </w:p>
        </w:tc>
        <w:tc>
          <w:tcPr>
            <w:tcW w:w="822" w:type="pct"/>
          </w:tcPr>
          <w:p w14:paraId="12779B00" w14:textId="43763B12" w:rsidR="00377C84" w:rsidRPr="004C79DC" w:rsidRDefault="00377C84" w:rsidP="00CD132E">
            <w:pPr>
              <w:pStyle w:val="TableTextEntries"/>
            </w:pPr>
            <w:r w:rsidRPr="004C79DC">
              <w:t xml:space="preserve">4.1 Number of additional poor women and men able to access social transfers (such as cash or in kind transfers including food) </w:t>
            </w:r>
          </w:p>
        </w:tc>
        <w:tc>
          <w:tcPr>
            <w:tcW w:w="822" w:type="pct"/>
          </w:tcPr>
          <w:p w14:paraId="1181FAD6" w14:textId="77777777" w:rsidR="00377C84" w:rsidRPr="004C79DC" w:rsidRDefault="00377C84" w:rsidP="001820A7">
            <w:pPr>
              <w:pStyle w:val="TableTextEntries"/>
            </w:pPr>
            <w:r w:rsidRPr="004C79DC">
              <w:t>4.1 Total of 5700 additional poor women and men able to access social transfers</w:t>
            </w:r>
          </w:p>
        </w:tc>
        <w:tc>
          <w:tcPr>
            <w:tcW w:w="821" w:type="pct"/>
          </w:tcPr>
          <w:p w14:paraId="4280A12F" w14:textId="77777777" w:rsidR="00377C84" w:rsidRPr="004C79DC" w:rsidRDefault="00377C84" w:rsidP="001820A7">
            <w:pPr>
              <w:pStyle w:val="TableTextEntries"/>
            </w:pPr>
          </w:p>
        </w:tc>
        <w:tc>
          <w:tcPr>
            <w:tcW w:w="821" w:type="pct"/>
          </w:tcPr>
          <w:p w14:paraId="5BB45FD0" w14:textId="77777777" w:rsidR="00377C84" w:rsidRPr="004C79DC" w:rsidRDefault="00377C84" w:rsidP="001820A7">
            <w:pPr>
              <w:pStyle w:val="TableTextEntries"/>
            </w:pPr>
          </w:p>
        </w:tc>
      </w:tr>
      <w:tr w:rsidR="00377C84" w:rsidRPr="004C79DC" w14:paraId="034AA641" w14:textId="77777777" w:rsidTr="00377C84">
        <w:trPr>
          <w:cantSplit/>
          <w:tblHeader w:val="0"/>
        </w:trPr>
        <w:tc>
          <w:tcPr>
            <w:tcW w:w="822" w:type="pct"/>
            <w:vMerge/>
          </w:tcPr>
          <w:p w14:paraId="12A19AAA" w14:textId="77777777" w:rsidR="00377C84" w:rsidRPr="004C79DC" w:rsidRDefault="00377C84" w:rsidP="001820A7">
            <w:pPr>
              <w:pStyle w:val="TableTextEntries"/>
            </w:pPr>
          </w:p>
        </w:tc>
        <w:tc>
          <w:tcPr>
            <w:tcW w:w="822" w:type="pct"/>
            <w:vMerge/>
          </w:tcPr>
          <w:p w14:paraId="5CB72F7E" w14:textId="77777777" w:rsidR="00377C84" w:rsidRPr="004C79DC" w:rsidRDefault="00377C84" w:rsidP="001820A7">
            <w:pPr>
              <w:pStyle w:val="TableTextEntries"/>
            </w:pPr>
          </w:p>
        </w:tc>
        <w:tc>
          <w:tcPr>
            <w:tcW w:w="822" w:type="pct"/>
          </w:tcPr>
          <w:p w14:paraId="7AA5D667" w14:textId="77777777" w:rsidR="00377C84" w:rsidRPr="004C79DC" w:rsidRDefault="00377C84" w:rsidP="001820A7">
            <w:pPr>
              <w:pStyle w:val="TableTextEntries"/>
            </w:pPr>
            <w:r w:rsidRPr="004C79DC">
              <w:t>4.2 Productive assets accumulated by poor households (to be confirmed)</w:t>
            </w:r>
          </w:p>
        </w:tc>
        <w:tc>
          <w:tcPr>
            <w:tcW w:w="822" w:type="pct"/>
          </w:tcPr>
          <w:p w14:paraId="471F2142" w14:textId="77777777" w:rsidR="00377C84" w:rsidRPr="004C79DC" w:rsidRDefault="00377C84" w:rsidP="001820A7">
            <w:pPr>
              <w:pStyle w:val="TableTextEntries"/>
            </w:pPr>
            <w:r w:rsidRPr="004C79DC">
              <w:t>4.2 Value of to be accumulated assets by poor households</w:t>
            </w:r>
          </w:p>
        </w:tc>
        <w:tc>
          <w:tcPr>
            <w:tcW w:w="821" w:type="pct"/>
          </w:tcPr>
          <w:p w14:paraId="104BB3C7" w14:textId="77777777" w:rsidR="00377C84" w:rsidRPr="004C79DC" w:rsidRDefault="00377C84" w:rsidP="001820A7">
            <w:pPr>
              <w:pStyle w:val="TableTextEntries"/>
            </w:pPr>
          </w:p>
        </w:tc>
        <w:tc>
          <w:tcPr>
            <w:tcW w:w="821" w:type="pct"/>
          </w:tcPr>
          <w:p w14:paraId="433C81C1" w14:textId="77777777" w:rsidR="00377C84" w:rsidRPr="004C79DC" w:rsidRDefault="00377C84" w:rsidP="001820A7">
            <w:pPr>
              <w:pStyle w:val="TableTextEntries"/>
            </w:pPr>
          </w:p>
        </w:tc>
      </w:tr>
      <w:tr w:rsidR="00377C84" w:rsidRPr="004C79DC" w14:paraId="0EECD653"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tcPr>
          <w:p w14:paraId="61D8B69F" w14:textId="77777777" w:rsidR="00377C84" w:rsidRPr="004C79DC" w:rsidRDefault="00377C84" w:rsidP="001820A7">
            <w:pPr>
              <w:pStyle w:val="TableTextEntries"/>
            </w:pPr>
          </w:p>
        </w:tc>
        <w:tc>
          <w:tcPr>
            <w:tcW w:w="822" w:type="pct"/>
            <w:vMerge/>
          </w:tcPr>
          <w:p w14:paraId="51E2D5A5" w14:textId="77777777" w:rsidR="00377C84" w:rsidRPr="004C79DC" w:rsidRDefault="00377C84" w:rsidP="001820A7">
            <w:pPr>
              <w:pStyle w:val="TableTextEntries"/>
            </w:pPr>
          </w:p>
        </w:tc>
        <w:tc>
          <w:tcPr>
            <w:tcW w:w="822" w:type="pct"/>
          </w:tcPr>
          <w:p w14:paraId="062AEA4B" w14:textId="77777777" w:rsidR="00377C84" w:rsidRPr="004C79DC" w:rsidRDefault="00377C84" w:rsidP="001820A7">
            <w:pPr>
              <w:pStyle w:val="TableTextEntries"/>
            </w:pPr>
            <w:r w:rsidRPr="004C79DC">
              <w:t>4.3 Ministerial support for a social protection policy/program in Laos</w:t>
            </w:r>
          </w:p>
        </w:tc>
        <w:tc>
          <w:tcPr>
            <w:tcW w:w="822" w:type="pct"/>
          </w:tcPr>
          <w:p w14:paraId="376B006F" w14:textId="77777777" w:rsidR="00377C84" w:rsidRPr="004C79DC" w:rsidRDefault="00377C84" w:rsidP="001820A7">
            <w:pPr>
              <w:pStyle w:val="TableTextEntries"/>
            </w:pPr>
            <w:r w:rsidRPr="004C79DC">
              <w:t>4.3 Government support for the assessment outcomes of the national social protection floor dialogue</w:t>
            </w:r>
          </w:p>
        </w:tc>
        <w:tc>
          <w:tcPr>
            <w:tcW w:w="821" w:type="pct"/>
          </w:tcPr>
          <w:p w14:paraId="1EFC7D37" w14:textId="77777777" w:rsidR="00377C84" w:rsidRPr="004C79DC" w:rsidRDefault="00377C84" w:rsidP="001820A7">
            <w:pPr>
              <w:pStyle w:val="TableTextEntries"/>
            </w:pPr>
          </w:p>
        </w:tc>
        <w:tc>
          <w:tcPr>
            <w:tcW w:w="821" w:type="pct"/>
          </w:tcPr>
          <w:p w14:paraId="575C671E" w14:textId="77777777" w:rsidR="00377C84" w:rsidRPr="004C79DC" w:rsidRDefault="00377C84" w:rsidP="001820A7">
            <w:pPr>
              <w:pStyle w:val="TableTextEntries"/>
            </w:pPr>
          </w:p>
        </w:tc>
      </w:tr>
      <w:tr w:rsidR="00377C84" w:rsidRPr="004C79DC" w14:paraId="2319445B" w14:textId="77777777" w:rsidTr="00377C84">
        <w:trPr>
          <w:cantSplit/>
          <w:tblHeader w:val="0"/>
        </w:trPr>
        <w:tc>
          <w:tcPr>
            <w:tcW w:w="822" w:type="pct"/>
            <w:vMerge/>
          </w:tcPr>
          <w:p w14:paraId="2EE6DB43" w14:textId="77777777" w:rsidR="00377C84" w:rsidRPr="004C79DC" w:rsidRDefault="00377C84" w:rsidP="001820A7">
            <w:pPr>
              <w:pStyle w:val="TableTextEntries"/>
            </w:pPr>
          </w:p>
        </w:tc>
        <w:tc>
          <w:tcPr>
            <w:tcW w:w="822" w:type="pct"/>
            <w:vMerge/>
          </w:tcPr>
          <w:p w14:paraId="69765A27" w14:textId="77777777" w:rsidR="00377C84" w:rsidRPr="004C79DC" w:rsidRDefault="00377C84" w:rsidP="001820A7">
            <w:pPr>
              <w:pStyle w:val="TableTextEntries"/>
            </w:pPr>
          </w:p>
        </w:tc>
        <w:tc>
          <w:tcPr>
            <w:tcW w:w="822" w:type="pct"/>
          </w:tcPr>
          <w:p w14:paraId="7C6D6893" w14:textId="77777777" w:rsidR="00377C84" w:rsidRPr="004C79DC" w:rsidRDefault="00377C84" w:rsidP="001820A7">
            <w:pPr>
              <w:pStyle w:val="TableTextEntries"/>
            </w:pPr>
            <w:r w:rsidRPr="004C79DC">
              <w:t>4.4 Number of poor women and men who increase their access to financial services</w:t>
            </w:r>
          </w:p>
          <w:p w14:paraId="0C51CA83" w14:textId="29C50964" w:rsidR="00377C84" w:rsidRPr="004C79DC" w:rsidRDefault="00377C84" w:rsidP="001820A7">
            <w:pPr>
              <w:pStyle w:val="TableTextEntries"/>
            </w:pPr>
          </w:p>
        </w:tc>
        <w:tc>
          <w:tcPr>
            <w:tcW w:w="822" w:type="pct"/>
          </w:tcPr>
          <w:p w14:paraId="38D2C7DA" w14:textId="77777777" w:rsidR="00377C84" w:rsidRPr="004C79DC" w:rsidRDefault="00377C84" w:rsidP="001820A7">
            <w:pPr>
              <w:pStyle w:val="TableTextEntries"/>
            </w:pPr>
            <w:r w:rsidRPr="004C79DC">
              <w:t>4.4 Total of 25 300 additional poor women and men who increase their access to financial services</w:t>
            </w:r>
          </w:p>
        </w:tc>
        <w:tc>
          <w:tcPr>
            <w:tcW w:w="821" w:type="pct"/>
          </w:tcPr>
          <w:p w14:paraId="0949BBE2" w14:textId="77777777" w:rsidR="00377C84" w:rsidRPr="004C79DC" w:rsidRDefault="00377C84" w:rsidP="001820A7">
            <w:pPr>
              <w:pStyle w:val="TableTextEntries"/>
            </w:pPr>
          </w:p>
        </w:tc>
        <w:tc>
          <w:tcPr>
            <w:tcW w:w="821" w:type="pct"/>
          </w:tcPr>
          <w:p w14:paraId="6CB97DBA" w14:textId="77777777" w:rsidR="00377C84" w:rsidRPr="004C79DC" w:rsidRDefault="00377C84" w:rsidP="001820A7">
            <w:pPr>
              <w:pStyle w:val="TableTextEntries"/>
            </w:pPr>
          </w:p>
        </w:tc>
      </w:tr>
      <w:tr w:rsidR="00377C84" w:rsidRPr="004C79DC" w14:paraId="54DE4521"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vMerge/>
          </w:tcPr>
          <w:p w14:paraId="1B600D3C" w14:textId="77777777" w:rsidR="00377C84" w:rsidRPr="004C79DC" w:rsidRDefault="00377C84" w:rsidP="001820A7">
            <w:pPr>
              <w:pStyle w:val="TableTextEntries"/>
            </w:pPr>
          </w:p>
        </w:tc>
        <w:tc>
          <w:tcPr>
            <w:tcW w:w="822" w:type="pct"/>
            <w:vMerge/>
          </w:tcPr>
          <w:p w14:paraId="4EE876C9" w14:textId="77777777" w:rsidR="00377C84" w:rsidRPr="004C79DC" w:rsidRDefault="00377C84" w:rsidP="001820A7">
            <w:pPr>
              <w:pStyle w:val="TableTextEntries"/>
            </w:pPr>
          </w:p>
        </w:tc>
        <w:tc>
          <w:tcPr>
            <w:tcW w:w="822" w:type="pct"/>
          </w:tcPr>
          <w:p w14:paraId="4721DB81" w14:textId="77777777" w:rsidR="00377C84" w:rsidRPr="004C79DC" w:rsidRDefault="00377C84" w:rsidP="001820A7">
            <w:pPr>
              <w:pStyle w:val="TableTextEntries"/>
            </w:pPr>
            <w:r w:rsidRPr="004C79DC">
              <w:t>4.5 Number of poor women and men attending the financial literacy program in target districts</w:t>
            </w:r>
          </w:p>
        </w:tc>
        <w:tc>
          <w:tcPr>
            <w:tcW w:w="822" w:type="pct"/>
          </w:tcPr>
          <w:p w14:paraId="78EEBF93" w14:textId="77777777" w:rsidR="00377C84" w:rsidRPr="004C79DC" w:rsidRDefault="00377C84" w:rsidP="001820A7">
            <w:pPr>
              <w:pStyle w:val="TableTextEntries"/>
            </w:pPr>
            <w:r w:rsidRPr="004C79DC">
              <w:t>N/A</w:t>
            </w:r>
          </w:p>
        </w:tc>
        <w:tc>
          <w:tcPr>
            <w:tcW w:w="821" w:type="pct"/>
          </w:tcPr>
          <w:p w14:paraId="7A3850D3" w14:textId="77777777" w:rsidR="00377C84" w:rsidRPr="004C79DC" w:rsidRDefault="00377C84" w:rsidP="001820A7">
            <w:pPr>
              <w:pStyle w:val="TableTextEntries"/>
            </w:pPr>
          </w:p>
        </w:tc>
        <w:tc>
          <w:tcPr>
            <w:tcW w:w="821" w:type="pct"/>
          </w:tcPr>
          <w:p w14:paraId="5D81BA8B" w14:textId="77777777" w:rsidR="00377C84" w:rsidRPr="004C79DC" w:rsidRDefault="00377C84" w:rsidP="001820A7">
            <w:pPr>
              <w:pStyle w:val="TableTextEntries"/>
            </w:pPr>
          </w:p>
        </w:tc>
      </w:tr>
      <w:tr w:rsidR="00377C84" w:rsidRPr="004C79DC" w14:paraId="25048935" w14:textId="77777777" w:rsidTr="00377C84">
        <w:trPr>
          <w:cantSplit/>
          <w:tblHeader w:val="0"/>
        </w:trPr>
        <w:tc>
          <w:tcPr>
            <w:tcW w:w="822" w:type="pct"/>
          </w:tcPr>
          <w:p w14:paraId="6E0EECA2" w14:textId="77777777" w:rsidR="00377C84" w:rsidRPr="004C79DC" w:rsidRDefault="00377C84" w:rsidP="001820A7">
            <w:pPr>
              <w:pStyle w:val="TableTextEntries"/>
            </w:pPr>
          </w:p>
        </w:tc>
        <w:tc>
          <w:tcPr>
            <w:tcW w:w="822" w:type="pct"/>
          </w:tcPr>
          <w:p w14:paraId="4D990766" w14:textId="77777777" w:rsidR="00377C84" w:rsidRPr="004C79DC" w:rsidRDefault="00377C84" w:rsidP="001820A7">
            <w:pPr>
              <w:pStyle w:val="TableTextEntries"/>
            </w:pPr>
          </w:p>
        </w:tc>
        <w:tc>
          <w:tcPr>
            <w:tcW w:w="822" w:type="pct"/>
          </w:tcPr>
          <w:p w14:paraId="02BDBA56" w14:textId="77777777" w:rsidR="00377C84" w:rsidRPr="004C79DC" w:rsidRDefault="00377C84" w:rsidP="001820A7">
            <w:pPr>
              <w:pStyle w:val="TableTextEntries"/>
            </w:pPr>
            <w:r w:rsidRPr="004C79DC">
              <w:t>4.6 Bank of Laos regulation on greater outreach of financial services for the poor</w:t>
            </w:r>
          </w:p>
        </w:tc>
        <w:tc>
          <w:tcPr>
            <w:tcW w:w="822" w:type="pct"/>
          </w:tcPr>
          <w:p w14:paraId="43A22665" w14:textId="77777777" w:rsidR="00377C84" w:rsidRPr="004C79DC" w:rsidRDefault="00377C84" w:rsidP="001820A7">
            <w:pPr>
              <w:pStyle w:val="TableTextEntries"/>
            </w:pPr>
            <w:r w:rsidRPr="004C79DC">
              <w:t xml:space="preserve">4.6 Bank of Laos support for regulations on making financial services more accessible to the rural poor </w:t>
            </w:r>
          </w:p>
        </w:tc>
        <w:tc>
          <w:tcPr>
            <w:tcW w:w="821" w:type="pct"/>
          </w:tcPr>
          <w:p w14:paraId="3EA7D087" w14:textId="77777777" w:rsidR="00377C84" w:rsidRPr="004C79DC" w:rsidRDefault="00377C84" w:rsidP="001820A7">
            <w:pPr>
              <w:pStyle w:val="TableTextEntries"/>
            </w:pPr>
          </w:p>
        </w:tc>
        <w:tc>
          <w:tcPr>
            <w:tcW w:w="821" w:type="pct"/>
          </w:tcPr>
          <w:p w14:paraId="46F7A1BC" w14:textId="77777777" w:rsidR="00377C84" w:rsidRPr="004C79DC" w:rsidRDefault="00377C84" w:rsidP="001820A7">
            <w:pPr>
              <w:pStyle w:val="TableTextEntries"/>
            </w:pPr>
          </w:p>
        </w:tc>
      </w:tr>
      <w:tr w:rsidR="00377C84" w:rsidRPr="004C79DC" w14:paraId="0FCE4747"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tcPr>
          <w:p w14:paraId="3A107CE9" w14:textId="77777777" w:rsidR="00377C84" w:rsidRPr="004C79DC" w:rsidRDefault="00377C84" w:rsidP="001820A7">
            <w:pPr>
              <w:pStyle w:val="TableTextEntries"/>
            </w:pPr>
          </w:p>
        </w:tc>
        <w:tc>
          <w:tcPr>
            <w:tcW w:w="822" w:type="pct"/>
          </w:tcPr>
          <w:p w14:paraId="2594DB80" w14:textId="77777777" w:rsidR="00377C84" w:rsidRPr="004C79DC" w:rsidRDefault="00377C84" w:rsidP="001820A7">
            <w:pPr>
              <w:pStyle w:val="TableTextEntries"/>
            </w:pPr>
          </w:p>
        </w:tc>
        <w:tc>
          <w:tcPr>
            <w:tcW w:w="822" w:type="pct"/>
          </w:tcPr>
          <w:p w14:paraId="5AB583B5" w14:textId="77777777" w:rsidR="00377C84" w:rsidRPr="004C79DC" w:rsidRDefault="00377C84" w:rsidP="001820A7">
            <w:pPr>
              <w:pStyle w:val="TableTextEntries"/>
            </w:pPr>
            <w:r w:rsidRPr="004C79DC">
              <w:t>4.7 Number of additional poor women and men with increased incomes</w:t>
            </w:r>
          </w:p>
          <w:p w14:paraId="008A982A" w14:textId="070611BB" w:rsidR="00377C84" w:rsidRPr="004C79DC" w:rsidRDefault="00377C84" w:rsidP="001820A7">
            <w:pPr>
              <w:pStyle w:val="TableTextEntries"/>
            </w:pPr>
          </w:p>
        </w:tc>
        <w:tc>
          <w:tcPr>
            <w:tcW w:w="822" w:type="pct"/>
          </w:tcPr>
          <w:p w14:paraId="5FFC3BD4" w14:textId="77777777" w:rsidR="00377C84" w:rsidRPr="004C79DC" w:rsidRDefault="00377C84" w:rsidP="001820A7">
            <w:pPr>
              <w:pStyle w:val="TableTextEntries"/>
            </w:pPr>
            <w:r w:rsidRPr="004C79DC">
              <w:t>4.7 At least 600 poor women and men with increased incomes</w:t>
            </w:r>
          </w:p>
        </w:tc>
        <w:tc>
          <w:tcPr>
            <w:tcW w:w="821" w:type="pct"/>
          </w:tcPr>
          <w:p w14:paraId="6A90132C" w14:textId="77777777" w:rsidR="00377C84" w:rsidRPr="004C79DC" w:rsidRDefault="00377C84" w:rsidP="001820A7">
            <w:pPr>
              <w:pStyle w:val="TableTextEntries"/>
            </w:pPr>
          </w:p>
        </w:tc>
        <w:tc>
          <w:tcPr>
            <w:tcW w:w="821" w:type="pct"/>
          </w:tcPr>
          <w:p w14:paraId="343C7E83" w14:textId="77777777" w:rsidR="00377C84" w:rsidRPr="004C79DC" w:rsidRDefault="00377C84" w:rsidP="001820A7">
            <w:pPr>
              <w:pStyle w:val="TableTextEntries"/>
            </w:pPr>
          </w:p>
        </w:tc>
      </w:tr>
      <w:tr w:rsidR="00377C84" w:rsidRPr="004C79DC" w14:paraId="067404CE" w14:textId="77777777" w:rsidTr="00377C84">
        <w:trPr>
          <w:cantSplit/>
          <w:tblHeader w:val="0"/>
        </w:trPr>
        <w:tc>
          <w:tcPr>
            <w:tcW w:w="822" w:type="pct"/>
          </w:tcPr>
          <w:p w14:paraId="7791208B" w14:textId="77777777" w:rsidR="00377C84" w:rsidRPr="004C79DC" w:rsidRDefault="00377C84" w:rsidP="001820A7">
            <w:pPr>
              <w:pStyle w:val="TableTextEntries"/>
            </w:pPr>
          </w:p>
        </w:tc>
        <w:tc>
          <w:tcPr>
            <w:tcW w:w="822" w:type="pct"/>
          </w:tcPr>
          <w:p w14:paraId="159A65B7" w14:textId="77777777" w:rsidR="00377C84" w:rsidRPr="004C79DC" w:rsidRDefault="00377C84" w:rsidP="001820A7">
            <w:pPr>
              <w:pStyle w:val="TableTextEntries"/>
            </w:pPr>
          </w:p>
        </w:tc>
        <w:tc>
          <w:tcPr>
            <w:tcW w:w="822" w:type="pct"/>
          </w:tcPr>
          <w:p w14:paraId="5F3CE2A3" w14:textId="77777777" w:rsidR="00377C84" w:rsidRPr="004C79DC" w:rsidRDefault="00377C84" w:rsidP="001820A7">
            <w:pPr>
              <w:pStyle w:val="TableTextEntries"/>
            </w:pPr>
            <w:r w:rsidRPr="004C79DC">
              <w:t>4.9 Number of hectares of productive land released from unexploded ordnance contamination</w:t>
            </w:r>
          </w:p>
        </w:tc>
        <w:tc>
          <w:tcPr>
            <w:tcW w:w="822" w:type="pct"/>
          </w:tcPr>
          <w:p w14:paraId="3DCF7A28" w14:textId="77777777" w:rsidR="00377C84" w:rsidRPr="004C79DC" w:rsidRDefault="00377C84" w:rsidP="001820A7">
            <w:pPr>
              <w:pStyle w:val="TableTextEntries"/>
            </w:pPr>
            <w:r w:rsidRPr="004C79DC">
              <w:t>630</w:t>
            </w:r>
          </w:p>
        </w:tc>
        <w:tc>
          <w:tcPr>
            <w:tcW w:w="821" w:type="pct"/>
          </w:tcPr>
          <w:p w14:paraId="5B8E1C6F" w14:textId="77777777" w:rsidR="00377C84" w:rsidRPr="004C79DC" w:rsidRDefault="00377C84" w:rsidP="001820A7">
            <w:pPr>
              <w:pStyle w:val="TableTextEntries"/>
            </w:pPr>
          </w:p>
        </w:tc>
        <w:tc>
          <w:tcPr>
            <w:tcW w:w="821" w:type="pct"/>
          </w:tcPr>
          <w:p w14:paraId="75E5A83C" w14:textId="77777777" w:rsidR="00377C84" w:rsidRPr="004C79DC" w:rsidRDefault="00377C84" w:rsidP="001820A7">
            <w:pPr>
              <w:pStyle w:val="TableTextEntries"/>
            </w:pPr>
          </w:p>
        </w:tc>
      </w:tr>
      <w:tr w:rsidR="00377C84" w:rsidRPr="004C79DC" w14:paraId="796B7CA8"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tcPr>
          <w:p w14:paraId="2BE901D1" w14:textId="77777777" w:rsidR="00377C84" w:rsidRPr="004C79DC" w:rsidRDefault="00377C84" w:rsidP="001820A7">
            <w:pPr>
              <w:pStyle w:val="TableTextEntries"/>
            </w:pPr>
          </w:p>
        </w:tc>
        <w:tc>
          <w:tcPr>
            <w:tcW w:w="822" w:type="pct"/>
          </w:tcPr>
          <w:p w14:paraId="24F7847F" w14:textId="77777777" w:rsidR="00377C84" w:rsidRPr="004C79DC" w:rsidRDefault="00377C84" w:rsidP="001820A7">
            <w:pPr>
              <w:pStyle w:val="TableTextEntries"/>
            </w:pPr>
          </w:p>
        </w:tc>
        <w:tc>
          <w:tcPr>
            <w:tcW w:w="822" w:type="pct"/>
          </w:tcPr>
          <w:p w14:paraId="46A2C03F" w14:textId="205F423A" w:rsidR="00377C84" w:rsidRPr="004C79DC" w:rsidRDefault="00377C84" w:rsidP="001820A7">
            <w:pPr>
              <w:pStyle w:val="TableTextEntries"/>
            </w:pPr>
            <w:r w:rsidRPr="004C79DC">
              <w:t>4.10 Government support for a sustainable unexploded ordnance sector as evidenced</w:t>
            </w:r>
            <w:r>
              <w:t xml:space="preserve"> by:</w:t>
            </w:r>
          </w:p>
        </w:tc>
        <w:tc>
          <w:tcPr>
            <w:tcW w:w="822" w:type="pct"/>
          </w:tcPr>
          <w:p w14:paraId="6CB60EFF" w14:textId="77777777" w:rsidR="00377C84" w:rsidRPr="004C79DC" w:rsidRDefault="00377C84" w:rsidP="001820A7">
            <w:pPr>
              <w:pStyle w:val="TableTextEntries"/>
            </w:pPr>
            <w:r w:rsidRPr="004C79DC">
              <w:t>4.10 Government of Laos asked National Regulatory Authority to submit budget proposal</w:t>
            </w:r>
          </w:p>
        </w:tc>
        <w:tc>
          <w:tcPr>
            <w:tcW w:w="821" w:type="pct"/>
          </w:tcPr>
          <w:p w14:paraId="1F6A2BDF" w14:textId="77777777" w:rsidR="00377C84" w:rsidRPr="004C79DC" w:rsidRDefault="00377C84" w:rsidP="001820A7">
            <w:pPr>
              <w:pStyle w:val="TableTextEntries"/>
            </w:pPr>
          </w:p>
        </w:tc>
        <w:tc>
          <w:tcPr>
            <w:tcW w:w="821" w:type="pct"/>
          </w:tcPr>
          <w:p w14:paraId="4721DEC1" w14:textId="77777777" w:rsidR="00377C84" w:rsidRPr="004C79DC" w:rsidRDefault="00377C84" w:rsidP="001820A7">
            <w:pPr>
              <w:pStyle w:val="TableTextEntries"/>
            </w:pPr>
          </w:p>
        </w:tc>
      </w:tr>
      <w:tr w:rsidR="00377C84" w:rsidRPr="004C79DC" w14:paraId="1D64A313" w14:textId="77777777" w:rsidTr="00377C84">
        <w:trPr>
          <w:cantSplit/>
          <w:tblHeader w:val="0"/>
        </w:trPr>
        <w:tc>
          <w:tcPr>
            <w:tcW w:w="822" w:type="pct"/>
          </w:tcPr>
          <w:p w14:paraId="2B9A4479" w14:textId="77777777" w:rsidR="00377C84" w:rsidRPr="004C79DC" w:rsidRDefault="00377C84" w:rsidP="001820A7">
            <w:pPr>
              <w:pStyle w:val="TableTextEntries"/>
            </w:pPr>
          </w:p>
        </w:tc>
        <w:tc>
          <w:tcPr>
            <w:tcW w:w="822" w:type="pct"/>
          </w:tcPr>
          <w:p w14:paraId="5841B125" w14:textId="77777777" w:rsidR="00377C84" w:rsidRPr="004C79DC" w:rsidRDefault="00377C84" w:rsidP="001820A7">
            <w:pPr>
              <w:pStyle w:val="TableTextEntries"/>
            </w:pPr>
          </w:p>
        </w:tc>
        <w:tc>
          <w:tcPr>
            <w:tcW w:w="822" w:type="pct"/>
          </w:tcPr>
          <w:p w14:paraId="6B35B473" w14:textId="77777777" w:rsidR="00377C84" w:rsidRPr="004C79DC" w:rsidRDefault="00377C84" w:rsidP="001820A7">
            <w:pPr>
              <w:pStyle w:val="TableTextEntries"/>
            </w:pPr>
            <w:r w:rsidRPr="004C79DC">
              <w:t>national budget allocation for unexploded ordnance clearance operations</w:t>
            </w:r>
          </w:p>
        </w:tc>
        <w:tc>
          <w:tcPr>
            <w:tcW w:w="822" w:type="pct"/>
          </w:tcPr>
          <w:p w14:paraId="0658A215" w14:textId="77777777" w:rsidR="00377C84" w:rsidRPr="004C79DC" w:rsidRDefault="00377C84" w:rsidP="001820A7">
            <w:pPr>
              <w:pStyle w:val="TableTextEntries"/>
            </w:pPr>
          </w:p>
        </w:tc>
        <w:tc>
          <w:tcPr>
            <w:tcW w:w="821" w:type="pct"/>
          </w:tcPr>
          <w:p w14:paraId="114EAE50" w14:textId="77777777" w:rsidR="00377C84" w:rsidRPr="004C79DC" w:rsidRDefault="00377C84" w:rsidP="001820A7">
            <w:pPr>
              <w:pStyle w:val="TableTextEntries"/>
            </w:pPr>
          </w:p>
        </w:tc>
        <w:tc>
          <w:tcPr>
            <w:tcW w:w="821" w:type="pct"/>
          </w:tcPr>
          <w:p w14:paraId="1281ECC3" w14:textId="77777777" w:rsidR="00377C84" w:rsidRPr="004C79DC" w:rsidRDefault="00377C84" w:rsidP="001820A7">
            <w:pPr>
              <w:pStyle w:val="TableTextEntries"/>
            </w:pPr>
          </w:p>
        </w:tc>
      </w:tr>
      <w:tr w:rsidR="00377C84" w:rsidRPr="004C79DC" w14:paraId="6E59B26E"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tcPr>
          <w:p w14:paraId="38D0C627" w14:textId="77777777" w:rsidR="00377C84" w:rsidRPr="004C79DC" w:rsidRDefault="00377C84" w:rsidP="001820A7">
            <w:pPr>
              <w:pStyle w:val="TableTextEntries"/>
            </w:pPr>
          </w:p>
        </w:tc>
        <w:tc>
          <w:tcPr>
            <w:tcW w:w="822" w:type="pct"/>
          </w:tcPr>
          <w:p w14:paraId="3C4E8D20" w14:textId="77777777" w:rsidR="00377C84" w:rsidRPr="004C79DC" w:rsidRDefault="00377C84" w:rsidP="001820A7">
            <w:pPr>
              <w:pStyle w:val="TableTextEntries"/>
            </w:pPr>
          </w:p>
        </w:tc>
        <w:tc>
          <w:tcPr>
            <w:tcW w:w="822" w:type="pct"/>
          </w:tcPr>
          <w:p w14:paraId="2C88DEFD" w14:textId="77777777" w:rsidR="00377C84" w:rsidRPr="004C79DC" w:rsidRDefault="00377C84" w:rsidP="001820A7">
            <w:pPr>
              <w:pStyle w:val="TableTextEntries"/>
            </w:pPr>
            <w:r w:rsidRPr="004C79DC">
              <w:t>competitive government salaries</w:t>
            </w:r>
          </w:p>
        </w:tc>
        <w:tc>
          <w:tcPr>
            <w:tcW w:w="822" w:type="pct"/>
          </w:tcPr>
          <w:p w14:paraId="19DF6C00" w14:textId="77777777" w:rsidR="00377C84" w:rsidRPr="004C79DC" w:rsidRDefault="00377C84" w:rsidP="001820A7">
            <w:pPr>
              <w:pStyle w:val="TableTextEntries"/>
            </w:pPr>
          </w:p>
        </w:tc>
        <w:tc>
          <w:tcPr>
            <w:tcW w:w="821" w:type="pct"/>
          </w:tcPr>
          <w:p w14:paraId="2B3EF88B" w14:textId="77777777" w:rsidR="00377C84" w:rsidRPr="004C79DC" w:rsidRDefault="00377C84" w:rsidP="001820A7">
            <w:pPr>
              <w:pStyle w:val="TableTextEntries"/>
            </w:pPr>
          </w:p>
        </w:tc>
        <w:tc>
          <w:tcPr>
            <w:tcW w:w="821" w:type="pct"/>
          </w:tcPr>
          <w:p w14:paraId="29D1BD58" w14:textId="77777777" w:rsidR="00377C84" w:rsidRPr="004C79DC" w:rsidRDefault="00377C84" w:rsidP="001820A7">
            <w:pPr>
              <w:pStyle w:val="TableTextEntries"/>
            </w:pPr>
          </w:p>
        </w:tc>
      </w:tr>
      <w:tr w:rsidR="00377C84" w:rsidRPr="004C79DC" w14:paraId="2BCF92B0" w14:textId="77777777" w:rsidTr="00377C84">
        <w:trPr>
          <w:cantSplit/>
          <w:tblHeader w:val="0"/>
        </w:trPr>
        <w:tc>
          <w:tcPr>
            <w:tcW w:w="822" w:type="pct"/>
          </w:tcPr>
          <w:p w14:paraId="021F2186" w14:textId="77777777" w:rsidR="00377C84" w:rsidRPr="004C79DC" w:rsidRDefault="00377C84" w:rsidP="001820A7">
            <w:pPr>
              <w:pStyle w:val="TableTextEntries"/>
            </w:pPr>
          </w:p>
        </w:tc>
        <w:tc>
          <w:tcPr>
            <w:tcW w:w="822" w:type="pct"/>
          </w:tcPr>
          <w:p w14:paraId="7F55B305" w14:textId="77777777" w:rsidR="00377C84" w:rsidRPr="004C79DC" w:rsidRDefault="00377C84" w:rsidP="001820A7">
            <w:pPr>
              <w:pStyle w:val="TableTextEntries"/>
            </w:pPr>
            <w:r w:rsidRPr="004C79DC">
              <w:t xml:space="preserve">Strategy objective 5: </w:t>
            </w:r>
          </w:p>
          <w:p w14:paraId="15C1C081" w14:textId="77777777" w:rsidR="00377C84" w:rsidRPr="004C79DC" w:rsidRDefault="00377C84" w:rsidP="001820A7">
            <w:pPr>
              <w:pStyle w:val="TableTextEntries"/>
            </w:pPr>
            <w:r w:rsidRPr="004C79DC">
              <w:t>Improve physical access to markets and basic services</w:t>
            </w:r>
          </w:p>
        </w:tc>
        <w:tc>
          <w:tcPr>
            <w:tcW w:w="822" w:type="pct"/>
          </w:tcPr>
          <w:p w14:paraId="4502DEAB" w14:textId="77777777" w:rsidR="00377C84" w:rsidRPr="004C79DC" w:rsidRDefault="00377C84" w:rsidP="001820A7">
            <w:pPr>
              <w:pStyle w:val="TableTextEntries"/>
            </w:pPr>
          </w:p>
        </w:tc>
        <w:tc>
          <w:tcPr>
            <w:tcW w:w="822" w:type="pct"/>
          </w:tcPr>
          <w:p w14:paraId="1A251CBE" w14:textId="77777777" w:rsidR="00377C84" w:rsidRPr="004C79DC" w:rsidRDefault="00377C84" w:rsidP="001820A7">
            <w:pPr>
              <w:pStyle w:val="TableTextEntries"/>
            </w:pPr>
          </w:p>
        </w:tc>
        <w:tc>
          <w:tcPr>
            <w:tcW w:w="821" w:type="pct"/>
          </w:tcPr>
          <w:p w14:paraId="1CCC579A" w14:textId="77777777" w:rsidR="00377C84" w:rsidRPr="004C79DC" w:rsidRDefault="00377C84" w:rsidP="001820A7">
            <w:pPr>
              <w:pStyle w:val="TableTextEntries"/>
            </w:pPr>
          </w:p>
        </w:tc>
        <w:tc>
          <w:tcPr>
            <w:tcW w:w="821" w:type="pct"/>
          </w:tcPr>
          <w:p w14:paraId="664979B9" w14:textId="77777777" w:rsidR="00377C84" w:rsidRPr="004C79DC" w:rsidRDefault="00377C84" w:rsidP="001820A7">
            <w:pPr>
              <w:pStyle w:val="TableTextEntries"/>
            </w:pPr>
          </w:p>
        </w:tc>
      </w:tr>
      <w:tr w:rsidR="00377C84" w:rsidRPr="004C79DC" w14:paraId="11A3F57A"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tcPr>
          <w:p w14:paraId="553B33AA" w14:textId="77777777" w:rsidR="00377C84" w:rsidRPr="004C79DC" w:rsidRDefault="00377C84" w:rsidP="001820A7">
            <w:pPr>
              <w:pStyle w:val="TableTextEntries"/>
            </w:pPr>
          </w:p>
        </w:tc>
        <w:tc>
          <w:tcPr>
            <w:tcW w:w="822" w:type="pct"/>
          </w:tcPr>
          <w:p w14:paraId="5B39F6C5" w14:textId="77777777" w:rsidR="00377C84" w:rsidRPr="004C79DC" w:rsidRDefault="00377C84" w:rsidP="001820A7">
            <w:pPr>
              <w:pStyle w:val="TableTextEntries"/>
            </w:pPr>
            <w:r w:rsidRPr="004C79DC">
              <w:t xml:space="preserve"> </w:t>
            </w:r>
          </w:p>
        </w:tc>
        <w:tc>
          <w:tcPr>
            <w:tcW w:w="822" w:type="pct"/>
          </w:tcPr>
          <w:p w14:paraId="59BCC0A0" w14:textId="0EE2E297" w:rsidR="00377C84" w:rsidRPr="004C79DC" w:rsidRDefault="00377C84" w:rsidP="00CD132E">
            <w:pPr>
              <w:pStyle w:val="TableTextEntries"/>
            </w:pPr>
            <w:r w:rsidRPr="004C79DC">
              <w:t xml:space="preserve">5.1 Number of km rural roads constructed and rehabilitated </w:t>
            </w:r>
          </w:p>
        </w:tc>
        <w:tc>
          <w:tcPr>
            <w:tcW w:w="822" w:type="pct"/>
          </w:tcPr>
          <w:p w14:paraId="3936AAE5" w14:textId="77777777" w:rsidR="00377C84" w:rsidRPr="004C79DC" w:rsidRDefault="00377C84" w:rsidP="001820A7">
            <w:pPr>
              <w:pStyle w:val="TableTextEntries"/>
            </w:pPr>
            <w:r w:rsidRPr="004C79DC">
              <w:t>5.1.1 Northern Transport Network Improvement Project. At total of 56.7km rural paved roads built</w:t>
            </w:r>
          </w:p>
        </w:tc>
        <w:tc>
          <w:tcPr>
            <w:tcW w:w="821" w:type="pct"/>
          </w:tcPr>
          <w:p w14:paraId="0146D4D5" w14:textId="77777777" w:rsidR="00377C84" w:rsidRPr="004C79DC" w:rsidRDefault="00377C84" w:rsidP="001820A7">
            <w:pPr>
              <w:pStyle w:val="TableTextEntries"/>
            </w:pPr>
          </w:p>
        </w:tc>
        <w:tc>
          <w:tcPr>
            <w:tcW w:w="821" w:type="pct"/>
          </w:tcPr>
          <w:p w14:paraId="155FA75A" w14:textId="77777777" w:rsidR="00377C84" w:rsidRPr="004C79DC" w:rsidRDefault="00377C84" w:rsidP="001820A7">
            <w:pPr>
              <w:pStyle w:val="TableTextEntries"/>
            </w:pPr>
          </w:p>
        </w:tc>
      </w:tr>
      <w:tr w:rsidR="00377C84" w:rsidRPr="004C79DC" w14:paraId="39C3776B" w14:textId="77777777" w:rsidTr="00377C84">
        <w:trPr>
          <w:cantSplit/>
          <w:tblHeader w:val="0"/>
        </w:trPr>
        <w:tc>
          <w:tcPr>
            <w:tcW w:w="822" w:type="pct"/>
          </w:tcPr>
          <w:p w14:paraId="5A0CF6C3" w14:textId="77777777" w:rsidR="00377C84" w:rsidRPr="004C79DC" w:rsidRDefault="00377C84" w:rsidP="001820A7">
            <w:pPr>
              <w:pStyle w:val="TableTextEntries"/>
            </w:pPr>
          </w:p>
        </w:tc>
        <w:tc>
          <w:tcPr>
            <w:tcW w:w="822" w:type="pct"/>
          </w:tcPr>
          <w:p w14:paraId="3E638A31" w14:textId="77777777" w:rsidR="00377C84" w:rsidRPr="004C79DC" w:rsidRDefault="00377C84" w:rsidP="001820A7">
            <w:pPr>
              <w:pStyle w:val="TableTextEntries"/>
            </w:pPr>
          </w:p>
        </w:tc>
        <w:tc>
          <w:tcPr>
            <w:tcW w:w="822" w:type="pct"/>
          </w:tcPr>
          <w:p w14:paraId="0BB958E3" w14:textId="77777777" w:rsidR="00377C84" w:rsidRPr="004C79DC" w:rsidRDefault="00377C84" w:rsidP="001820A7">
            <w:pPr>
              <w:pStyle w:val="TableTextEntries"/>
              <w:rPr>
                <w:highlight w:val="green"/>
              </w:rPr>
            </w:pPr>
          </w:p>
        </w:tc>
        <w:tc>
          <w:tcPr>
            <w:tcW w:w="822" w:type="pct"/>
          </w:tcPr>
          <w:p w14:paraId="6093C332" w14:textId="77777777" w:rsidR="00377C84" w:rsidRPr="004C79DC" w:rsidRDefault="00377C84" w:rsidP="001820A7">
            <w:pPr>
              <w:pStyle w:val="TableTextEntries"/>
            </w:pPr>
            <w:r w:rsidRPr="004C79DC">
              <w:t>5.1.2 Poverty Reduction Fund. At least 60km low volume traffic rural roads constructed and rehabilitated</w:t>
            </w:r>
          </w:p>
        </w:tc>
        <w:tc>
          <w:tcPr>
            <w:tcW w:w="821" w:type="pct"/>
          </w:tcPr>
          <w:p w14:paraId="1FB440FD" w14:textId="77777777" w:rsidR="00377C84" w:rsidRPr="004C79DC" w:rsidRDefault="00377C84" w:rsidP="001820A7">
            <w:pPr>
              <w:pStyle w:val="TableTextEntries"/>
            </w:pPr>
          </w:p>
        </w:tc>
        <w:tc>
          <w:tcPr>
            <w:tcW w:w="821" w:type="pct"/>
          </w:tcPr>
          <w:p w14:paraId="612DEBFF" w14:textId="77777777" w:rsidR="00377C84" w:rsidRPr="004C79DC" w:rsidRDefault="00377C84" w:rsidP="001820A7">
            <w:pPr>
              <w:pStyle w:val="TableTextEntries"/>
            </w:pPr>
          </w:p>
        </w:tc>
      </w:tr>
      <w:tr w:rsidR="00377C84" w:rsidRPr="004C79DC" w14:paraId="45E3F6B8"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tcPr>
          <w:p w14:paraId="1AC91F49" w14:textId="77777777" w:rsidR="00377C84" w:rsidRPr="004C79DC" w:rsidRDefault="00377C84" w:rsidP="001820A7">
            <w:pPr>
              <w:pStyle w:val="TableTextEntries"/>
            </w:pPr>
          </w:p>
        </w:tc>
        <w:tc>
          <w:tcPr>
            <w:tcW w:w="822" w:type="pct"/>
          </w:tcPr>
          <w:p w14:paraId="30C1FE13" w14:textId="77777777" w:rsidR="00377C84" w:rsidRPr="004C79DC" w:rsidRDefault="00377C84" w:rsidP="001820A7">
            <w:pPr>
              <w:pStyle w:val="TableTextEntries"/>
            </w:pPr>
          </w:p>
        </w:tc>
        <w:tc>
          <w:tcPr>
            <w:tcW w:w="822" w:type="pct"/>
          </w:tcPr>
          <w:p w14:paraId="1D3CEE7B" w14:textId="77777777" w:rsidR="00377C84" w:rsidRPr="004C79DC" w:rsidRDefault="00377C84" w:rsidP="001820A7">
            <w:pPr>
              <w:pStyle w:val="TableTextEntries"/>
            </w:pPr>
            <w:r w:rsidRPr="004C79DC">
              <w:t>5.2 Number of additional women and men with improved access to rural roads</w:t>
            </w:r>
          </w:p>
          <w:p w14:paraId="4595946A" w14:textId="77777777" w:rsidR="00377C84" w:rsidRPr="004C79DC" w:rsidRDefault="00377C84" w:rsidP="001820A7">
            <w:pPr>
              <w:pStyle w:val="TableTextEntries"/>
            </w:pPr>
          </w:p>
        </w:tc>
        <w:tc>
          <w:tcPr>
            <w:tcW w:w="822" w:type="pct"/>
          </w:tcPr>
          <w:p w14:paraId="166B7509" w14:textId="6ABE14C1" w:rsidR="00377C84" w:rsidRPr="004C79DC" w:rsidRDefault="00932C33" w:rsidP="001820A7">
            <w:pPr>
              <w:pStyle w:val="TableTextEntries"/>
            </w:pPr>
            <w:r>
              <w:t xml:space="preserve">5.2 </w:t>
            </w:r>
            <w:r w:rsidR="00377C84" w:rsidRPr="004C79DC">
              <w:t>Number of additional women and men with improved access to rural roads (Northern Transport Network Improvement Project and Poverty Reduction Fund)</w:t>
            </w:r>
          </w:p>
        </w:tc>
        <w:tc>
          <w:tcPr>
            <w:tcW w:w="821" w:type="pct"/>
          </w:tcPr>
          <w:p w14:paraId="33759B88" w14:textId="77777777" w:rsidR="00377C84" w:rsidRPr="004C79DC" w:rsidRDefault="00377C84" w:rsidP="001820A7">
            <w:pPr>
              <w:pStyle w:val="TableTextEntries"/>
            </w:pPr>
          </w:p>
        </w:tc>
        <w:tc>
          <w:tcPr>
            <w:tcW w:w="821" w:type="pct"/>
          </w:tcPr>
          <w:p w14:paraId="41DC9243" w14:textId="77777777" w:rsidR="00377C84" w:rsidRPr="004C79DC" w:rsidRDefault="00377C84" w:rsidP="001820A7">
            <w:pPr>
              <w:pStyle w:val="TableTextEntries"/>
            </w:pPr>
          </w:p>
        </w:tc>
      </w:tr>
      <w:tr w:rsidR="00377C84" w:rsidRPr="004C79DC" w14:paraId="4E1DEA6A" w14:textId="77777777" w:rsidTr="00377C84">
        <w:trPr>
          <w:cantSplit/>
          <w:tblHeader w:val="0"/>
        </w:trPr>
        <w:tc>
          <w:tcPr>
            <w:tcW w:w="822" w:type="pct"/>
          </w:tcPr>
          <w:p w14:paraId="557CDDA3" w14:textId="77777777" w:rsidR="00377C84" w:rsidRPr="004C79DC" w:rsidRDefault="00377C84" w:rsidP="001820A7">
            <w:pPr>
              <w:pStyle w:val="TableTextEntries"/>
            </w:pPr>
          </w:p>
        </w:tc>
        <w:tc>
          <w:tcPr>
            <w:tcW w:w="822" w:type="pct"/>
          </w:tcPr>
          <w:p w14:paraId="324FAC87" w14:textId="77777777" w:rsidR="00377C84" w:rsidRPr="004C79DC" w:rsidRDefault="00377C84" w:rsidP="001820A7">
            <w:pPr>
              <w:pStyle w:val="TableTextEntries"/>
            </w:pPr>
          </w:p>
        </w:tc>
        <w:tc>
          <w:tcPr>
            <w:tcW w:w="822" w:type="pct"/>
          </w:tcPr>
          <w:p w14:paraId="359A899D" w14:textId="311B826A" w:rsidR="00377C84" w:rsidRPr="004C79DC" w:rsidRDefault="00932C33" w:rsidP="00CD132E">
            <w:pPr>
              <w:pStyle w:val="TableTextEntries"/>
            </w:pPr>
            <w:r>
              <w:t xml:space="preserve">5.3 </w:t>
            </w:r>
            <w:r w:rsidR="00377C84" w:rsidRPr="004C79DC">
              <w:t xml:space="preserve">number of people provided with increased access to safe water </w:t>
            </w:r>
          </w:p>
        </w:tc>
        <w:tc>
          <w:tcPr>
            <w:tcW w:w="822" w:type="pct"/>
          </w:tcPr>
          <w:p w14:paraId="049E2C52" w14:textId="0766E1E5" w:rsidR="00377C84" w:rsidRPr="004C79DC" w:rsidRDefault="00932C33" w:rsidP="00CD132E">
            <w:pPr>
              <w:pStyle w:val="TableTextEntries"/>
            </w:pPr>
            <w:r>
              <w:t xml:space="preserve">5.3 Poverty Reduction Fund – </w:t>
            </w:r>
            <w:r w:rsidR="00377C84" w:rsidRPr="004C79DC">
              <w:t xml:space="preserve">number of people provided with increased access to safe water </w:t>
            </w:r>
          </w:p>
        </w:tc>
        <w:tc>
          <w:tcPr>
            <w:tcW w:w="821" w:type="pct"/>
          </w:tcPr>
          <w:p w14:paraId="431708ED" w14:textId="77777777" w:rsidR="00377C84" w:rsidRPr="004C79DC" w:rsidRDefault="00377C84" w:rsidP="001820A7">
            <w:pPr>
              <w:pStyle w:val="TableTextEntries"/>
            </w:pPr>
          </w:p>
        </w:tc>
        <w:tc>
          <w:tcPr>
            <w:tcW w:w="821" w:type="pct"/>
          </w:tcPr>
          <w:p w14:paraId="65BE3C58" w14:textId="77777777" w:rsidR="00377C84" w:rsidRPr="004C79DC" w:rsidRDefault="00377C84" w:rsidP="001820A7">
            <w:pPr>
              <w:pStyle w:val="TableTextEntries"/>
            </w:pPr>
          </w:p>
        </w:tc>
      </w:tr>
      <w:tr w:rsidR="00377C84" w:rsidRPr="004C79DC" w14:paraId="4CF6BE03" w14:textId="77777777" w:rsidTr="00377C84">
        <w:trPr>
          <w:cnfStyle w:val="000000010000" w:firstRow="0" w:lastRow="0" w:firstColumn="0" w:lastColumn="0" w:oddVBand="0" w:evenVBand="0" w:oddHBand="0" w:evenHBand="1" w:firstRowFirstColumn="0" w:firstRowLastColumn="0" w:lastRowFirstColumn="0" w:lastRowLastColumn="0"/>
          <w:cantSplit/>
          <w:tblHeader w:val="0"/>
        </w:trPr>
        <w:tc>
          <w:tcPr>
            <w:tcW w:w="822" w:type="pct"/>
          </w:tcPr>
          <w:p w14:paraId="6CB6B44E" w14:textId="77777777" w:rsidR="00377C84" w:rsidRPr="004C79DC" w:rsidRDefault="00377C84" w:rsidP="001820A7">
            <w:pPr>
              <w:pStyle w:val="TableTextEntries"/>
            </w:pPr>
          </w:p>
        </w:tc>
        <w:tc>
          <w:tcPr>
            <w:tcW w:w="822" w:type="pct"/>
          </w:tcPr>
          <w:p w14:paraId="382FFF56" w14:textId="77777777" w:rsidR="00377C84" w:rsidRPr="004C79DC" w:rsidRDefault="00377C84" w:rsidP="001820A7">
            <w:pPr>
              <w:pStyle w:val="TableTextEntries"/>
            </w:pPr>
          </w:p>
        </w:tc>
        <w:tc>
          <w:tcPr>
            <w:tcW w:w="822" w:type="pct"/>
          </w:tcPr>
          <w:p w14:paraId="24634868" w14:textId="77777777" w:rsidR="00377C84" w:rsidRPr="004C79DC" w:rsidRDefault="00377C84" w:rsidP="001820A7">
            <w:pPr>
              <w:pStyle w:val="TableTextEntries"/>
            </w:pPr>
            <w:r w:rsidRPr="004C79DC">
              <w:t>5.4 Ministry’s support for rolling out the technical standards (construction and maintaining rural low volume road) for national implementation</w:t>
            </w:r>
          </w:p>
        </w:tc>
        <w:tc>
          <w:tcPr>
            <w:tcW w:w="822" w:type="pct"/>
          </w:tcPr>
          <w:p w14:paraId="0FDD802C" w14:textId="77777777" w:rsidR="00377C84" w:rsidRPr="004C79DC" w:rsidRDefault="00377C84" w:rsidP="001820A7">
            <w:pPr>
              <w:pStyle w:val="TableTextEntries"/>
            </w:pPr>
            <w:r w:rsidRPr="004C79DC">
              <w:t>5.4.1 Technical standards and maintaining of rural low volume road revised and developed</w:t>
            </w:r>
          </w:p>
          <w:p w14:paraId="3F8AC8EA" w14:textId="77777777" w:rsidR="00377C84" w:rsidRPr="004C79DC" w:rsidRDefault="00377C84" w:rsidP="001820A7">
            <w:pPr>
              <w:pStyle w:val="TableTextEntries"/>
            </w:pPr>
            <w:r w:rsidRPr="004C79DC">
              <w:t xml:space="preserve">5.4.2 Training on technical standards and maintaining of rural low volume road to districts engineers conducted </w:t>
            </w:r>
          </w:p>
        </w:tc>
        <w:tc>
          <w:tcPr>
            <w:tcW w:w="821" w:type="pct"/>
          </w:tcPr>
          <w:p w14:paraId="4A4A83F0" w14:textId="77777777" w:rsidR="00377C84" w:rsidRPr="004C79DC" w:rsidRDefault="00377C84" w:rsidP="001820A7">
            <w:pPr>
              <w:pStyle w:val="TableTextEntries"/>
              <w:rPr>
                <w:highlight w:val="green"/>
              </w:rPr>
            </w:pPr>
          </w:p>
        </w:tc>
        <w:tc>
          <w:tcPr>
            <w:tcW w:w="821" w:type="pct"/>
          </w:tcPr>
          <w:p w14:paraId="27B45A3E" w14:textId="77777777" w:rsidR="00377C84" w:rsidRPr="004C79DC" w:rsidRDefault="00377C84" w:rsidP="001820A7">
            <w:pPr>
              <w:pStyle w:val="TableTextEntries"/>
            </w:pPr>
          </w:p>
        </w:tc>
      </w:tr>
    </w:tbl>
    <w:p w14:paraId="4DABC182" w14:textId="77777777" w:rsidR="00896F74" w:rsidRPr="00896F74" w:rsidRDefault="00896F74" w:rsidP="00896F74"/>
    <w:sectPr w:rsidR="00896F74" w:rsidRPr="00896F74" w:rsidSect="004614F1">
      <w:headerReference w:type="default" r:id="rId25"/>
      <w:footerReference w:type="default" r:id="rId26"/>
      <w:footerReference w:type="first" r:id="rId27"/>
      <w:pgSz w:w="16840" w:h="11907" w:orient="landscape" w:code="9"/>
      <w:pgMar w:top="1871" w:right="2268" w:bottom="1134"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66B6C" w14:textId="77777777" w:rsidR="007D3737" w:rsidRDefault="007D3737" w:rsidP="0050529F">
      <w:r>
        <w:separator/>
      </w:r>
    </w:p>
    <w:p w14:paraId="5213EBAB" w14:textId="77777777" w:rsidR="007D3737" w:rsidRDefault="007D3737"/>
    <w:p w14:paraId="6144EC5D" w14:textId="77777777" w:rsidR="007D3737" w:rsidRDefault="007D3737"/>
  </w:endnote>
  <w:endnote w:type="continuationSeparator" w:id="0">
    <w:p w14:paraId="47D7A5B4" w14:textId="77777777" w:rsidR="007D3737" w:rsidRDefault="007D3737" w:rsidP="0050529F">
      <w:r>
        <w:continuationSeparator/>
      </w:r>
    </w:p>
    <w:p w14:paraId="36FCCCEC" w14:textId="77777777" w:rsidR="007D3737" w:rsidRDefault="007D3737"/>
    <w:p w14:paraId="1B4E4E1B" w14:textId="77777777" w:rsidR="007D3737" w:rsidRDefault="007D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D653" w14:textId="1A7D286C" w:rsidR="007D3737" w:rsidRPr="004614F1" w:rsidRDefault="007D3737" w:rsidP="004614F1">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Aid Program Performance Report 2012−13 Lao People’s Democratic Republic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23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7392" behindDoc="1" locked="0" layoutInCell="1" allowOverlap="1" wp14:anchorId="372D7DF4" wp14:editId="6745D38D">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6368" behindDoc="1" locked="0" layoutInCell="1" allowOverlap="1" wp14:anchorId="7CD1C739" wp14:editId="16D4D157">
              <wp:simplePos x="0" y="0"/>
              <wp:positionH relativeFrom="column">
                <wp:posOffset>0</wp:posOffset>
              </wp:positionH>
              <wp:positionV relativeFrom="paragraph">
                <wp:posOffset>8498840</wp:posOffset>
              </wp:positionV>
              <wp:extent cx="7379970" cy="2181860"/>
              <wp:effectExtent l="0" t="2540" r="1905" b="0"/>
              <wp:wrapNone/>
              <wp:docPr id="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esWtgAwAAHA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CD3rFrYAMA&#10;ABw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8960" behindDoc="1" locked="0" layoutInCell="1" allowOverlap="1" wp14:anchorId="2F107CF7" wp14:editId="2696D09F">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3"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7936" behindDoc="1" locked="0" layoutInCell="1" allowOverlap="1" wp14:anchorId="02CE22C8" wp14:editId="3918FCEB">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3" o:title="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80A4" w14:textId="09AA5138" w:rsidR="007D3737" w:rsidRPr="004614F1" w:rsidRDefault="007D3737" w:rsidP="004614F1">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Aid Program Performance Report 2012−13 Lao People’s Democratic Republic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4320" behindDoc="1" locked="0" layoutInCell="1" allowOverlap="1" wp14:anchorId="5B237986" wp14:editId="7AF9F9B2">
              <wp:simplePos x="0" y="0"/>
              <wp:positionH relativeFrom="column">
                <wp:posOffset>0</wp:posOffset>
              </wp:positionH>
              <wp:positionV relativeFrom="paragraph">
                <wp:posOffset>8498840</wp:posOffset>
              </wp:positionV>
              <wp:extent cx="7379970" cy="2181860"/>
              <wp:effectExtent l="0" t="2540" r="1905" b="0"/>
              <wp:wrapNone/>
              <wp:docPr id="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9B9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izvQ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3296" behindDoc="1" locked="0" layoutInCell="1" allowOverlap="1" wp14:anchorId="62ED10B5" wp14:editId="3BA6D0F0">
              <wp:simplePos x="0" y="0"/>
              <wp:positionH relativeFrom="column">
                <wp:posOffset>0</wp:posOffset>
              </wp:positionH>
              <wp:positionV relativeFrom="paragraph">
                <wp:posOffset>8498840</wp:posOffset>
              </wp:positionV>
              <wp:extent cx="7379970" cy="2181860"/>
              <wp:effectExtent l="0" t="2540" r="1905" b="0"/>
              <wp:wrapNone/>
              <wp:docPr id="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7Dph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6Ow6Y&#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3337" w14:textId="3DC5C7F0" w:rsidR="007D3737" w:rsidRPr="004614F1" w:rsidRDefault="007D3737" w:rsidP="004614F1">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Aid Program Performance Report 2012−13 Lao People’s Democratic Republic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24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5824" behindDoc="1" locked="0" layoutInCell="1" allowOverlap="1" wp14:anchorId="6BD536D8" wp14:editId="6DA5E9DD">
              <wp:simplePos x="0" y="0"/>
              <wp:positionH relativeFrom="column">
                <wp:posOffset>0</wp:posOffset>
              </wp:positionH>
              <wp:positionV relativeFrom="paragraph">
                <wp:posOffset>8498840</wp:posOffset>
              </wp:positionV>
              <wp:extent cx="7379970" cy="2181860"/>
              <wp:effectExtent l="0" t="2540" r="1905" b="0"/>
              <wp:wrapNone/>
              <wp:docPr id="3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50H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6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MDnQ&#10;c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4800" behindDoc="1" locked="0" layoutInCell="1" allowOverlap="1" wp14:anchorId="1109A49F" wp14:editId="39FD1971">
              <wp:simplePos x="0" y="0"/>
              <wp:positionH relativeFrom="column">
                <wp:posOffset>0</wp:posOffset>
              </wp:positionH>
              <wp:positionV relativeFrom="paragraph">
                <wp:posOffset>8498840</wp:posOffset>
              </wp:positionV>
              <wp:extent cx="7379970" cy="2181860"/>
              <wp:effectExtent l="0" t="2540" r="1905" b="0"/>
              <wp:wrapNone/>
              <wp:docPr id="3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MD5t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p0wP&#10;m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C5E84" w14:textId="77777777" w:rsidR="007D3737" w:rsidRPr="004614F1" w:rsidRDefault="007D3737" w:rsidP="004614F1">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Aid Program Performance Report 2012−13 Lao People’s Democratic Republic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27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2752" behindDoc="1" locked="0" layoutInCell="1" allowOverlap="1" wp14:anchorId="0712BE6E" wp14:editId="75203895">
              <wp:simplePos x="0" y="0"/>
              <wp:positionH relativeFrom="column">
                <wp:posOffset>0</wp:posOffset>
              </wp:positionH>
              <wp:positionV relativeFrom="paragraph">
                <wp:posOffset>8498840</wp:posOffset>
              </wp:positionV>
              <wp:extent cx="7379970" cy="2181860"/>
              <wp:effectExtent l="0" t="2540" r="1905" b="0"/>
              <wp:wrapNone/>
              <wp:docPr id="3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Yah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tMB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N9h&#10;q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1728" behindDoc="1" locked="0" layoutInCell="1" allowOverlap="1" wp14:anchorId="702795ED" wp14:editId="39AF9138">
              <wp:simplePos x="0" y="0"/>
              <wp:positionH relativeFrom="column">
                <wp:posOffset>0</wp:posOffset>
              </wp:positionH>
              <wp:positionV relativeFrom="paragraph">
                <wp:posOffset>8498840</wp:posOffset>
              </wp:positionV>
              <wp:extent cx="7379970" cy="2181860"/>
              <wp:effectExtent l="0" t="2540" r="1905" b="0"/>
              <wp:wrapNone/>
              <wp:docPr id="3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vBh1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a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lS8G&#10;H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4D5A6" w14:textId="719418F0" w:rsidR="007D3737" w:rsidRPr="004C4A3E" w:rsidRDefault="007D373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4778F1">
      <w:rPr>
        <w:rFonts w:ascii="Franklin Gothic Medium" w:eastAsia="Times New Roman" w:hAnsi="Franklin Gothic Medium"/>
        <w:noProof/>
        <w:color w:val="5A9A98"/>
        <w:sz w:val="14"/>
        <w:szCs w:val="14"/>
      </w:rPr>
      <w:t>Aid Program Performance Report 2012−13 Lao People’s Democratic Republic</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778F1">
      <w:rPr>
        <w:rFonts w:ascii="Franklin Gothic Medium" w:eastAsia="Times New Roman" w:hAnsi="Franklin Gothic Medium"/>
        <w:noProof/>
        <w:color w:val="54534A"/>
        <w:sz w:val="14"/>
        <w:szCs w:val="14"/>
      </w:rPr>
      <w:t>49</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5648" behindDoc="1" locked="0" layoutInCell="1" allowOverlap="1" wp14:anchorId="05AF6D2F" wp14:editId="35FC67BC">
              <wp:simplePos x="0" y="0"/>
              <wp:positionH relativeFrom="column">
                <wp:posOffset>0</wp:posOffset>
              </wp:positionH>
              <wp:positionV relativeFrom="paragraph">
                <wp:posOffset>8498840</wp:posOffset>
              </wp:positionV>
              <wp:extent cx="7379970" cy="2181860"/>
              <wp:effectExtent l="0" t="2540" r="1905" b="0"/>
              <wp:wrapNone/>
              <wp:docPr id="1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Zle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5AkHeToE7BG5EEw5OYoMzUQtjqa1f0GDWyPCKUa6EYn&#10;2hyHQ28W4Oqx/6gdC6Z/UPVng6SqWvDEVlqroWWEAvLU7U9eHXCGgaNoP7xXFBCQo1WezudGd84h&#10;EIWefdZezlljzxbVMJlP87LMIbk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s5GZX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4624" behindDoc="1" locked="0" layoutInCell="1" allowOverlap="1" wp14:anchorId="2F2471F6" wp14:editId="2434BBF7">
              <wp:simplePos x="0" y="0"/>
              <wp:positionH relativeFrom="column">
                <wp:posOffset>0</wp:posOffset>
              </wp:positionH>
              <wp:positionV relativeFrom="paragraph">
                <wp:posOffset>8498840</wp:posOffset>
              </wp:positionV>
              <wp:extent cx="7379970" cy="2181860"/>
              <wp:effectExtent l="0" t="2540" r="1905" b="0"/>
              <wp:wrapNone/>
              <wp:docPr id="18"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AusAID web address graphic" style="position:absolute;margin-left:0;margin-top:669.2pt;width:581.1pt;height:17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hGCO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i4Rg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B0FB" w14:textId="77777777" w:rsidR="007D3737" w:rsidRPr="004614F1" w:rsidRDefault="007D3737" w:rsidP="004614F1">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Aid Program Performance Report 2012−13 Lao People’s Democratic Republic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29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6608" behindDoc="1" locked="0" layoutInCell="1" allowOverlap="1" wp14:anchorId="1D0E411D" wp14:editId="46E4A44A">
              <wp:simplePos x="0" y="0"/>
              <wp:positionH relativeFrom="column">
                <wp:posOffset>0</wp:posOffset>
              </wp:positionH>
              <wp:positionV relativeFrom="paragraph">
                <wp:posOffset>8498840</wp:posOffset>
              </wp:positionV>
              <wp:extent cx="7379970" cy="2181860"/>
              <wp:effectExtent l="0" t="2540" r="1905" b="0"/>
              <wp:wrapNone/>
              <wp:docPr id="28" name="Rectangle 28"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alt="Description: AusAID web address graphic" style="position:absolute;margin-left:0;margin-top:669.2pt;width:581.1pt;height:17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xU2F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MVNh&#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5584" behindDoc="1" locked="0" layoutInCell="1" allowOverlap="1" wp14:anchorId="4C7F91E9" wp14:editId="550D681E">
              <wp:simplePos x="0" y="0"/>
              <wp:positionH relativeFrom="column">
                <wp:posOffset>0</wp:posOffset>
              </wp:positionH>
              <wp:positionV relativeFrom="paragraph">
                <wp:posOffset>8498840</wp:posOffset>
              </wp:positionV>
              <wp:extent cx="7379970" cy="2181860"/>
              <wp:effectExtent l="0" t="2540" r="1905" b="0"/>
              <wp:wrapNone/>
              <wp:docPr id="2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Qz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J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6kZD&#10;N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2A08" w14:textId="77777777" w:rsidR="007D3737" w:rsidRPr="004C4A3E" w:rsidRDefault="007D373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0768" behindDoc="1" locked="1" layoutInCell="1" allowOverlap="1" wp14:anchorId="161BC528" wp14:editId="42673B84">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4778F1">
      <w:rPr>
        <w:rFonts w:ascii="Franklin Gothic Medium" w:eastAsia="Times New Roman" w:hAnsi="Franklin Gothic Medium"/>
        <w:noProof/>
        <w:color w:val="5A9A98"/>
        <w:sz w:val="14"/>
        <w:szCs w:val="14"/>
      </w:rPr>
      <w:t>Aid Program Performance Report 2012−13 Lao People’s Democratic Republic</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778F1">
      <w:rPr>
        <w:rFonts w:ascii="Franklin Gothic Medium" w:eastAsia="Times New Roman" w:hAnsi="Franklin Gothic Medium"/>
        <w:noProof/>
        <w:color w:val="54534A"/>
        <w:sz w:val="14"/>
        <w:szCs w:val="14"/>
      </w:rPr>
      <w:t>49</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744" behindDoc="1" locked="0" layoutInCell="1" allowOverlap="1" wp14:anchorId="0D630256" wp14:editId="2A5D4661">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720" behindDoc="1" locked="0" layoutInCell="1" allowOverlap="1" wp14:anchorId="5761C65D" wp14:editId="5D03B06E">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388F" w14:textId="566799AC" w:rsidR="007D3737" w:rsidRPr="004614F1" w:rsidRDefault="007D3737" w:rsidP="004614F1">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Aid Program Performance Report 2012−13 Lao People’s Democratic Republic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778F1">
      <w:rPr>
        <w:rFonts w:ascii="Franklin Gothic Medium" w:eastAsia="Times New Roman" w:hAnsi="Franklin Gothic Medium"/>
        <w:noProof/>
        <w:sz w:val="14"/>
        <w:szCs w:val="14"/>
      </w:rPr>
      <w:t>49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0464" behindDoc="1" locked="0" layoutInCell="1" allowOverlap="1" wp14:anchorId="2F9F14D0" wp14:editId="04EE4030">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9440" behindDoc="1" locked="0" layoutInCell="1" allowOverlap="1" wp14:anchorId="432135FF" wp14:editId="6C215931">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F5FD" w14:textId="77777777" w:rsidR="007D3737" w:rsidRDefault="007D37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45011" w14:textId="77777777" w:rsidR="007D3737" w:rsidRDefault="007D3737" w:rsidP="0050529F">
      <w:r>
        <w:separator/>
      </w:r>
    </w:p>
    <w:p w14:paraId="3DF06AA0" w14:textId="77777777" w:rsidR="007D3737" w:rsidRDefault="007D3737"/>
    <w:p w14:paraId="4B375CC8" w14:textId="77777777" w:rsidR="007D3737" w:rsidRDefault="007D3737"/>
  </w:footnote>
  <w:footnote w:type="continuationSeparator" w:id="0">
    <w:p w14:paraId="680F0ADB" w14:textId="77777777" w:rsidR="007D3737" w:rsidRDefault="007D3737" w:rsidP="0050529F">
      <w:r>
        <w:continuationSeparator/>
      </w:r>
    </w:p>
    <w:p w14:paraId="242063E1" w14:textId="77777777" w:rsidR="007D3737" w:rsidRDefault="007D3737"/>
    <w:p w14:paraId="09A46CEF" w14:textId="77777777" w:rsidR="007D3737" w:rsidRDefault="007D3737"/>
  </w:footnote>
  <w:footnote w:id="1">
    <w:p w14:paraId="71945336" w14:textId="269174C8" w:rsidR="007D3737" w:rsidRDefault="007D3737">
      <w:pPr>
        <w:pStyle w:val="FootnoteText"/>
      </w:pPr>
      <w:r>
        <w:rPr>
          <w:rStyle w:val="FootnoteReference"/>
        </w:rPr>
        <w:footnoteRef/>
      </w:r>
      <w:r>
        <w:t xml:space="preserve"> Note that there is a separate annual </w:t>
      </w:r>
      <w:proofErr w:type="gramStart"/>
      <w:r>
        <w:t>aid  program</w:t>
      </w:r>
      <w:proofErr w:type="gramEnd"/>
      <w:r>
        <w:t xml:space="preserve"> performance report for Australia’s Mekong Water Resources Program, which reports on activities in the natural resource management sector for Laos.</w:t>
      </w:r>
    </w:p>
  </w:footnote>
  <w:footnote w:id="2">
    <w:p w14:paraId="624923FE" w14:textId="3345A509" w:rsidR="007D3737" w:rsidRDefault="007D3737">
      <w:pPr>
        <w:pStyle w:val="FootnoteText"/>
      </w:pPr>
      <w:r>
        <w:rPr>
          <w:rStyle w:val="FootnoteReference"/>
        </w:rPr>
        <w:footnoteRef/>
      </w:r>
      <w:r>
        <w:t xml:space="preserve"> Lao Economic Monitor Update, World Bank, November 2012. Note GDP growth was measured at 8.2 per cent by the World Bank.</w:t>
      </w:r>
    </w:p>
  </w:footnote>
  <w:footnote w:id="3">
    <w:p w14:paraId="2AF6BE56" w14:textId="4ED2DFCE" w:rsidR="007D3737" w:rsidRDefault="007D3737">
      <w:pPr>
        <w:pStyle w:val="FootnoteText"/>
      </w:pPr>
      <w:r>
        <w:rPr>
          <w:rStyle w:val="FootnoteReference"/>
        </w:rPr>
        <w:footnoteRef/>
      </w:r>
      <w:r>
        <w:t xml:space="preserve"> The 9</w:t>
      </w:r>
      <w:r w:rsidRPr="005D05BC">
        <w:rPr>
          <w:vertAlign w:val="superscript"/>
        </w:rPr>
        <w:t>th</w:t>
      </w:r>
      <w:r>
        <w:t xml:space="preserve"> Asia-Europe Meeting was held from 5 to 6 November 2012.</w:t>
      </w:r>
    </w:p>
  </w:footnote>
  <w:footnote w:id="4">
    <w:p w14:paraId="56F0B4C5" w14:textId="6B98017D" w:rsidR="007D3737" w:rsidRDefault="007D3737">
      <w:pPr>
        <w:pStyle w:val="FootnoteText"/>
      </w:pPr>
      <w:r>
        <w:rPr>
          <w:rStyle w:val="FootnoteReference"/>
        </w:rPr>
        <w:footnoteRef/>
      </w:r>
      <w:r>
        <w:t xml:space="preserve"> Lao Economic Monitor Update, World Bank, November 2012. Note that the re-classification of debt distress for Laos was based on the joint International Monetary Fund-World Bank Debt Sustainability Analysis Framework.</w:t>
      </w:r>
    </w:p>
  </w:footnote>
  <w:footnote w:id="5">
    <w:p w14:paraId="6B53C700" w14:textId="59E41EFE" w:rsidR="007D3737" w:rsidRDefault="007D3737">
      <w:pPr>
        <w:pStyle w:val="FootnoteText"/>
      </w:pPr>
      <w:r>
        <w:rPr>
          <w:rStyle w:val="FootnoteReference"/>
        </w:rPr>
        <w:footnoteRef/>
      </w:r>
      <w:r>
        <w:t xml:space="preserve"> The latest available data on poverty incidence is from the World Bank-funded Lao Expenditure and Consumption Survey 2007–08, Ministry of Planning and Investment, Department of Statistics, 2010. Note that the international poverty line (based on USD1.25 per day) shows the Laos poverty rate decreasing by one-third over a 15 year period since 1992.</w:t>
      </w:r>
    </w:p>
  </w:footnote>
  <w:footnote w:id="6">
    <w:p w14:paraId="08063840" w14:textId="6E455AE8" w:rsidR="007D3737" w:rsidRDefault="007D3737">
      <w:pPr>
        <w:pStyle w:val="FootnoteText"/>
      </w:pPr>
      <w:r>
        <w:rPr>
          <w:rStyle w:val="FootnoteReference"/>
        </w:rPr>
        <w:footnoteRef/>
      </w:r>
      <w:r>
        <w:t xml:space="preserve"> </w:t>
      </w:r>
      <w:proofErr w:type="gramStart"/>
      <w:r>
        <w:t>Ministry of Planning and Investment (2010) Lao Expenditure and Consumption Survey 1992–2003, 2007–08: Poverty in Lao PDR 2008, Department of Statistics.</w:t>
      </w:r>
      <w:proofErr w:type="gramEnd"/>
    </w:p>
  </w:footnote>
  <w:footnote w:id="7">
    <w:p w14:paraId="71A89C6E" w14:textId="6F199DF6" w:rsidR="007D3737" w:rsidRDefault="007D3737">
      <w:pPr>
        <w:pStyle w:val="FootnoteText"/>
      </w:pPr>
      <w:r w:rsidRPr="00A27A18">
        <w:rPr>
          <w:rStyle w:val="FootnoteReference"/>
        </w:rPr>
        <w:footnoteRef/>
      </w:r>
      <w:r w:rsidRPr="00A27A18">
        <w:t xml:space="preserve"> Lao Decide info</w:t>
      </w:r>
      <w:r>
        <w:t>rmation</w:t>
      </w:r>
      <w:r w:rsidRPr="00A27A18">
        <w:t xml:space="preserve">, </w:t>
      </w:r>
      <w:r w:rsidRPr="00F35D8E">
        <w:rPr>
          <w:i/>
        </w:rPr>
        <w:t xml:space="preserve">Targeting </w:t>
      </w:r>
      <w:r>
        <w:rPr>
          <w:i/>
        </w:rPr>
        <w:t>p</w:t>
      </w:r>
      <w:r w:rsidRPr="00F35D8E">
        <w:rPr>
          <w:i/>
        </w:rPr>
        <w:t>overty in the Lao PDR: How well do current approaches reach the poor?</w:t>
      </w:r>
      <w:r>
        <w:t xml:space="preserve"> </w:t>
      </w:r>
      <w:r w:rsidRPr="00A27A18">
        <w:t>Research Evidence for Poli</w:t>
      </w:r>
      <w:r>
        <w:t>c</w:t>
      </w:r>
      <w:r w:rsidRPr="00A27A18">
        <w:t>y, March 2013.</w:t>
      </w:r>
      <w:r>
        <w:t xml:space="preserve"> Note that the three main non-Lao Tai groups in Laos include Hmong-Mien, Chine-Tibetan and Mon-Khmer.</w:t>
      </w:r>
    </w:p>
  </w:footnote>
  <w:footnote w:id="8">
    <w:p w14:paraId="6C86161A" w14:textId="44CDC8E6" w:rsidR="007D3737" w:rsidRDefault="007D3737">
      <w:pPr>
        <w:pStyle w:val="FootnoteText"/>
      </w:pPr>
      <w:r>
        <w:rPr>
          <w:rStyle w:val="FootnoteReference"/>
        </w:rPr>
        <w:footnoteRef/>
      </w:r>
      <w:proofErr w:type="gramStart"/>
      <w:r>
        <w:t>A decrease of just four per cent since 2006.</w:t>
      </w:r>
      <w:proofErr w:type="gramEnd"/>
    </w:p>
  </w:footnote>
  <w:footnote w:id="9">
    <w:p w14:paraId="6F0AE43F" w14:textId="16FAFA97" w:rsidR="007D3737" w:rsidRPr="0008213F" w:rsidRDefault="007D3737" w:rsidP="0008213F">
      <w:pPr>
        <w:rPr>
          <w:rFonts w:ascii="Arial" w:hAnsi="Arial" w:cs="Arial"/>
          <w:szCs w:val="20"/>
        </w:rPr>
      </w:pPr>
      <w:r w:rsidRPr="0008213F">
        <w:rPr>
          <w:rStyle w:val="FootnoteReference"/>
        </w:rPr>
        <w:footnoteRef/>
      </w:r>
      <w:r w:rsidRPr="0008213F">
        <w:t xml:space="preserve"> </w:t>
      </w:r>
      <w:proofErr w:type="gramStart"/>
      <w:r w:rsidRPr="00A77837">
        <w:rPr>
          <w:rStyle w:val="FootnoteTextChar"/>
          <w:rFonts w:eastAsia="SimSun"/>
        </w:rPr>
        <w:t>Lao Social Indicators Survey 2012.</w:t>
      </w:r>
      <w:proofErr w:type="gramEnd"/>
      <w:r w:rsidRPr="00A77837">
        <w:rPr>
          <w:rStyle w:val="FootnoteTextChar"/>
          <w:rFonts w:eastAsia="SimSun"/>
        </w:rPr>
        <w:t xml:space="preserve"> Note that the World Food Programme definition of stunting reflects shortness-for-age, an indicator of chronic malnutrition and calculated by comparing the height-for-age of a child with a reference population of well-nourished and healthy children. According to the United Nations Standing Committee on Nutrition's 5th Report on the World Nutrition Situation (2005), almost one third of all children are stunted.</w:t>
      </w:r>
    </w:p>
  </w:footnote>
  <w:footnote w:id="10">
    <w:p w14:paraId="0FE32805" w14:textId="48DE9C8D" w:rsidR="007D3737" w:rsidRDefault="007D3737" w:rsidP="00A345C7">
      <w:pPr>
        <w:pStyle w:val="FootnoteText"/>
      </w:pPr>
      <w:r>
        <w:rPr>
          <w:rStyle w:val="FootnoteReference"/>
        </w:rPr>
        <w:footnoteRef/>
      </w:r>
      <w:proofErr w:type="gramStart"/>
      <w:r>
        <w:t>Human Development Report 2013, United Nations Development Programme, p.18.</w:t>
      </w:r>
      <w:proofErr w:type="gramEnd"/>
      <w:r>
        <w:t xml:space="preserve"> Note that the 2013 reports, provides data for 2012.</w:t>
      </w:r>
    </w:p>
  </w:footnote>
  <w:footnote w:id="11">
    <w:p w14:paraId="18830749" w14:textId="454EAA72" w:rsidR="007D3737" w:rsidRDefault="007D3737">
      <w:pPr>
        <w:pStyle w:val="FootnoteText"/>
      </w:pPr>
      <w:r>
        <w:rPr>
          <w:rStyle w:val="FootnoteReference"/>
        </w:rPr>
        <w:footnoteRef/>
      </w:r>
      <w:r>
        <w:t>Note that Laos is working to meet nine MDGs, and in addition to the eight standard MDGs, there is a Laos-specific MDG for the reduction of unexploded ordnance impact.</w:t>
      </w:r>
    </w:p>
  </w:footnote>
  <w:footnote w:id="12">
    <w:p w14:paraId="75BB2939" w14:textId="1966A639" w:rsidR="007D3737" w:rsidRPr="00A77837" w:rsidRDefault="007D3737" w:rsidP="00A77837">
      <w:r w:rsidRPr="00A77837">
        <w:rPr>
          <w:rStyle w:val="FootnoteReference"/>
        </w:rPr>
        <w:footnoteRef/>
      </w:r>
      <w:r>
        <w:t xml:space="preserve"> </w:t>
      </w:r>
      <w:r w:rsidRPr="00A77837">
        <w:rPr>
          <w:rStyle w:val="FootnoteTextChar"/>
          <w:rFonts w:eastAsia="SimSun"/>
        </w:rPr>
        <w:t>For MDG4, the national MDG target of 55 per 1000 live births has already been exceeded to 42 per 1000 live births. Similarly significant progress has been made against the other target for this MDG on infant mortality. The infant mortality rate has dropped by one-third over the last nine years from 104 per live births in 2003 to 68 per live births in 2012. The MDG progress assessment referred to is that made by</w:t>
      </w:r>
      <w:r>
        <w:rPr>
          <w:rStyle w:val="FootnoteTextChar"/>
          <w:rFonts w:eastAsia="SimSun"/>
        </w:rPr>
        <w:t xml:space="preserve"> the department</w:t>
      </w:r>
      <w:r w:rsidRPr="00A77837">
        <w:rPr>
          <w:rStyle w:val="FootnoteTextChar"/>
          <w:rFonts w:eastAsia="SimSun"/>
        </w:rPr>
        <w:t>’s Vientiane-based team in October 2012, which, amongst other data, was primarily based on Lao Social Indicators Survey 2012.</w:t>
      </w:r>
    </w:p>
  </w:footnote>
  <w:footnote w:id="13">
    <w:p w14:paraId="28296845" w14:textId="77777777" w:rsidR="007D3737" w:rsidRDefault="007D3737">
      <w:pPr>
        <w:pStyle w:val="FootnoteText"/>
      </w:pPr>
      <w:r>
        <w:rPr>
          <w:rStyle w:val="FootnoteReference"/>
        </w:rPr>
        <w:footnoteRef/>
      </w:r>
      <w:r>
        <w:t xml:space="preserve"> Germany is particularly interested in engaging in Laos given the impending Integrated ASEAN Economic Community, and the economic (trade) opportunities this represents.</w:t>
      </w:r>
    </w:p>
  </w:footnote>
  <w:footnote w:id="14">
    <w:p w14:paraId="5791DC95" w14:textId="7BA13169" w:rsidR="007D3737" w:rsidRPr="000F5AE6" w:rsidRDefault="007D3737">
      <w:pPr>
        <w:pStyle w:val="FootnoteText"/>
        <w:rPr>
          <w:rStyle w:val="FootnoteReference"/>
          <w:position w:val="0"/>
          <w:sz w:val="14"/>
          <w:szCs w:val="20"/>
        </w:rPr>
      </w:pPr>
      <w:r>
        <w:rPr>
          <w:rStyle w:val="FootnoteReference"/>
        </w:rPr>
        <w:footnoteRef/>
      </w:r>
      <w:r w:rsidRPr="000F5AE6">
        <w:rPr>
          <w:rStyle w:val="FootnoteReference"/>
        </w:rPr>
        <w:t xml:space="preserve"> </w:t>
      </w:r>
      <w:r w:rsidRPr="000F5AE6">
        <w:t>For example t</w:t>
      </w:r>
      <w:r>
        <w:t>he Chinese Government has</w:t>
      </w:r>
      <w:r w:rsidRPr="000F5AE6">
        <w:t xml:space="preserve"> offered to cover part of a 30-year soft loan for the planned </w:t>
      </w:r>
      <w:proofErr w:type="spellStart"/>
      <w:r w:rsidRPr="000F5AE6">
        <w:t>Boten</w:t>
      </w:r>
      <w:proofErr w:type="spellEnd"/>
      <w:r w:rsidRPr="000F5AE6">
        <w:t>-Vientiane US</w:t>
      </w:r>
      <w:r>
        <w:t>D</w:t>
      </w:r>
      <w:r w:rsidRPr="000F5AE6">
        <w:t xml:space="preserve">7 billion </w:t>
      </w:r>
      <w:proofErr w:type="gramStart"/>
      <w:r w:rsidRPr="000F5AE6">
        <w:t>railway</w:t>
      </w:r>
      <w:proofErr w:type="gramEnd"/>
      <w:r w:rsidRPr="000F5AE6">
        <w:t xml:space="preserve">. Although the financing arrangements are still under negotiation, as they currently stand the Chinese Government </w:t>
      </w:r>
      <w:r>
        <w:t>has</w:t>
      </w:r>
      <w:r w:rsidRPr="000F5AE6">
        <w:t xml:space="preserve"> agreed to cover 3.8</w:t>
      </w:r>
      <w:r>
        <w:t xml:space="preserve"> </w:t>
      </w:r>
      <w:r w:rsidRPr="000F5AE6">
        <w:t>per</w:t>
      </w:r>
      <w:r>
        <w:t xml:space="preserve"> </w:t>
      </w:r>
      <w:r w:rsidRPr="000F5AE6">
        <w:t>cent of the 5.8</w:t>
      </w:r>
      <w:r>
        <w:t xml:space="preserve"> </w:t>
      </w:r>
      <w:r w:rsidRPr="000F5AE6">
        <w:t>per</w:t>
      </w:r>
      <w:r>
        <w:t xml:space="preserve"> </w:t>
      </w:r>
      <w:r w:rsidRPr="000F5AE6">
        <w:t xml:space="preserve">cent interest rate of the loan to </w:t>
      </w:r>
      <w:r>
        <w:t xml:space="preserve">the Lao Government to </w:t>
      </w:r>
      <w:r w:rsidRPr="000F5AE6">
        <w:t>be provided by the Chinese Exim Bank.</w:t>
      </w:r>
      <w:r>
        <w:t xml:space="preserve"> Despite this concessional loan proposal, the Lao Government would be faced with paying USD3 billion in loan interest.</w:t>
      </w:r>
    </w:p>
  </w:footnote>
  <w:footnote w:id="15">
    <w:p w14:paraId="11C81ED7" w14:textId="79971CB6" w:rsidR="007D3737" w:rsidRPr="000F5AE6" w:rsidRDefault="007D3737">
      <w:pPr>
        <w:pStyle w:val="FootnoteText"/>
      </w:pPr>
      <w:r w:rsidRPr="000F5AE6">
        <w:rPr>
          <w:rStyle w:val="FootnoteReference"/>
        </w:rPr>
        <w:footnoteRef/>
      </w:r>
      <w:r w:rsidRPr="000F5AE6">
        <w:t xml:space="preserve">The </w:t>
      </w:r>
      <w:r>
        <w:t>United Nations Development Programme</w:t>
      </w:r>
      <w:r w:rsidRPr="000F5AE6">
        <w:t>-funded development assistance tracking system</w:t>
      </w:r>
      <w:r>
        <w:t>,</w:t>
      </w:r>
      <w:r w:rsidRPr="000F5AE6">
        <w:t xml:space="preserve"> the Aid Management Platform, was launched in 2012 by the Lao Government. The </w:t>
      </w:r>
      <w:r>
        <w:t>platform</w:t>
      </w:r>
      <w:r w:rsidRPr="000F5AE6">
        <w:t xml:space="preserve"> does not account for emerging donor investments. While there are future plans to include the investments of more donors, currently only 36 donor agencies are reporting their development assistance on a quarterly basis.</w:t>
      </w:r>
    </w:p>
  </w:footnote>
  <w:footnote w:id="16">
    <w:p w14:paraId="4553E85C" w14:textId="12039C25" w:rsidR="007D3737" w:rsidRDefault="007D3737">
      <w:pPr>
        <w:pStyle w:val="FootnoteText"/>
      </w:pPr>
      <w:r>
        <w:rPr>
          <w:rStyle w:val="FootnoteReference"/>
        </w:rPr>
        <w:footnoteRef/>
      </w:r>
      <w:r>
        <w:t xml:space="preserve"> The department’s Statistics Section, Aid to Laos by Donor 2011, May 2013.</w:t>
      </w:r>
    </w:p>
  </w:footnote>
  <w:footnote w:id="17">
    <w:p w14:paraId="3F05EB7C" w14:textId="77777777" w:rsidR="007D3737" w:rsidRDefault="007D3737">
      <w:pPr>
        <w:pStyle w:val="FootnoteText"/>
      </w:pPr>
      <w:r>
        <w:rPr>
          <w:rStyle w:val="FootnoteReference"/>
        </w:rPr>
        <w:footnoteRef/>
      </w:r>
      <w:r>
        <w:t xml:space="preserve"> For every 100 boys enrolled in school there are 97 girls enrolled.</w:t>
      </w:r>
    </w:p>
  </w:footnote>
  <w:footnote w:id="18">
    <w:p w14:paraId="6127DA9F" w14:textId="5A15258D" w:rsidR="007D3737" w:rsidRDefault="007D3737">
      <w:pPr>
        <w:pStyle w:val="FootnoteText"/>
      </w:pPr>
      <w:r>
        <w:rPr>
          <w:rStyle w:val="FootnoteReference"/>
        </w:rPr>
        <w:footnoteRef/>
      </w:r>
      <w:r>
        <w:t xml:space="preserve"> The school administration block grant scheme is a national funding scheme for primary schools that provides a small budget to schools to assist them to manage administration and maintenance expenditure. It commenced in 2011–12 with a grant allocation of LAK20 000 ($2.50) per primary school student. The Lao Government more than doubled this per capita allocation to LAK50 000 ($6.00) in 2012–13.</w:t>
      </w:r>
    </w:p>
  </w:footnote>
  <w:footnote w:id="19">
    <w:p w14:paraId="50FAF927" w14:textId="7B63B1C9" w:rsidR="007D3737" w:rsidRDefault="007D3737">
      <w:pPr>
        <w:pStyle w:val="FootnoteText"/>
      </w:pPr>
      <w:r>
        <w:rPr>
          <w:rStyle w:val="FootnoteReference"/>
        </w:rPr>
        <w:footnoteRef/>
      </w:r>
      <w:r>
        <w:t xml:space="preserve"> The Ministry of Education and Sports increased its expenditure of </w:t>
      </w:r>
      <w:r w:rsidRPr="00E646CA">
        <w:rPr>
          <w:lang w:val="en-US"/>
        </w:rPr>
        <w:t xml:space="preserve">Education for All: Fast Track Initiative </w:t>
      </w:r>
      <w:r>
        <w:t>finances from approximately $1 million a month in 2011 to over $2 million a month in 2012–13.</w:t>
      </w:r>
    </w:p>
  </w:footnote>
  <w:footnote w:id="20">
    <w:p w14:paraId="47351C84" w14:textId="50DC7665" w:rsidR="007D3737" w:rsidRDefault="007D3737">
      <w:pPr>
        <w:pStyle w:val="FootnoteText"/>
      </w:pPr>
      <w:r>
        <w:rPr>
          <w:rStyle w:val="FootnoteReference"/>
        </w:rPr>
        <w:footnoteRef/>
      </w:r>
      <w:r>
        <w:t xml:space="preserve"> End of program training targets include 2629 school officials (including principals); 6400 teachers (including pre-primary and primary teachers); and 10 500 members in 1500 Vocational Education Development Centres.</w:t>
      </w:r>
    </w:p>
  </w:footnote>
  <w:footnote w:id="21">
    <w:p w14:paraId="5B93DB81" w14:textId="5BC36B7C" w:rsidR="007D3737" w:rsidRDefault="007D3737">
      <w:pPr>
        <w:pStyle w:val="FootnoteText"/>
      </w:pPr>
      <w:r>
        <w:rPr>
          <w:rStyle w:val="FootnoteReference"/>
        </w:rPr>
        <w:footnoteRef/>
      </w:r>
      <w:r>
        <w:t xml:space="preserve"> The end of program target for the construction of classrooms is 1766 (785 Australian-funded) in 332 schools (146 Australian-funded).</w:t>
      </w:r>
    </w:p>
  </w:footnote>
  <w:footnote w:id="22">
    <w:p w14:paraId="5258BEC0" w14:textId="290807F1" w:rsidR="007D3737" w:rsidRDefault="007D3737">
      <w:pPr>
        <w:pStyle w:val="FootnoteText"/>
      </w:pPr>
      <w:r>
        <w:rPr>
          <w:rStyle w:val="FootnoteReference"/>
        </w:rPr>
        <w:footnoteRef/>
      </w:r>
      <w:r>
        <w:t xml:space="preserve"> The Australian Government provided $800 000 bridging funds to the United Nations Children’s Fund in 2012 to support water and sanitation activities in schools, while preparing for a larger water and sanitation and school meals program to be implemented from 2013 until 2017.</w:t>
      </w:r>
    </w:p>
  </w:footnote>
  <w:footnote w:id="23">
    <w:p w14:paraId="319AB241" w14:textId="34257CC5" w:rsidR="007D3737" w:rsidRDefault="007D3737">
      <w:pPr>
        <w:pStyle w:val="FootnoteText"/>
      </w:pPr>
      <w:r>
        <w:rPr>
          <w:rStyle w:val="FootnoteReference"/>
        </w:rPr>
        <w:footnoteRef/>
      </w:r>
      <w:r>
        <w:t xml:space="preserve"> The Australian Government provided $800 000 in bridging funds to the World Food Programme in 2012, while preparing for a larger water and sanitation and school feeding program to be implemented from 2013 until 2017.</w:t>
      </w:r>
    </w:p>
  </w:footnote>
  <w:footnote w:id="24">
    <w:p w14:paraId="16B52DAD" w14:textId="4E780EB8" w:rsidR="007D3737" w:rsidRDefault="007D3737">
      <w:pPr>
        <w:pStyle w:val="FootnoteText"/>
      </w:pPr>
      <w:r>
        <w:rPr>
          <w:rStyle w:val="FootnoteReference"/>
        </w:rPr>
        <w:footnoteRef/>
      </w:r>
      <w:r>
        <w:t xml:space="preserve"> Note that Australia has provided three volunteers since 2009 to improve the ministry’s capacity to develop and manage the education investment database.</w:t>
      </w:r>
    </w:p>
  </w:footnote>
  <w:footnote w:id="25">
    <w:p w14:paraId="3FA5F2F4" w14:textId="006E4FAD" w:rsidR="007D3737" w:rsidRDefault="007D3737">
      <w:pPr>
        <w:pStyle w:val="FootnoteText"/>
      </w:pPr>
      <w:r w:rsidRPr="00202435">
        <w:rPr>
          <w:rStyle w:val="FootnoteReference"/>
        </w:rPr>
        <w:footnoteRef/>
      </w:r>
      <w:r w:rsidRPr="00202435">
        <w:t xml:space="preserve"> There </w:t>
      </w:r>
      <w:proofErr w:type="gramStart"/>
      <w:r w:rsidRPr="00202435">
        <w:t>have been an average</w:t>
      </w:r>
      <w:proofErr w:type="gramEnd"/>
      <w:r w:rsidRPr="00202435">
        <w:t xml:space="preserve"> of 1973 web hits </w:t>
      </w:r>
      <w:r>
        <w:t>a</w:t>
      </w:r>
      <w:r w:rsidRPr="00202435">
        <w:t xml:space="preserve"> month on the </w:t>
      </w:r>
      <w:r>
        <w:t>t</w:t>
      </w:r>
      <w:r w:rsidRPr="00202435">
        <w:t xml:space="preserve">rade </w:t>
      </w:r>
      <w:r>
        <w:t>p</w:t>
      </w:r>
      <w:r w:rsidRPr="00202435">
        <w:t xml:space="preserve">ortal </w:t>
      </w:r>
      <w:r>
        <w:t>since its launch in June 2012</w:t>
      </w:r>
      <w:r w:rsidRPr="00202435">
        <w:t>.</w:t>
      </w:r>
    </w:p>
  </w:footnote>
  <w:footnote w:id="26">
    <w:p w14:paraId="5C6661D1" w14:textId="6653EE6C" w:rsidR="007D3737" w:rsidRPr="00A03D4E" w:rsidRDefault="007D3737" w:rsidP="00A03D4E">
      <w:pPr>
        <w:rPr>
          <w:rFonts w:eastAsia="Times New Roman"/>
          <w:sz w:val="14"/>
          <w:szCs w:val="20"/>
        </w:rPr>
      </w:pPr>
      <w:r w:rsidRPr="00D43B16">
        <w:rPr>
          <w:rStyle w:val="FootnoteReference"/>
        </w:rPr>
        <w:footnoteRef/>
      </w:r>
      <w:r w:rsidRPr="00D43B16">
        <w:rPr>
          <w:rStyle w:val="FootnoteReference"/>
        </w:rPr>
        <w:t xml:space="preserve"> </w:t>
      </w:r>
      <w:r w:rsidRPr="00D43B16">
        <w:rPr>
          <w:rStyle w:val="FootnoteTextChar"/>
          <w:rFonts w:eastAsia="SimSun"/>
        </w:rPr>
        <w:t>The centre generated an estimated USD14 000 in 2012 in revenue from delivering high quality training that responded to the immediate needs of industry, benefiting around 123 people, most of them women.</w:t>
      </w:r>
    </w:p>
  </w:footnote>
  <w:footnote w:id="27">
    <w:p w14:paraId="5EC36D55" w14:textId="6ED61F93" w:rsidR="007D3737" w:rsidRDefault="007D3737">
      <w:pPr>
        <w:pStyle w:val="FootnoteText"/>
      </w:pPr>
      <w:r>
        <w:rPr>
          <w:rStyle w:val="FootnoteReference"/>
        </w:rPr>
        <w:footnoteRef/>
      </w:r>
      <w:r>
        <w:t xml:space="preserve"> Lao PDR, </w:t>
      </w:r>
      <w:r w:rsidRPr="00A3009B">
        <w:rPr>
          <w:i/>
        </w:rPr>
        <w:t>Labour standards and productivity in the garment export sector: a survey of managers and workers</w:t>
      </w:r>
      <w:r>
        <w:t>, World Bank, July 2012.</w:t>
      </w:r>
    </w:p>
  </w:footnote>
  <w:footnote w:id="28">
    <w:p w14:paraId="0A4650FD" w14:textId="27864955" w:rsidR="007D3737" w:rsidRDefault="007D3737">
      <w:pPr>
        <w:pStyle w:val="FootnoteText"/>
      </w:pPr>
      <w:r>
        <w:rPr>
          <w:rStyle w:val="FootnoteReference"/>
        </w:rPr>
        <w:footnoteRef/>
      </w:r>
      <w:r>
        <w:t xml:space="preserve"> Lao PDR, </w:t>
      </w:r>
      <w:r w:rsidRPr="00A3009B">
        <w:rPr>
          <w:i/>
        </w:rPr>
        <w:t>Mapping the gender dimensions of trade: a preliminary exposition</w:t>
      </w:r>
      <w:r>
        <w:t>, World Bank, July 2012.</w:t>
      </w:r>
    </w:p>
  </w:footnote>
  <w:footnote w:id="29">
    <w:p w14:paraId="469DBE18" w14:textId="65B81054" w:rsidR="007D3737" w:rsidRDefault="007D3737">
      <w:pPr>
        <w:pStyle w:val="FootnoteText"/>
      </w:pPr>
      <w:r w:rsidRPr="00C330ED">
        <w:rPr>
          <w:rStyle w:val="FootnoteReference"/>
        </w:rPr>
        <w:footnoteRef/>
      </w:r>
      <w:r w:rsidRPr="00C330ED">
        <w:t xml:space="preserve"> </w:t>
      </w:r>
      <w:r w:rsidRPr="00A3009B">
        <w:rPr>
          <w:i/>
        </w:rPr>
        <w:t xml:space="preserve">Lao Census of Agriculture 2010-11 </w:t>
      </w:r>
      <w:r>
        <w:rPr>
          <w:i/>
        </w:rPr>
        <w:t>h</w:t>
      </w:r>
      <w:r w:rsidRPr="00A3009B">
        <w:rPr>
          <w:i/>
        </w:rPr>
        <w:t>ighlights</w:t>
      </w:r>
      <w:r>
        <w:t xml:space="preserve">, Chapter 1: Summary of findings, key farm household results. </w:t>
      </w:r>
      <w:proofErr w:type="gramStart"/>
      <w:r>
        <w:t>Released in May 2012.</w:t>
      </w:r>
      <w:proofErr w:type="gramEnd"/>
    </w:p>
  </w:footnote>
  <w:footnote w:id="30">
    <w:p w14:paraId="2C9283CC" w14:textId="77777777" w:rsidR="007D3737" w:rsidRDefault="007D3737" w:rsidP="00876E5A">
      <w:pPr>
        <w:pStyle w:val="FootnoteText"/>
        <w:spacing w:line="220" w:lineRule="atLeast"/>
      </w:pPr>
      <w:r>
        <w:rPr>
          <w:rStyle w:val="FootnoteReference"/>
        </w:rPr>
        <w:footnoteRef/>
      </w:r>
      <w:r>
        <w:t xml:space="preserve"> </w:t>
      </w:r>
      <w:proofErr w:type="spellStart"/>
      <w:r>
        <w:t>Pers</w:t>
      </w:r>
      <w:proofErr w:type="spellEnd"/>
      <w:r>
        <w:t xml:space="preserve"> Comm. Department of Roads, Ministry of Public Works and Transport 2013, </w:t>
      </w:r>
      <w:proofErr w:type="gramStart"/>
      <w:r>
        <w:t>figure</w:t>
      </w:r>
      <w:proofErr w:type="gramEnd"/>
      <w:r>
        <w:t xml:space="preserve"> related to 2012.</w:t>
      </w:r>
    </w:p>
  </w:footnote>
  <w:footnote w:id="31">
    <w:p w14:paraId="37385F92" w14:textId="48FFF3E9" w:rsidR="007D3737" w:rsidRDefault="007D3737" w:rsidP="00876E5A">
      <w:pPr>
        <w:pStyle w:val="FootnoteText"/>
        <w:spacing w:line="220" w:lineRule="atLeast"/>
      </w:pPr>
      <w:r>
        <w:rPr>
          <w:rStyle w:val="FootnoteReference"/>
        </w:rPr>
        <w:footnoteRef/>
      </w:r>
      <w:r>
        <w:t xml:space="preserve"> </w:t>
      </w:r>
      <w:proofErr w:type="gramStart"/>
      <w:r>
        <w:t>Poverty Assessment 2011 Decree 285/PM, National Committee for Rural Development and Poverty Eradication, Government’s Office.</w:t>
      </w:r>
      <w:proofErr w:type="gramEnd"/>
    </w:p>
  </w:footnote>
  <w:footnote w:id="32">
    <w:p w14:paraId="52C9D3C0" w14:textId="6F9552D1" w:rsidR="007D3737" w:rsidRDefault="007D3737" w:rsidP="00057A42">
      <w:pPr>
        <w:pStyle w:val="FootnoteText"/>
      </w:pPr>
      <w:r>
        <w:rPr>
          <w:rStyle w:val="FootnoteReference"/>
          <w:rFonts w:cstheme="minorBidi"/>
        </w:rPr>
        <w:footnoteRef/>
      </w:r>
      <w:r>
        <w:t xml:space="preserve"> </w:t>
      </w:r>
      <w:proofErr w:type="gramStart"/>
      <w:r>
        <w:t>Lao PDR Labour Force and Child Labour Survey 2010.</w:t>
      </w:r>
      <w:proofErr w:type="gramEnd"/>
    </w:p>
  </w:footnote>
  <w:footnote w:id="33">
    <w:p w14:paraId="23CD4CCF" w14:textId="2D8A542E" w:rsidR="007D3737" w:rsidRDefault="007D3737">
      <w:pPr>
        <w:pStyle w:val="FootnoteText"/>
      </w:pPr>
      <w:r>
        <w:rPr>
          <w:rStyle w:val="FootnoteReference"/>
        </w:rPr>
        <w:footnoteRef/>
      </w:r>
      <w:r>
        <w:t xml:space="preserve"> </w:t>
      </w:r>
      <w:r w:rsidRPr="00C330ED">
        <w:t>The highest levels of stunting were found among the Sino-Tibetan groups (62 per cent), followed by the Austro-Asiatic (56 per cent) and Hmong-Mien (54 per cent) groups living in the Northern and Central Highlands</w:t>
      </w:r>
      <w:r>
        <w:t>.</w:t>
      </w:r>
      <w:r w:rsidRPr="00C330ED">
        <w:t xml:space="preserve"> The Lao</w:t>
      </w:r>
      <w:r>
        <w:t>-Tai have the lowest prevalence of stunting.</w:t>
      </w:r>
    </w:p>
  </w:footnote>
  <w:footnote w:id="34">
    <w:p w14:paraId="160875CC" w14:textId="00139B94" w:rsidR="007D3737" w:rsidRDefault="007D3737" w:rsidP="0056555B">
      <w:pPr>
        <w:pStyle w:val="FootnoteText"/>
      </w:pPr>
      <w:r w:rsidRPr="008C4D65">
        <w:rPr>
          <w:rStyle w:val="FootnoteReference"/>
        </w:rPr>
        <w:footnoteRef/>
      </w:r>
      <w:r>
        <w:t xml:space="preserve"> </w:t>
      </w:r>
      <w:r w:rsidRPr="008C4D65">
        <w:t>Note that this work is captured in the performance assessment f</w:t>
      </w:r>
      <w:r>
        <w:t>ramework (Annex D</w:t>
      </w:r>
      <w:r w:rsidRPr="008C4D65">
        <w:t xml:space="preserve">), under pillar 3 rural </w:t>
      </w:r>
      <w:proofErr w:type="gramStart"/>
      <w:r w:rsidRPr="008C4D65">
        <w:t>development</w:t>
      </w:r>
      <w:proofErr w:type="gramEnd"/>
      <w:r w:rsidRPr="008C4D65">
        <w:t>, strategy objective 4, milestone achievement 1.b.</w:t>
      </w:r>
    </w:p>
  </w:footnote>
  <w:footnote w:id="35">
    <w:p w14:paraId="5D9BC95B" w14:textId="4BD3DBAA" w:rsidR="007D3737" w:rsidRDefault="007D3737">
      <w:pPr>
        <w:pStyle w:val="FootnoteText"/>
      </w:pPr>
      <w:r>
        <w:rPr>
          <w:rStyle w:val="FootnoteReference"/>
        </w:rPr>
        <w:footnoteRef/>
      </w:r>
      <w:r>
        <w:t xml:space="preserve"> The Laos-Australia Rural Livelihoods Program 2012–2016 is comprised of four components: (</w:t>
      </w:r>
      <w:proofErr w:type="spellStart"/>
      <w:r>
        <w:t>i</w:t>
      </w:r>
      <w:proofErr w:type="spellEnd"/>
      <w:r>
        <w:t xml:space="preserve">) social protection and sustainable livelihoods to be delivered through non-government organisations and management contractor arrangements, (ii) financial inclusion to be delivered through </w:t>
      </w:r>
      <w:r w:rsidRPr="004D33A4">
        <w:t xml:space="preserve">the German Association for International Cooperation </w:t>
      </w:r>
      <w:r>
        <w:t xml:space="preserve">– GIZ and the </w:t>
      </w:r>
      <w:r w:rsidRPr="00D3670A">
        <w:rPr>
          <w:iCs/>
        </w:rPr>
        <w:t>United Nations Capital Development Fund</w:t>
      </w:r>
      <w:r>
        <w:t xml:space="preserve">, (iii) </w:t>
      </w:r>
      <w:r w:rsidRPr="0072133A">
        <w:rPr>
          <w:lang w:val="en-US"/>
        </w:rPr>
        <w:t>unexploded ordnance</w:t>
      </w:r>
      <w:r w:rsidRPr="0072133A" w:rsidDel="0072133A">
        <w:t xml:space="preserve"> </w:t>
      </w:r>
      <w:r>
        <w:t xml:space="preserve">action to be delivered through a United Nations Development Programme-managed multi-donor trust fund, and (iv) the </w:t>
      </w:r>
      <w:r w:rsidR="007B4E8C">
        <w:t>department’s</w:t>
      </w:r>
      <w:r>
        <w:t xml:space="preserve"> Learning Facility to be delivered through management contractor arrangements.</w:t>
      </w:r>
    </w:p>
  </w:footnote>
  <w:footnote w:id="36">
    <w:p w14:paraId="3C889561" w14:textId="6157472C" w:rsidR="007D3737" w:rsidRDefault="007D3737" w:rsidP="0056555B">
      <w:pPr>
        <w:pStyle w:val="FootnoteText"/>
      </w:pPr>
      <w:r>
        <w:rPr>
          <w:rStyle w:val="FootnoteReference"/>
        </w:rPr>
        <w:footnoteRef/>
      </w:r>
      <w:r>
        <w:t xml:space="preserve"> This is an Asian Development Bank-led project with other co-financers such as OPEC International Development Fund and Korea with finance and implementation conducted separately.</w:t>
      </w:r>
    </w:p>
  </w:footnote>
  <w:footnote w:id="37">
    <w:p w14:paraId="5ED7849A" w14:textId="6C5248F6" w:rsidR="007D3737" w:rsidRDefault="007D3737" w:rsidP="0056555B">
      <w:pPr>
        <w:pStyle w:val="FootnoteText"/>
      </w:pPr>
      <w:r>
        <w:rPr>
          <w:rStyle w:val="FootnoteReference"/>
        </w:rPr>
        <w:footnoteRef/>
      </w:r>
      <w:r>
        <w:t xml:space="preserve"> </w:t>
      </w:r>
      <w:r w:rsidRPr="00C21BC4">
        <w:t>Rural Electrification Program Phase 1</w:t>
      </w:r>
      <w:r>
        <w:t xml:space="preserve"> is a World Bank led project with other co-financers such as </w:t>
      </w:r>
      <w:proofErr w:type="spellStart"/>
      <w:proofErr w:type="gramStart"/>
      <w:r>
        <w:t>Norad</w:t>
      </w:r>
      <w:proofErr w:type="spellEnd"/>
      <w:proofErr w:type="gramEnd"/>
      <w:r>
        <w:t xml:space="preserve"> and Global Environmental Fund. </w:t>
      </w:r>
    </w:p>
  </w:footnote>
  <w:footnote w:id="38">
    <w:p w14:paraId="0D06E409" w14:textId="45498F30" w:rsidR="007D3737" w:rsidRPr="00282831" w:rsidRDefault="007D3737" w:rsidP="00282831">
      <w:pPr>
        <w:autoSpaceDE w:val="0"/>
        <w:autoSpaceDN w:val="0"/>
        <w:adjustRightInd w:val="0"/>
        <w:rPr>
          <w:rFonts w:eastAsia="Times New Roman"/>
          <w:sz w:val="14"/>
          <w:szCs w:val="20"/>
        </w:rPr>
      </w:pPr>
      <w:r>
        <w:rPr>
          <w:rStyle w:val="FootnoteReference"/>
        </w:rPr>
        <w:footnoteRef/>
      </w:r>
      <w:r>
        <w:t xml:space="preserve"> </w:t>
      </w:r>
      <w:r w:rsidRPr="003E5B0C">
        <w:rPr>
          <w:rStyle w:val="FootnoteTextChar"/>
          <w:rFonts w:eastAsia="SimSun"/>
        </w:rPr>
        <w:t>The Poverty Reduction Fund Phase II is one of Lao PDR’s largest multi-sectoral programs focusing on rural poverty reduction, led by the World Bank (also contributing USD25 million). The Swiss Agency for Development and Cooperation and the Lao Government are also co-financers providing USD13.3 million and USD10 million respectively.</w:t>
      </w:r>
    </w:p>
  </w:footnote>
  <w:footnote w:id="39">
    <w:p w14:paraId="5C66E9CF" w14:textId="6686BB96" w:rsidR="007D3737" w:rsidRDefault="007D3737">
      <w:pPr>
        <w:pStyle w:val="FootnoteText"/>
      </w:pPr>
      <w:r>
        <w:rPr>
          <w:rStyle w:val="FootnoteReference"/>
        </w:rPr>
        <w:footnoteRef/>
      </w:r>
      <w:r>
        <w:t xml:space="preserve"> Note that an Australian Government delegation, led by the Minister-Counsellor Mekong &amp; Regional, conducted senior-level consultations with the Republic of Korea’s international cooperation agencies on this matter during a visit to Seoul in August 2012.</w:t>
      </w:r>
    </w:p>
  </w:footnote>
  <w:footnote w:id="40">
    <w:p w14:paraId="7324A168" w14:textId="7A4C8EA4" w:rsidR="007D3737" w:rsidRDefault="007D3737" w:rsidP="0045423F">
      <w:pPr>
        <w:pStyle w:val="FootnoteText"/>
      </w:pPr>
      <w:r w:rsidRPr="006438A6">
        <w:rPr>
          <w:rStyle w:val="FootnoteReference"/>
        </w:rPr>
        <w:footnoteRef/>
      </w:r>
      <w:r w:rsidRPr="006438A6">
        <w:t xml:space="preserve"> Of the 102 rural infrastructure projects completed </w:t>
      </w:r>
      <w:r>
        <w:t xml:space="preserve">in 2012–13 </w:t>
      </w:r>
      <w:r w:rsidRPr="006438A6">
        <w:t xml:space="preserve">there were 31 education projects, </w:t>
      </w:r>
      <w:r>
        <w:t>three</w:t>
      </w:r>
      <w:r w:rsidRPr="006438A6">
        <w:t xml:space="preserve"> health projects, 51 water supply projects, </w:t>
      </w:r>
      <w:r>
        <w:t>one</w:t>
      </w:r>
      <w:r w:rsidRPr="006438A6">
        <w:t xml:space="preserve"> rural road rehabilitation project, </w:t>
      </w:r>
      <w:r>
        <w:t>three</w:t>
      </w:r>
      <w:r w:rsidRPr="006438A6">
        <w:t xml:space="preserve"> rural electrification projects and 13 agriculture projects.</w:t>
      </w:r>
    </w:p>
  </w:footnote>
  <w:footnote w:id="41">
    <w:p w14:paraId="5F51129B" w14:textId="788D4A4A" w:rsidR="007D3737" w:rsidRPr="00BC397B" w:rsidRDefault="007D3737" w:rsidP="00BC397B">
      <w:pPr>
        <w:pStyle w:val="FootnoteText"/>
        <w:rPr>
          <w:rStyle w:val="FootnoteReference"/>
          <w:position w:val="0"/>
          <w:szCs w:val="20"/>
        </w:rPr>
      </w:pPr>
      <w:r w:rsidRPr="00BC397B">
        <w:rPr>
          <w:rStyle w:val="FootnoteReference"/>
        </w:rPr>
        <w:t xml:space="preserve">41 </w:t>
      </w:r>
    </w:p>
  </w:footnote>
  <w:footnote w:id="42">
    <w:p w14:paraId="4443C004" w14:textId="77777777" w:rsidR="007D3737" w:rsidRDefault="007D3737">
      <w:pPr>
        <w:pStyle w:val="FootnoteText"/>
      </w:pPr>
      <w:r>
        <w:rPr>
          <w:rStyle w:val="FootnoteReference"/>
        </w:rPr>
        <w:footnoteRef/>
      </w:r>
      <w:r>
        <w:t xml:space="preserve"> </w:t>
      </w:r>
      <w:proofErr w:type="gramStart"/>
      <w:r>
        <w:t xml:space="preserve">Now known </w:t>
      </w:r>
      <w:r w:rsidRPr="0018642E">
        <w:t xml:space="preserve">as </w:t>
      </w:r>
      <w:r>
        <w:t xml:space="preserve">the </w:t>
      </w:r>
      <w:r w:rsidRPr="0018642E">
        <w:t>Austra</w:t>
      </w:r>
      <w:r>
        <w:t>lian Leadership Awards Program.</w:t>
      </w:r>
      <w:proofErr w:type="gramEnd"/>
    </w:p>
  </w:footnote>
  <w:footnote w:id="43">
    <w:p w14:paraId="762A2F05" w14:textId="72091EC0" w:rsidR="007D3737" w:rsidRDefault="007D3737">
      <w:pPr>
        <w:pStyle w:val="FootnoteText"/>
      </w:pPr>
      <w:r>
        <w:rPr>
          <w:rStyle w:val="FootnoteReference"/>
        </w:rPr>
        <w:footnoteRef/>
      </w:r>
      <w:r>
        <w:t xml:space="preserve"> </w:t>
      </w:r>
      <w:r w:rsidRPr="00C87F38">
        <w:t>Note that of the $2.5 million, $1 million was provided from</w:t>
      </w:r>
      <w:r>
        <w:t xml:space="preserve"> the </w:t>
      </w:r>
      <w:r w:rsidR="00C30F87">
        <w:t>department</w:t>
      </w:r>
      <w:r w:rsidR="00C30F87" w:rsidRPr="00C87F38">
        <w:t>s</w:t>
      </w:r>
      <w:r w:rsidRPr="00C87F38">
        <w:t xml:space="preserve"> global Disaster Prevention and Risk Reduction Initiative, and $1.5</w:t>
      </w:r>
      <w:r w:rsidRPr="00D3670A">
        <w:t xml:space="preserve"> million </w:t>
      </w:r>
      <w:r w:rsidRPr="00C87F38">
        <w:t>was drawn from the Lao Country Program Fund.</w:t>
      </w:r>
    </w:p>
  </w:footnote>
  <w:footnote w:id="44">
    <w:p w14:paraId="4B5ABD4A" w14:textId="37CAE5AA" w:rsidR="007D3737" w:rsidRDefault="007D3737">
      <w:pPr>
        <w:pStyle w:val="FootnoteText"/>
      </w:pPr>
      <w:r>
        <w:rPr>
          <w:rStyle w:val="FootnoteReference"/>
        </w:rPr>
        <w:footnoteRef/>
      </w:r>
      <w:r>
        <w:t xml:space="preserve"> Funding agreements between the Australian Government, the World Food Programme and Save the Children were signed in early 2012.</w:t>
      </w:r>
    </w:p>
  </w:footnote>
  <w:footnote w:id="45">
    <w:p w14:paraId="4B463B6D" w14:textId="62EDB2D8" w:rsidR="007D3737" w:rsidRDefault="007D3737" w:rsidP="00F114D4">
      <w:pPr>
        <w:pStyle w:val="FootnoteText"/>
      </w:pPr>
      <w:r>
        <w:rPr>
          <w:rStyle w:val="FootnoteReference"/>
        </w:rPr>
        <w:footnoteRef/>
      </w:r>
      <w:r>
        <w:t xml:space="preserve"> The five initiatives selected included </w:t>
      </w:r>
      <w:r w:rsidRPr="00855D8B">
        <w:t>Laos</w:t>
      </w:r>
      <w:r>
        <w:t>–</w:t>
      </w:r>
      <w:r w:rsidRPr="00855D8B">
        <w:t>Australia NGO Cooperation Agreement</w:t>
      </w:r>
      <w:r>
        <w:t xml:space="preserve"> Program, the Rural Electrification Program Phase 1, the Adolescent Girls Initiative – Supporting Talent, Entrepreneurial Potential and Success, the Trade Development Facility and the Education for All: Fast Track Initiative. Information was also collected on UXO Action activities and the Laos-Australia Scholarships Program. The recommendations from the evaluation included strengthening the Vientiane </w:t>
      </w:r>
      <w:r w:rsidR="005F443E">
        <w:t xml:space="preserve">Posts </w:t>
      </w:r>
      <w:r>
        <w:t>capacity to undertake ongoing gender analysis across initiatives; strengthening the roles of gender focal points and program managers with formal gender training, developing clear monitoring and evaluation indicators at the commencement of programs, and preparing a women’s economic empowerment framework.</w:t>
      </w:r>
    </w:p>
  </w:footnote>
  <w:footnote w:id="46">
    <w:p w14:paraId="2BE8D861" w14:textId="6CA91286" w:rsidR="007D3737" w:rsidRDefault="007D3737" w:rsidP="004E5B63">
      <w:pPr>
        <w:pStyle w:val="FootnoteText"/>
      </w:pPr>
      <w:r>
        <w:rPr>
          <w:rStyle w:val="FootnoteReference"/>
        </w:rPr>
        <w:footnoteRef/>
      </w:r>
      <w:r>
        <w:t xml:space="preserve"> The Australian Government provided $766 000 to Catholic Relief Services in early 2012 for a two-year program supporting disability inclusive education in Laos.</w:t>
      </w:r>
    </w:p>
  </w:footnote>
  <w:footnote w:id="47">
    <w:p w14:paraId="1EC1D1CA" w14:textId="04338A58" w:rsidR="007D3737" w:rsidRPr="00FF7AFC" w:rsidRDefault="007D3737" w:rsidP="00241E1F">
      <w:pPr>
        <w:rPr>
          <w:sz w:val="14"/>
          <w:szCs w:val="20"/>
        </w:rPr>
      </w:pPr>
      <w:r>
        <w:rPr>
          <w:rStyle w:val="FootnoteReference"/>
        </w:rPr>
        <w:footnoteRef/>
      </w:r>
      <w:r>
        <w:t xml:space="preserve"> </w:t>
      </w:r>
      <w:r w:rsidRPr="00A77837">
        <w:rPr>
          <w:rStyle w:val="FootnoteTextChar"/>
          <w:rFonts w:eastAsia="SimSun"/>
        </w:rPr>
        <w:t>Through the South East Asia Discretionary Development Fund, up to $900 000 is made available annually to the Department of Foreign Affairs and Trade to use for activities that enhance capacity to engage more fully in regional and multilateral processes.</w:t>
      </w:r>
      <w:r w:rsidRPr="00FF7AFC">
        <w:rPr>
          <w:sz w:val="14"/>
          <w:szCs w:val="20"/>
        </w:rPr>
        <w:t xml:space="preserve"> </w:t>
      </w:r>
    </w:p>
  </w:footnote>
  <w:footnote w:id="48">
    <w:p w14:paraId="0C99EFFA" w14:textId="77777777" w:rsidR="007D3737" w:rsidRPr="008C4D65" w:rsidRDefault="007D3737" w:rsidP="00241E1F">
      <w:pPr>
        <w:pStyle w:val="FootnoteText"/>
      </w:pPr>
      <w:r w:rsidRPr="00BC397B">
        <w:rPr>
          <w:rStyle w:val="FootnoteReference"/>
        </w:rPr>
        <w:footnoteRef/>
      </w:r>
      <w:r w:rsidRPr="00BC397B">
        <w:rPr>
          <w:rStyle w:val="FootnoteReference"/>
        </w:rPr>
        <w:t xml:space="preserve"> </w:t>
      </w:r>
      <w:proofErr w:type="gramStart"/>
      <w:r w:rsidRPr="008C4D65">
        <w:t>Australian Centre for International Agricultural Research Annual Operational Plan 201</w:t>
      </w:r>
      <w:r>
        <w:t>2</w:t>
      </w:r>
      <w:r w:rsidRPr="008C4D65">
        <w:t>–1</w:t>
      </w:r>
      <w:r>
        <w:t>3</w:t>
      </w:r>
      <w:r w:rsidRPr="008C4D65">
        <w:t xml:space="preserve">, pp. </w:t>
      </w:r>
      <w:r>
        <w:t>61-66</w:t>
      </w:r>
      <w:r w:rsidRPr="008C4D65">
        <w:t>.</w:t>
      </w:r>
      <w:proofErr w:type="gramEnd"/>
    </w:p>
  </w:footnote>
  <w:footnote w:id="49">
    <w:p w14:paraId="08980923" w14:textId="2D389238" w:rsidR="007D3737" w:rsidRDefault="007D3737" w:rsidP="00380864">
      <w:pPr>
        <w:pStyle w:val="FootnoteText"/>
      </w:pPr>
      <w:r w:rsidRPr="00BC397B">
        <w:rPr>
          <w:rStyle w:val="FootnoteReference"/>
        </w:rPr>
        <w:footnoteRef/>
      </w:r>
      <w:r w:rsidRPr="00BC397B">
        <w:rPr>
          <w:rStyle w:val="FootnoteReference"/>
        </w:rPr>
        <w:t xml:space="preserve"> </w:t>
      </w:r>
      <w:r w:rsidRPr="00B17C0C">
        <w:t>The delegated cooperation agreement for $5.6</w:t>
      </w:r>
      <w:r>
        <w:t xml:space="preserve"> </w:t>
      </w:r>
      <w:r w:rsidRPr="00B17C0C">
        <w:t xml:space="preserve">million between </w:t>
      </w:r>
      <w:r>
        <w:t xml:space="preserve">the Australian Government </w:t>
      </w:r>
      <w:r w:rsidRPr="00B17C0C">
        <w:t xml:space="preserve">and the German </w:t>
      </w:r>
      <w:r w:rsidRPr="0061274A">
        <w:t>Association for International Cooperation</w:t>
      </w:r>
      <w:r w:rsidRPr="001F2322">
        <w:t xml:space="preserve"> was</w:t>
      </w:r>
      <w:r w:rsidRPr="00B17C0C">
        <w:t xml:space="preserve"> signed on 27 March 2013 for the Microfinance in Rural Areas Access to Finance for the Poor (Laos) program 2013</w:t>
      </w:r>
      <w:r>
        <w:t>–</w:t>
      </w:r>
      <w:r w:rsidRPr="00B17C0C">
        <w:t>2016, part of the Laos-Australia Rural Livelihoods Program 2013</w:t>
      </w:r>
      <w:r>
        <w:t>–</w:t>
      </w:r>
      <w:r w:rsidRPr="00B17C0C">
        <w:t>2017.</w:t>
      </w:r>
    </w:p>
  </w:footnote>
  <w:footnote w:id="50">
    <w:p w14:paraId="4BA349D9" w14:textId="42CA9308" w:rsidR="007D3737" w:rsidRDefault="007D3737" w:rsidP="00FD1ECD">
      <w:pPr>
        <w:pStyle w:val="FootnoteText"/>
      </w:pPr>
      <w:r w:rsidRPr="00BC397B">
        <w:rPr>
          <w:rStyle w:val="FootnoteReference"/>
        </w:rPr>
        <w:footnoteRef/>
      </w:r>
      <w:r w:rsidRPr="00BC397B">
        <w:rPr>
          <w:rStyle w:val="FootnoteReference"/>
        </w:rPr>
        <w:t xml:space="preserve"> </w:t>
      </w:r>
      <w:r>
        <w:t>The Round Table Implementation Meeting for 2012 was held on 23 November. The Australian delegation was led by Australia’s Ambassador to Laos and AusAID’s Counsellor. The High Level Round Table Meeting for 2013 is tentatively scheduled for early November.</w:t>
      </w:r>
    </w:p>
  </w:footnote>
  <w:footnote w:id="51">
    <w:p w14:paraId="5254E445" w14:textId="490BD6C2" w:rsidR="007D3737" w:rsidRPr="00106E72" w:rsidRDefault="007D3737" w:rsidP="00EF2E2D">
      <w:pPr>
        <w:rPr>
          <w:rFonts w:ascii="Calibri" w:hAnsi="Calibri"/>
          <w:color w:val="1F497D"/>
          <w:sz w:val="22"/>
          <w:szCs w:val="22"/>
        </w:rPr>
      </w:pPr>
      <w:r>
        <w:rPr>
          <w:rStyle w:val="FootnoteReference"/>
        </w:rPr>
        <w:footnoteRef/>
      </w:r>
      <w:r>
        <w:t xml:space="preserve"> </w:t>
      </w:r>
      <w:r w:rsidRPr="00A77837">
        <w:rPr>
          <w:rStyle w:val="FootnoteTextChar"/>
          <w:rFonts w:eastAsia="SimSun"/>
        </w:rPr>
        <w:t xml:space="preserve">ASEAN Parliamentary Study Tour to Laos, 29 August to 2 September 2012; Delegation to the 7th Asia-Europe Parliamentary Partnership Meeting August 2012; visit by the former Australian Prime Minister for the 9th Asia-Europe Meeting Summit 5–7 November 2012; visit by the Minister of Foreign Affairs, 17–20 February 2013; and visit by Mr Simon </w:t>
      </w:r>
      <w:proofErr w:type="spellStart"/>
      <w:r w:rsidRPr="00A77837">
        <w:rPr>
          <w:rStyle w:val="FootnoteTextChar"/>
          <w:rFonts w:eastAsia="SimSun"/>
        </w:rPr>
        <w:t>Crean</w:t>
      </w:r>
      <w:proofErr w:type="spellEnd"/>
      <w:r w:rsidRPr="00A77837">
        <w:rPr>
          <w:rStyle w:val="FootnoteTextChar"/>
          <w:rFonts w:eastAsia="SimSun"/>
        </w:rPr>
        <w:t xml:space="preserve"> MP, 25–30 April 2013.</w:t>
      </w:r>
    </w:p>
  </w:footnote>
  <w:footnote w:id="52">
    <w:p w14:paraId="6AFD6C3D" w14:textId="77777777" w:rsidR="00180E9C" w:rsidRDefault="00180E9C" w:rsidP="00180E9C">
      <w:pPr>
        <w:pStyle w:val="FootnoteText"/>
      </w:pPr>
      <w:r>
        <w:rPr>
          <w:rStyle w:val="FootnoteReference"/>
        </w:rPr>
        <w:footnoteRef/>
      </w:r>
      <w:r>
        <w:t xml:space="preserve"> Prior to 2012-13 Aid Program Performance Reports were called Annual Program Performance Reports</w:t>
      </w:r>
    </w:p>
  </w:footnote>
  <w:footnote w:id="53">
    <w:p w14:paraId="1DC60E20" w14:textId="57DFAF3F" w:rsidR="007D3737" w:rsidRPr="00071B95" w:rsidRDefault="007D3737" w:rsidP="000D45DD">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54">
    <w:p w14:paraId="52189A0C" w14:textId="45E5A88D" w:rsidR="007D3737" w:rsidRPr="00071B95" w:rsidRDefault="007D3737" w:rsidP="000D45DD">
      <w:pPr>
        <w:pStyle w:val="FootnoteText"/>
      </w:pPr>
      <w:r w:rsidRPr="00F77E6A">
        <w:rPr>
          <w:rStyle w:val="FootnoteReference"/>
        </w:rPr>
        <w:footnoteRef/>
      </w:r>
      <w:r w:rsidRPr="00071B95">
        <w:t xml:space="preserve"> </w:t>
      </w:r>
      <w:r>
        <w:t>For example,</w:t>
      </w:r>
      <w:r w:rsidRPr="00071B95">
        <w:t xml:space="preserve"> </w:t>
      </w:r>
      <w:r>
        <w:t>m</w:t>
      </w:r>
      <w:r w:rsidRPr="00071B95">
        <w:t xml:space="preserve">id-term review, </w:t>
      </w:r>
      <w:r>
        <w:t>c</w:t>
      </w:r>
      <w:r w:rsidRPr="00071B95">
        <w:t>ompletion report, partner-led evaluation, joint evaluation</w:t>
      </w:r>
      <w:r>
        <w:t>.</w:t>
      </w:r>
    </w:p>
  </w:footnote>
  <w:footnote w:id="55">
    <w:p w14:paraId="14DA8F96" w14:textId="442308FA" w:rsidR="007D3737" w:rsidRPr="00551C11" w:rsidRDefault="007D3737" w:rsidP="000D45DD">
      <w:pPr>
        <w:pStyle w:val="FootnoteText"/>
      </w:pPr>
      <w:r w:rsidRPr="00F77E6A">
        <w:rPr>
          <w:rStyle w:val="FootnoteReference"/>
        </w:rPr>
        <w:footnoteRef/>
      </w:r>
      <w:r w:rsidRPr="00071B95">
        <w:t xml:space="preserve"> </w:t>
      </w:r>
      <w:proofErr w:type="gramStart"/>
      <w:r>
        <w:t>For example, t</w:t>
      </w:r>
      <w:r w:rsidRPr="00071B95">
        <w:t>o inform a future phase of program, to improve existing program</w:t>
      </w:r>
      <w:r>
        <w:t xml:space="preserve"> or</w:t>
      </w:r>
      <w:r w:rsidRPr="00071B95">
        <w:t xml:space="preserve"> to verify program outcomes</w:t>
      </w:r>
      <w:r>
        <w:t>.</w:t>
      </w:r>
      <w:proofErr w:type="gramEnd"/>
    </w:p>
  </w:footnote>
  <w:footnote w:id="56">
    <w:p w14:paraId="133866EE" w14:textId="25A9CC1E" w:rsidR="007D3737" w:rsidRDefault="007D3737">
      <w:pPr>
        <w:pStyle w:val="FootnoteText"/>
      </w:pPr>
      <w:r>
        <w:rPr>
          <w:rStyle w:val="FootnoteReference"/>
        </w:rPr>
        <w:footnoteRef/>
      </w:r>
      <w:r>
        <w:t xml:space="preserve"> </w:t>
      </w:r>
      <w:r w:rsidRPr="00643DE3">
        <w:t>Joint Review Mission</w:t>
      </w:r>
      <w:r>
        <w:t>,</w:t>
      </w:r>
      <w:r w:rsidRPr="00643DE3">
        <w:t xml:space="preserve"> March 2012</w:t>
      </w:r>
      <w:r>
        <w:t xml:space="preserve">, Aide Memoire (p.5): </w:t>
      </w:r>
      <w:r w:rsidRPr="00643DE3">
        <w:t xml:space="preserve">332 total for Fast Track Initiative and </w:t>
      </w:r>
      <w:r>
        <w:t xml:space="preserve">Australian funded </w:t>
      </w:r>
      <w:r w:rsidRPr="00643DE3">
        <w:t>schools</w:t>
      </w:r>
      <w:r>
        <w:t>.</w:t>
      </w:r>
    </w:p>
  </w:footnote>
  <w:footnote w:id="57">
    <w:p w14:paraId="0F92018B" w14:textId="4CBDFE8A" w:rsidR="007D3737" w:rsidRDefault="007D3737">
      <w:pPr>
        <w:pStyle w:val="FootnoteText"/>
      </w:pPr>
      <w:r>
        <w:rPr>
          <w:rStyle w:val="FootnoteReference"/>
        </w:rPr>
        <w:footnoteRef/>
      </w:r>
      <w:r>
        <w:t xml:space="preserve"> </w:t>
      </w:r>
      <w:r w:rsidRPr="008F6756">
        <w:t xml:space="preserve">Joint Review Mission </w:t>
      </w:r>
      <w:r>
        <w:t xml:space="preserve">March </w:t>
      </w:r>
      <w:r w:rsidRPr="008F6756">
        <w:t>2012 Aide Memoire (p.53 Annex 5): 1766 classrooms (total classrooms to be constructed under Education For All: Fast Track Initiative with G</w:t>
      </w:r>
      <w:r>
        <w:t xml:space="preserve">lobal </w:t>
      </w:r>
      <w:r w:rsidRPr="008F6756">
        <w:t>P</w:t>
      </w:r>
      <w:r>
        <w:t xml:space="preserve">artnership for </w:t>
      </w:r>
      <w:r w:rsidRPr="008F6756">
        <w:t>E</w:t>
      </w:r>
      <w:r>
        <w:t>ducation</w:t>
      </w:r>
      <w:r w:rsidRPr="008F6756">
        <w:t xml:space="preserve"> and </w:t>
      </w:r>
      <w:r>
        <w:t xml:space="preserve">Australian aid </w:t>
      </w:r>
      <w:r w:rsidRPr="008F6756">
        <w:t>funds)</w:t>
      </w:r>
    </w:p>
  </w:footnote>
  <w:footnote w:id="58">
    <w:p w14:paraId="78EFF436" w14:textId="012C0F40" w:rsidR="007D3737" w:rsidRDefault="007D3737">
      <w:pPr>
        <w:pStyle w:val="FootnoteText"/>
      </w:pPr>
      <w:r>
        <w:rPr>
          <w:rStyle w:val="FootnoteReference"/>
        </w:rPr>
        <w:footnoteRef/>
      </w:r>
      <w:r>
        <w:t xml:space="preserve"> </w:t>
      </w:r>
      <w:r w:rsidRPr="008F6756">
        <w:t xml:space="preserve">Data from </w:t>
      </w:r>
      <w:r>
        <w:t>United Nations Children’s Fund water, sanitation and hygiene</w:t>
      </w:r>
      <w:r w:rsidRPr="008F6756">
        <w:t xml:space="preserve"> proposal for bridging phase.</w:t>
      </w:r>
    </w:p>
  </w:footnote>
  <w:footnote w:id="59">
    <w:p w14:paraId="1FC31D13" w14:textId="211D0B67" w:rsidR="007D3737" w:rsidRPr="00A9472E" w:rsidRDefault="007D3737" w:rsidP="00795EBB">
      <w:pPr>
        <w:pStyle w:val="FootnoteText"/>
      </w:pPr>
      <w:r w:rsidRPr="002333A7">
        <w:rPr>
          <w:rStyle w:val="FootnoteReference"/>
        </w:rPr>
        <w:footnoteRef/>
      </w:r>
      <w:r w:rsidRPr="002333A7">
        <w:rPr>
          <w:szCs w:val="16"/>
        </w:rPr>
        <w:t xml:space="preserve"> </w:t>
      </w:r>
      <w:r>
        <w:t>Calculation based on percentage of total funds for construction of water and sanitation facilities planned to be spent over year 1 of the program of the total 481 facilities to be constructed (19% of funds).</w:t>
      </w:r>
    </w:p>
  </w:footnote>
  <w:footnote w:id="60">
    <w:p w14:paraId="5B0F82FE" w14:textId="536B1660" w:rsidR="007D3737" w:rsidRDefault="007D3737">
      <w:pPr>
        <w:pStyle w:val="FootnoteText"/>
      </w:pPr>
      <w:r>
        <w:rPr>
          <w:rStyle w:val="FootnoteReference"/>
        </w:rPr>
        <w:footnoteRef/>
      </w:r>
      <w:r>
        <w:t xml:space="preserve"> </w:t>
      </w:r>
      <w:r w:rsidRPr="008F6756">
        <w:t xml:space="preserve">Joint Review Mission </w:t>
      </w:r>
      <w:r>
        <w:t xml:space="preserve">March </w:t>
      </w:r>
      <w:r w:rsidRPr="008F6756">
        <w:t xml:space="preserve">2012 Aide Memoire (p.14): Department of Primary and Pre-primary Education advised number of school principals and Vocational Education Development Centre villages trained (2654 schools/villages) and therefore our assumption is that number is the same number as schools to implement </w:t>
      </w:r>
      <w:r>
        <w:t>a ‘school of quality’</w:t>
      </w:r>
      <w:r w:rsidRPr="008F6756">
        <w:t xml:space="preserve"> approach.</w:t>
      </w:r>
    </w:p>
  </w:footnote>
  <w:footnote w:id="61">
    <w:p w14:paraId="315F391D" w14:textId="7A8B3849" w:rsidR="007D3737" w:rsidRDefault="007D3737">
      <w:pPr>
        <w:pStyle w:val="FootnoteText"/>
      </w:pPr>
      <w:r>
        <w:rPr>
          <w:rStyle w:val="FootnoteReference"/>
        </w:rPr>
        <w:footnoteRef/>
      </w:r>
      <w:r>
        <w:t xml:space="preserve"> </w:t>
      </w:r>
      <w:r w:rsidRPr="008F6756">
        <w:t xml:space="preserve">Joint Review Mission </w:t>
      </w:r>
      <w:r>
        <w:t xml:space="preserve">March </w:t>
      </w:r>
      <w:r w:rsidRPr="008F6756">
        <w:t>2012 Aide Memoire (p.14): clause 50.</w:t>
      </w:r>
    </w:p>
  </w:footnote>
  <w:footnote w:id="62">
    <w:p w14:paraId="1B3F227E" w14:textId="2CF31D95" w:rsidR="007D3737" w:rsidRPr="006000B3" w:rsidRDefault="007D3737" w:rsidP="00795EBB">
      <w:pPr>
        <w:pStyle w:val="FootnoteText"/>
      </w:pPr>
      <w:r>
        <w:rPr>
          <w:rStyle w:val="FootnoteReference"/>
        </w:rPr>
        <w:footnoteRef/>
      </w:r>
      <w:r>
        <w:t xml:space="preserve"> Joint Review Mission 2012 AM (p.14): clause 50.</w:t>
      </w:r>
    </w:p>
  </w:footnote>
  <w:footnote w:id="63">
    <w:p w14:paraId="3359B98C" w14:textId="79EECDEE" w:rsidR="007D3737" w:rsidRDefault="007D3737">
      <w:pPr>
        <w:pStyle w:val="FootnoteText"/>
      </w:pPr>
      <w:r>
        <w:rPr>
          <w:rStyle w:val="FootnoteReference"/>
        </w:rPr>
        <w:footnoteRef/>
      </w:r>
      <w:r>
        <w:t xml:space="preserve"> </w:t>
      </w:r>
      <w:r w:rsidRPr="008F6756">
        <w:t xml:space="preserve">Joint Review Mission </w:t>
      </w:r>
      <w:r>
        <w:t xml:space="preserve">March </w:t>
      </w:r>
      <w:r w:rsidRPr="008F6756">
        <w:t>2012 Aide Memoire (p</w:t>
      </w:r>
      <w:r>
        <w:t>p</w:t>
      </w:r>
      <w:r w:rsidRPr="008F6756">
        <w:t>.13-14): clause 48, 51, 53, 54, 55.</w:t>
      </w:r>
    </w:p>
  </w:footnote>
  <w:footnote w:id="64">
    <w:p w14:paraId="601B0547" w14:textId="724B32D3" w:rsidR="007D3737" w:rsidRPr="006000B3" w:rsidRDefault="007D3737" w:rsidP="00795EBB">
      <w:pPr>
        <w:pStyle w:val="FootnoteText"/>
      </w:pPr>
      <w:r>
        <w:rPr>
          <w:rStyle w:val="FootnoteReference"/>
        </w:rPr>
        <w:footnoteRef/>
      </w:r>
      <w:r>
        <w:t xml:space="preserve"> Joint Review Mission 2012 AM (pp.13-14): clause 48, 51, 53</w:t>
      </w:r>
      <w:proofErr w:type="gramStart"/>
      <w:r>
        <w:t>,54</w:t>
      </w:r>
      <w:proofErr w:type="gramEnd"/>
      <w:r>
        <w:t>, 55.</w:t>
      </w:r>
    </w:p>
  </w:footnote>
  <w:footnote w:id="65">
    <w:p w14:paraId="1E42FD10" w14:textId="7E26F1D8" w:rsidR="007D3737" w:rsidRDefault="007D3737">
      <w:pPr>
        <w:pStyle w:val="FootnoteText"/>
      </w:pPr>
      <w:r>
        <w:rPr>
          <w:rStyle w:val="FootnoteReference"/>
        </w:rPr>
        <w:footnoteRef/>
      </w:r>
      <w:r>
        <w:t xml:space="preserve"> </w:t>
      </w:r>
      <w:r w:rsidRPr="008F6756">
        <w:t>Department of Primary and Pre-primary Education advised that number of villages for Vocational Education Development Centre training is the same as number of principals trained.</w:t>
      </w:r>
    </w:p>
  </w:footnote>
  <w:footnote w:id="66">
    <w:p w14:paraId="07A655E7" w14:textId="593D9AE6" w:rsidR="007D3737" w:rsidRPr="006000B3" w:rsidRDefault="007D3737" w:rsidP="00795EBB">
      <w:pPr>
        <w:pStyle w:val="FootnoteText"/>
      </w:pPr>
      <w:r>
        <w:rPr>
          <w:rStyle w:val="FootnoteReference"/>
        </w:rPr>
        <w:footnoteRef/>
      </w:r>
      <w:r>
        <w:t xml:space="preserve"> </w:t>
      </w:r>
      <w:r>
        <w:rPr>
          <w:rStyle w:val="st"/>
        </w:rPr>
        <w:t>Department of Pre-School and Primary Education</w:t>
      </w:r>
      <w:r w:rsidDel="00DC3886">
        <w:t xml:space="preserve"> </w:t>
      </w:r>
      <w:r>
        <w:t xml:space="preserve">advised that number of villages for </w:t>
      </w:r>
      <w:r>
        <w:rPr>
          <w:rStyle w:val="st"/>
        </w:rPr>
        <w:t>Village Education Development Committee</w:t>
      </w:r>
      <w:r w:rsidDel="00DC3886">
        <w:t xml:space="preserve"> </w:t>
      </w:r>
      <w:r>
        <w:t>training is the same as number of principals trained.</w:t>
      </w:r>
    </w:p>
  </w:footnote>
  <w:footnote w:id="67">
    <w:p w14:paraId="329C8111" w14:textId="77FC8FDF" w:rsidR="007D3737" w:rsidRDefault="007D3737">
      <w:pPr>
        <w:pStyle w:val="FootnoteText"/>
      </w:pPr>
      <w:r>
        <w:rPr>
          <w:rStyle w:val="FootnoteReference"/>
        </w:rPr>
        <w:footnoteRef/>
      </w:r>
      <w:r>
        <w:t xml:space="preserve"> </w:t>
      </w:r>
      <w:proofErr w:type="gramStart"/>
      <w:r w:rsidRPr="008F6756">
        <w:t>Data from World Food Programme proposal for bridging funds.</w:t>
      </w:r>
      <w:proofErr w:type="gramEnd"/>
    </w:p>
  </w:footnote>
  <w:footnote w:id="68">
    <w:p w14:paraId="133A41FB" w14:textId="72BB92DD" w:rsidR="007D3737" w:rsidRPr="006000B3" w:rsidRDefault="007D3737" w:rsidP="00795EBB">
      <w:pPr>
        <w:pStyle w:val="FootnoteText"/>
      </w:pPr>
      <w:r>
        <w:rPr>
          <w:rStyle w:val="FootnoteReference"/>
        </w:rPr>
        <w:footnoteRef/>
      </w:r>
      <w:r>
        <w:t xml:space="preserve"> </w:t>
      </w:r>
      <w:proofErr w:type="gramStart"/>
      <w:r>
        <w:t>Data from World Food Programme proposal for bridging funds.</w:t>
      </w:r>
      <w:proofErr w:type="gramEnd"/>
    </w:p>
  </w:footnote>
  <w:footnote w:id="69">
    <w:p w14:paraId="7E22182D" w14:textId="5FBC9C90" w:rsidR="007D3737" w:rsidRDefault="007D3737">
      <w:pPr>
        <w:pStyle w:val="FootnoteText"/>
      </w:pPr>
      <w:r>
        <w:rPr>
          <w:rStyle w:val="FootnoteReference"/>
        </w:rPr>
        <w:footnoteRef/>
      </w:r>
      <w:r>
        <w:t xml:space="preserve"> </w:t>
      </w:r>
      <w:r w:rsidRPr="008F6756">
        <w:t xml:space="preserve">Data from </w:t>
      </w:r>
      <w:r>
        <w:t>United Nations Children’s Fund water, sanitation and hygiene</w:t>
      </w:r>
      <w:r w:rsidRPr="008F6756">
        <w:t xml:space="preserve"> bridging proposal and Catholic Relief Services proposal.</w:t>
      </w:r>
    </w:p>
  </w:footnote>
  <w:footnote w:id="70">
    <w:p w14:paraId="3D020377" w14:textId="39870BA0" w:rsidR="007D3737" w:rsidRPr="006000B3" w:rsidRDefault="007D3737" w:rsidP="00795EBB">
      <w:pPr>
        <w:pStyle w:val="FootnoteText"/>
      </w:pPr>
      <w:r>
        <w:rPr>
          <w:rStyle w:val="FootnoteReference"/>
        </w:rPr>
        <w:footnoteRef/>
      </w:r>
      <w:r>
        <w:t xml:space="preserve"> Data from United Nations Children’s Fund Water, Sanitation and Hygiene program – 90 accessible sanitation facilities built, with approximately 100 students (national average) per school. Catholic Relief Services right to learn project only commenced implementation late 2012 with 235 children with disability in target district.</w:t>
      </w:r>
    </w:p>
  </w:footnote>
  <w:footnote w:id="71">
    <w:p w14:paraId="1E6D3264" w14:textId="3BB45D76" w:rsidR="007D3737" w:rsidRDefault="007D3737">
      <w:pPr>
        <w:pStyle w:val="FootnoteText"/>
      </w:pPr>
      <w:r>
        <w:rPr>
          <w:rStyle w:val="FootnoteReference"/>
        </w:rPr>
        <w:footnoteRef/>
      </w:r>
      <w:r>
        <w:t xml:space="preserve"> </w:t>
      </w:r>
      <w:r w:rsidRPr="008F6756">
        <w:t xml:space="preserve">Education </w:t>
      </w:r>
      <w:proofErr w:type="gramStart"/>
      <w:r w:rsidRPr="008F6756">
        <w:t>For</w:t>
      </w:r>
      <w:proofErr w:type="gramEnd"/>
      <w:r w:rsidRPr="008F6756">
        <w:t xml:space="preserve"> All: Fast Track Initiative program appraisal document results framework target for year three.</w:t>
      </w:r>
    </w:p>
  </w:footnote>
  <w:footnote w:id="72">
    <w:p w14:paraId="114BB870" w14:textId="0039745B" w:rsidR="007D3737" w:rsidRPr="00811A01" w:rsidRDefault="007D3737" w:rsidP="00795EBB">
      <w:pPr>
        <w:pStyle w:val="FootnoteText"/>
      </w:pPr>
      <w:r>
        <w:rPr>
          <w:rStyle w:val="FootnoteReference"/>
        </w:rPr>
        <w:footnoteRef/>
      </w:r>
      <w:r>
        <w:t xml:space="preserve"> Education for All: Fast Track Initiative project appraisal document – results framework target for year 3.</w:t>
      </w:r>
    </w:p>
  </w:footnote>
  <w:footnote w:id="73">
    <w:p w14:paraId="4EA64862" w14:textId="1241A9D6" w:rsidR="007D3737" w:rsidRDefault="007D3737">
      <w:pPr>
        <w:pStyle w:val="FootnoteText"/>
      </w:pPr>
      <w:r>
        <w:rPr>
          <w:rStyle w:val="FootnoteReference"/>
        </w:rPr>
        <w:footnoteRef/>
      </w:r>
      <w:r>
        <w:t xml:space="preserve"> </w:t>
      </w:r>
      <w:r w:rsidRPr="008F6756">
        <w:t xml:space="preserve">Joint Review Mission </w:t>
      </w:r>
      <w:r>
        <w:t xml:space="preserve">March </w:t>
      </w:r>
      <w:r w:rsidRPr="008F6756">
        <w:t>2012 Aide Memoire (p.17, clause 70): 282 is accumulated number of 114 from year one and 168 from year two.</w:t>
      </w:r>
    </w:p>
  </w:footnote>
  <w:footnote w:id="74">
    <w:p w14:paraId="20EF49C0" w14:textId="37318985" w:rsidR="007D3737" w:rsidRPr="006000B3" w:rsidRDefault="007D3737" w:rsidP="00795EBB">
      <w:pPr>
        <w:pStyle w:val="FootnoteText"/>
      </w:pPr>
      <w:r>
        <w:rPr>
          <w:rStyle w:val="FootnoteReference"/>
        </w:rPr>
        <w:footnoteRef/>
      </w:r>
      <w:r>
        <w:t xml:space="preserve"> Joint Review Mission 2012 AM (p.17, clause 70): 282 is accumulated number of 114 from year one and 168 from year two.</w:t>
      </w:r>
    </w:p>
  </w:footnote>
  <w:footnote w:id="75">
    <w:p w14:paraId="00C89038" w14:textId="17C6555C" w:rsidR="007D3737" w:rsidRDefault="007D3737">
      <w:pPr>
        <w:pStyle w:val="FootnoteText"/>
      </w:pPr>
      <w:r>
        <w:rPr>
          <w:rStyle w:val="FootnoteReference"/>
        </w:rPr>
        <w:footnoteRef/>
      </w:r>
      <w:r>
        <w:t xml:space="preserve"> </w:t>
      </w:r>
      <w:r w:rsidRPr="008F6756">
        <w:t xml:space="preserve">Joint Review Mission </w:t>
      </w:r>
      <w:r>
        <w:t xml:space="preserve">March </w:t>
      </w:r>
      <w:r w:rsidRPr="008F6756">
        <w:t>2012 Aide Memoire (p.20, clause 84).</w:t>
      </w:r>
    </w:p>
  </w:footnote>
  <w:footnote w:id="76">
    <w:p w14:paraId="16ED12E9" w14:textId="2725F428" w:rsidR="007D3737" w:rsidRPr="006000B3" w:rsidRDefault="007D3737" w:rsidP="00795EBB">
      <w:pPr>
        <w:pStyle w:val="FootnoteText"/>
      </w:pPr>
      <w:r>
        <w:rPr>
          <w:rStyle w:val="FootnoteReference"/>
        </w:rPr>
        <w:footnoteRef/>
      </w:r>
      <w:r>
        <w:t xml:space="preserve"> Joint Review Mission 2012 AM (p.20, clause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8046" w14:textId="00F6D3AE" w:rsidR="007D3737" w:rsidRDefault="007D3737"/>
  <w:p w14:paraId="6565D6AB" w14:textId="6C45F11A" w:rsidR="007D3737" w:rsidRDefault="007D3737">
    <w:r>
      <w:rPr>
        <w:noProof/>
      </w:rPr>
      <w:drawing>
        <wp:anchor distT="0" distB="0" distL="114300" distR="114300" simplePos="0" relativeHeight="251699200" behindDoc="0" locked="0" layoutInCell="1" allowOverlap="1" wp14:anchorId="523F6F33" wp14:editId="387FF81C">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FAA8" w14:textId="659CFD0F" w:rsidR="007D3737" w:rsidRDefault="007D3737">
    <w:pPr>
      <w:pStyle w:val="Header"/>
    </w:pPr>
    <w:r>
      <w:rPr>
        <w:noProof/>
      </w:rPr>
      <w:drawing>
        <wp:anchor distT="0" distB="0" distL="114300" distR="114300" simplePos="0" relativeHeight="251701248" behindDoc="0" locked="0" layoutInCell="1" allowOverlap="1" wp14:anchorId="52A51638" wp14:editId="487401E4">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EFC87" w14:textId="0E16C1D6" w:rsidR="007D3737" w:rsidRDefault="007D3737"/>
  <w:p w14:paraId="2DBAB603" w14:textId="77777777" w:rsidR="007D3737" w:rsidRDefault="007D37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8FFE" w14:textId="77777777" w:rsidR="007D3737" w:rsidRDefault="007D373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630B" w14:textId="77777777" w:rsidR="007D3737" w:rsidRDefault="007D3737"/>
  <w:p w14:paraId="11F98453" w14:textId="2C562A23" w:rsidR="007D3737" w:rsidRDefault="007D3737">
    <w:r>
      <w:rPr>
        <w:noProof/>
      </w:rPr>
      <w:drawing>
        <wp:anchor distT="0" distB="0" distL="114300" distR="114300" simplePos="0" relativeHeight="251727872" behindDoc="0" locked="0" layoutInCell="1" allowOverlap="1" wp14:anchorId="009B4D39" wp14:editId="2AA5DBD5">
          <wp:simplePos x="0" y="0"/>
          <wp:positionH relativeFrom="page">
            <wp:align>left</wp:align>
          </wp:positionH>
          <wp:positionV relativeFrom="page">
            <wp:align>top</wp:align>
          </wp:positionV>
          <wp:extent cx="7560000" cy="1440000"/>
          <wp:effectExtent l="0" t="0" r="3175" b="825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8A15" w14:textId="538A0950" w:rsidR="007D3737" w:rsidRDefault="007D373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264A" w14:textId="77777777" w:rsidR="007D3737" w:rsidRDefault="007D3737"/>
  <w:p w14:paraId="4836D739" w14:textId="1934EF85" w:rsidR="007D3737" w:rsidRDefault="007D373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D0D8" w14:textId="77777777" w:rsidR="007D3737" w:rsidRDefault="007D373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D3715" w14:textId="77777777" w:rsidR="007D3737" w:rsidRPr="00AA1244" w:rsidRDefault="007D3737" w:rsidP="00AA1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0D755F1"/>
    <w:multiLevelType w:val="hybridMultilevel"/>
    <w:tmpl w:val="87121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0737DF"/>
    <w:multiLevelType w:val="hybridMultilevel"/>
    <w:tmpl w:val="3E98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D266B"/>
    <w:multiLevelType w:val="hybridMultilevel"/>
    <w:tmpl w:val="07488D7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83A1314"/>
    <w:multiLevelType w:val="hybridMultilevel"/>
    <w:tmpl w:val="1070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376B37"/>
    <w:multiLevelType w:val="hybridMultilevel"/>
    <w:tmpl w:val="D21C0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40453D"/>
    <w:multiLevelType w:val="hybridMultilevel"/>
    <w:tmpl w:val="F34E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BC1555"/>
    <w:multiLevelType w:val="hybridMultilevel"/>
    <w:tmpl w:val="34E4557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793401E"/>
    <w:multiLevelType w:val="multilevel"/>
    <w:tmpl w:val="E820C2F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1E5C41"/>
    <w:multiLevelType w:val="hybridMultilevel"/>
    <w:tmpl w:val="F744A830"/>
    <w:lvl w:ilvl="0" w:tplc="B818EC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3C229B"/>
    <w:multiLevelType w:val="hybridMultilevel"/>
    <w:tmpl w:val="150E088A"/>
    <w:lvl w:ilvl="0" w:tplc="EA36B118">
      <w:start w:val="1"/>
      <w:numFmt w:val="lowerLetter"/>
      <w:lvlRestart w:val="0"/>
      <w:lvlText w:val="%1."/>
      <w:lvlJc w:val="left"/>
      <w:pPr>
        <w:tabs>
          <w:tab w:val="num" w:pos="530"/>
        </w:tabs>
        <w:ind w:left="360" w:firstLine="0"/>
      </w:pPr>
      <w:rPr>
        <w:rFonts w:hint="default"/>
        <w:b w:val="0"/>
        <w:i w:val="0"/>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73165ED"/>
    <w:multiLevelType w:val="hybridMultilevel"/>
    <w:tmpl w:val="259C54B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1A24B29"/>
    <w:multiLevelType w:val="hybridMultilevel"/>
    <w:tmpl w:val="35C6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C4658"/>
    <w:multiLevelType w:val="hybridMultilevel"/>
    <w:tmpl w:val="CEAE6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7">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1247F0"/>
    <w:multiLevelType w:val="hybridMultilevel"/>
    <w:tmpl w:val="2036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E65DAE"/>
    <w:multiLevelType w:val="hybridMultilevel"/>
    <w:tmpl w:val="6AFEF408"/>
    <w:lvl w:ilvl="0" w:tplc="14009D1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ED303C"/>
    <w:multiLevelType w:val="hybridMultilevel"/>
    <w:tmpl w:val="6B064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B7E5FA8"/>
    <w:multiLevelType w:val="hybridMultilevel"/>
    <w:tmpl w:val="FF225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10"/>
  </w:num>
  <w:num w:numId="4">
    <w:abstractNumId w:val="23"/>
  </w:num>
  <w:num w:numId="5">
    <w:abstractNumId w:val="6"/>
  </w:num>
  <w:num w:numId="6">
    <w:abstractNumId w:val="22"/>
  </w:num>
  <w:num w:numId="7">
    <w:abstractNumId w:val="19"/>
  </w:num>
  <w:num w:numId="8">
    <w:abstractNumId w:val="16"/>
  </w:num>
  <w:num w:numId="9">
    <w:abstractNumId w:val="27"/>
  </w:num>
  <w:num w:numId="10">
    <w:abstractNumId w:val="4"/>
  </w:num>
  <w:num w:numId="11">
    <w:abstractNumId w:val="21"/>
  </w:num>
  <w:num w:numId="12">
    <w:abstractNumId w:val="29"/>
  </w:num>
  <w:num w:numId="13">
    <w:abstractNumId w:val="11"/>
  </w:num>
  <w:num w:numId="14">
    <w:abstractNumId w:val="32"/>
  </w:num>
  <w:num w:numId="15">
    <w:abstractNumId w:val="35"/>
  </w:num>
  <w:num w:numId="16">
    <w:abstractNumId w:val="14"/>
  </w:num>
  <w:num w:numId="17">
    <w:abstractNumId w:val="0"/>
  </w:num>
  <w:num w:numId="18">
    <w:abstractNumId w:val="2"/>
  </w:num>
  <w:num w:numId="19">
    <w:abstractNumId w:val="5"/>
  </w:num>
  <w:num w:numId="20">
    <w:abstractNumId w:val="31"/>
  </w:num>
  <w:num w:numId="21">
    <w:abstractNumId w:val="18"/>
  </w:num>
  <w:num w:numId="22">
    <w:abstractNumId w:val="15"/>
  </w:num>
  <w:num w:numId="23">
    <w:abstractNumId w:val="33"/>
  </w:num>
  <w:num w:numId="24">
    <w:abstractNumId w:val="25"/>
  </w:num>
  <w:num w:numId="25">
    <w:abstractNumId w:val="17"/>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20"/>
  </w:num>
  <w:num w:numId="34">
    <w:abstractNumId w:val="8"/>
  </w:num>
  <w:num w:numId="35">
    <w:abstractNumId w:val="3"/>
  </w:num>
  <w:num w:numId="36">
    <w:abstractNumId w:val="10"/>
  </w:num>
  <w:num w:numId="37">
    <w:abstractNumId w:val="30"/>
  </w:num>
  <w:num w:numId="38">
    <w:abstractNumId w:val="13"/>
  </w:num>
  <w:num w:numId="39">
    <w:abstractNumId w:val="7"/>
  </w:num>
  <w:num w:numId="40">
    <w:abstractNumId w:val="10"/>
  </w:num>
  <w:num w:numId="41">
    <w:abstractNumId w:val="1"/>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9"/>
  </w:num>
  <w:num w:numId="50">
    <w:abstractNumId w:val="24"/>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338"/>
    <w:rsid w:val="000004FF"/>
    <w:rsid w:val="00002828"/>
    <w:rsid w:val="00002D62"/>
    <w:rsid w:val="000039CF"/>
    <w:rsid w:val="0000548F"/>
    <w:rsid w:val="000106AB"/>
    <w:rsid w:val="00010C3E"/>
    <w:rsid w:val="00013798"/>
    <w:rsid w:val="000143D9"/>
    <w:rsid w:val="00016BF7"/>
    <w:rsid w:val="000173F5"/>
    <w:rsid w:val="00020121"/>
    <w:rsid w:val="000204F4"/>
    <w:rsid w:val="00021A9E"/>
    <w:rsid w:val="00022909"/>
    <w:rsid w:val="000242F4"/>
    <w:rsid w:val="00027FE3"/>
    <w:rsid w:val="00030111"/>
    <w:rsid w:val="0003021C"/>
    <w:rsid w:val="00031100"/>
    <w:rsid w:val="00032DE8"/>
    <w:rsid w:val="00035875"/>
    <w:rsid w:val="00036322"/>
    <w:rsid w:val="00036A1C"/>
    <w:rsid w:val="0004001B"/>
    <w:rsid w:val="000403CD"/>
    <w:rsid w:val="00041077"/>
    <w:rsid w:val="00043146"/>
    <w:rsid w:val="00044AD4"/>
    <w:rsid w:val="00044AF9"/>
    <w:rsid w:val="000461A5"/>
    <w:rsid w:val="00051B3C"/>
    <w:rsid w:val="000540FD"/>
    <w:rsid w:val="0005506D"/>
    <w:rsid w:val="00057023"/>
    <w:rsid w:val="00057A2B"/>
    <w:rsid w:val="00057A42"/>
    <w:rsid w:val="000612DE"/>
    <w:rsid w:val="00061599"/>
    <w:rsid w:val="000702C1"/>
    <w:rsid w:val="00071B95"/>
    <w:rsid w:val="000727B7"/>
    <w:rsid w:val="00074099"/>
    <w:rsid w:val="000745E2"/>
    <w:rsid w:val="000757A7"/>
    <w:rsid w:val="000774FD"/>
    <w:rsid w:val="000810AF"/>
    <w:rsid w:val="0008213F"/>
    <w:rsid w:val="00083CB0"/>
    <w:rsid w:val="000849D6"/>
    <w:rsid w:val="0008533E"/>
    <w:rsid w:val="00090D76"/>
    <w:rsid w:val="00092C81"/>
    <w:rsid w:val="00094A6F"/>
    <w:rsid w:val="00095EA2"/>
    <w:rsid w:val="000979A0"/>
    <w:rsid w:val="000A0367"/>
    <w:rsid w:val="000A0E70"/>
    <w:rsid w:val="000A1177"/>
    <w:rsid w:val="000A155A"/>
    <w:rsid w:val="000A1618"/>
    <w:rsid w:val="000A2A01"/>
    <w:rsid w:val="000A2F94"/>
    <w:rsid w:val="000A3C76"/>
    <w:rsid w:val="000A3E49"/>
    <w:rsid w:val="000A489C"/>
    <w:rsid w:val="000A6818"/>
    <w:rsid w:val="000B0746"/>
    <w:rsid w:val="000B1073"/>
    <w:rsid w:val="000B15BD"/>
    <w:rsid w:val="000B2211"/>
    <w:rsid w:val="000B26DD"/>
    <w:rsid w:val="000B3121"/>
    <w:rsid w:val="000B45CA"/>
    <w:rsid w:val="000B4863"/>
    <w:rsid w:val="000B532D"/>
    <w:rsid w:val="000B69DE"/>
    <w:rsid w:val="000B7E52"/>
    <w:rsid w:val="000C03A1"/>
    <w:rsid w:val="000C0BA9"/>
    <w:rsid w:val="000C173F"/>
    <w:rsid w:val="000C25F9"/>
    <w:rsid w:val="000C29BF"/>
    <w:rsid w:val="000C34D5"/>
    <w:rsid w:val="000C34F1"/>
    <w:rsid w:val="000C511F"/>
    <w:rsid w:val="000C579D"/>
    <w:rsid w:val="000C6080"/>
    <w:rsid w:val="000C60A8"/>
    <w:rsid w:val="000C6D39"/>
    <w:rsid w:val="000D05F2"/>
    <w:rsid w:val="000D3FBD"/>
    <w:rsid w:val="000D45DD"/>
    <w:rsid w:val="000D6581"/>
    <w:rsid w:val="000D698A"/>
    <w:rsid w:val="000D6B06"/>
    <w:rsid w:val="000D709A"/>
    <w:rsid w:val="000E11DC"/>
    <w:rsid w:val="000E1281"/>
    <w:rsid w:val="000E302C"/>
    <w:rsid w:val="000E5551"/>
    <w:rsid w:val="000E5A5F"/>
    <w:rsid w:val="000E5FE6"/>
    <w:rsid w:val="000E7297"/>
    <w:rsid w:val="000E7715"/>
    <w:rsid w:val="000F0D04"/>
    <w:rsid w:val="000F1D3B"/>
    <w:rsid w:val="000F229B"/>
    <w:rsid w:val="000F23F8"/>
    <w:rsid w:val="000F373C"/>
    <w:rsid w:val="000F5AE6"/>
    <w:rsid w:val="000F7E83"/>
    <w:rsid w:val="001007B2"/>
    <w:rsid w:val="00100AA2"/>
    <w:rsid w:val="00104A7A"/>
    <w:rsid w:val="00105389"/>
    <w:rsid w:val="00106A34"/>
    <w:rsid w:val="00106A90"/>
    <w:rsid w:val="00106E72"/>
    <w:rsid w:val="00106EAD"/>
    <w:rsid w:val="00106FFD"/>
    <w:rsid w:val="00107935"/>
    <w:rsid w:val="00107C2F"/>
    <w:rsid w:val="00110CC9"/>
    <w:rsid w:val="00112E97"/>
    <w:rsid w:val="001137E4"/>
    <w:rsid w:val="00113AF8"/>
    <w:rsid w:val="0011457F"/>
    <w:rsid w:val="001157B5"/>
    <w:rsid w:val="001175F2"/>
    <w:rsid w:val="00120FC7"/>
    <w:rsid w:val="001227F7"/>
    <w:rsid w:val="00122D02"/>
    <w:rsid w:val="0012665D"/>
    <w:rsid w:val="00131612"/>
    <w:rsid w:val="00132B4D"/>
    <w:rsid w:val="0013397F"/>
    <w:rsid w:val="001366B4"/>
    <w:rsid w:val="00141A30"/>
    <w:rsid w:val="001422D5"/>
    <w:rsid w:val="001429D7"/>
    <w:rsid w:val="00142DC9"/>
    <w:rsid w:val="00143130"/>
    <w:rsid w:val="0014411B"/>
    <w:rsid w:val="00145EA7"/>
    <w:rsid w:val="00150198"/>
    <w:rsid w:val="00150AF3"/>
    <w:rsid w:val="00151889"/>
    <w:rsid w:val="00153A9E"/>
    <w:rsid w:val="00155F65"/>
    <w:rsid w:val="00160FAE"/>
    <w:rsid w:val="001612CE"/>
    <w:rsid w:val="001612E4"/>
    <w:rsid w:val="00161AF7"/>
    <w:rsid w:val="00162120"/>
    <w:rsid w:val="001621F0"/>
    <w:rsid w:val="00164317"/>
    <w:rsid w:val="0016544D"/>
    <w:rsid w:val="0017125F"/>
    <w:rsid w:val="00173C6E"/>
    <w:rsid w:val="00174121"/>
    <w:rsid w:val="0017430A"/>
    <w:rsid w:val="00174D55"/>
    <w:rsid w:val="00176438"/>
    <w:rsid w:val="001774F9"/>
    <w:rsid w:val="001775FF"/>
    <w:rsid w:val="001801CD"/>
    <w:rsid w:val="00180530"/>
    <w:rsid w:val="00180B19"/>
    <w:rsid w:val="00180E1E"/>
    <w:rsid w:val="00180E9C"/>
    <w:rsid w:val="00181650"/>
    <w:rsid w:val="0018196F"/>
    <w:rsid w:val="00181FF4"/>
    <w:rsid w:val="001820A7"/>
    <w:rsid w:val="00182548"/>
    <w:rsid w:val="001829BB"/>
    <w:rsid w:val="00185B5F"/>
    <w:rsid w:val="0018642E"/>
    <w:rsid w:val="0018661F"/>
    <w:rsid w:val="001875CE"/>
    <w:rsid w:val="00192498"/>
    <w:rsid w:val="001926ED"/>
    <w:rsid w:val="00194806"/>
    <w:rsid w:val="00195BF6"/>
    <w:rsid w:val="001976E7"/>
    <w:rsid w:val="001A0396"/>
    <w:rsid w:val="001A056E"/>
    <w:rsid w:val="001A2426"/>
    <w:rsid w:val="001A3876"/>
    <w:rsid w:val="001A4CE9"/>
    <w:rsid w:val="001A66EA"/>
    <w:rsid w:val="001A7ED8"/>
    <w:rsid w:val="001B04BB"/>
    <w:rsid w:val="001B1A0C"/>
    <w:rsid w:val="001B4BA7"/>
    <w:rsid w:val="001B5208"/>
    <w:rsid w:val="001B7858"/>
    <w:rsid w:val="001B7914"/>
    <w:rsid w:val="001C09D2"/>
    <w:rsid w:val="001C1EA0"/>
    <w:rsid w:val="001C2EA0"/>
    <w:rsid w:val="001C3627"/>
    <w:rsid w:val="001C387F"/>
    <w:rsid w:val="001C4486"/>
    <w:rsid w:val="001C507E"/>
    <w:rsid w:val="001C6130"/>
    <w:rsid w:val="001C700E"/>
    <w:rsid w:val="001C7117"/>
    <w:rsid w:val="001C726E"/>
    <w:rsid w:val="001D20FC"/>
    <w:rsid w:val="001D210A"/>
    <w:rsid w:val="001D2F1A"/>
    <w:rsid w:val="001D797C"/>
    <w:rsid w:val="001E061A"/>
    <w:rsid w:val="001E068A"/>
    <w:rsid w:val="001E1315"/>
    <w:rsid w:val="001E2499"/>
    <w:rsid w:val="001E3E14"/>
    <w:rsid w:val="001E4ADE"/>
    <w:rsid w:val="001E6C8E"/>
    <w:rsid w:val="001E7DCC"/>
    <w:rsid w:val="001E7FD0"/>
    <w:rsid w:val="001F19A9"/>
    <w:rsid w:val="001F1C89"/>
    <w:rsid w:val="001F2322"/>
    <w:rsid w:val="001F4166"/>
    <w:rsid w:val="001F416C"/>
    <w:rsid w:val="001F4C5B"/>
    <w:rsid w:val="001F5AF4"/>
    <w:rsid w:val="001F7480"/>
    <w:rsid w:val="001F79E3"/>
    <w:rsid w:val="001F7BBD"/>
    <w:rsid w:val="00200B1D"/>
    <w:rsid w:val="00202435"/>
    <w:rsid w:val="002036A6"/>
    <w:rsid w:val="00205361"/>
    <w:rsid w:val="00205F37"/>
    <w:rsid w:val="00207715"/>
    <w:rsid w:val="00207A28"/>
    <w:rsid w:val="00207D59"/>
    <w:rsid w:val="00210269"/>
    <w:rsid w:val="002115BD"/>
    <w:rsid w:val="0021224D"/>
    <w:rsid w:val="00212D16"/>
    <w:rsid w:val="00213408"/>
    <w:rsid w:val="00213DE2"/>
    <w:rsid w:val="00214A73"/>
    <w:rsid w:val="00215E3F"/>
    <w:rsid w:val="00217DC7"/>
    <w:rsid w:val="00217E13"/>
    <w:rsid w:val="00221530"/>
    <w:rsid w:val="0022260A"/>
    <w:rsid w:val="00224CDD"/>
    <w:rsid w:val="00224E64"/>
    <w:rsid w:val="002266AA"/>
    <w:rsid w:val="002266BB"/>
    <w:rsid w:val="00226A41"/>
    <w:rsid w:val="0023072E"/>
    <w:rsid w:val="0023122D"/>
    <w:rsid w:val="00231D45"/>
    <w:rsid w:val="00233F59"/>
    <w:rsid w:val="002352F7"/>
    <w:rsid w:val="002360B6"/>
    <w:rsid w:val="00236C18"/>
    <w:rsid w:val="002374E1"/>
    <w:rsid w:val="0023791F"/>
    <w:rsid w:val="00237C4B"/>
    <w:rsid w:val="00241E1F"/>
    <w:rsid w:val="00241E9F"/>
    <w:rsid w:val="00242C3C"/>
    <w:rsid w:val="002436CB"/>
    <w:rsid w:val="002462EC"/>
    <w:rsid w:val="00246C78"/>
    <w:rsid w:val="00246E5F"/>
    <w:rsid w:val="002507CE"/>
    <w:rsid w:val="00250A7E"/>
    <w:rsid w:val="002555B6"/>
    <w:rsid w:val="00255F5B"/>
    <w:rsid w:val="00261569"/>
    <w:rsid w:val="002621EC"/>
    <w:rsid w:val="002663F0"/>
    <w:rsid w:val="002669EB"/>
    <w:rsid w:val="0026756B"/>
    <w:rsid w:val="0027219D"/>
    <w:rsid w:val="00274139"/>
    <w:rsid w:val="002743F2"/>
    <w:rsid w:val="00275FF0"/>
    <w:rsid w:val="002808F4"/>
    <w:rsid w:val="00281331"/>
    <w:rsid w:val="00282831"/>
    <w:rsid w:val="002849B4"/>
    <w:rsid w:val="00284CB9"/>
    <w:rsid w:val="00284D9E"/>
    <w:rsid w:val="0028609F"/>
    <w:rsid w:val="002860A1"/>
    <w:rsid w:val="002864D5"/>
    <w:rsid w:val="002865E3"/>
    <w:rsid w:val="00290213"/>
    <w:rsid w:val="002910B5"/>
    <w:rsid w:val="0029290B"/>
    <w:rsid w:val="00295D1D"/>
    <w:rsid w:val="002A0CC2"/>
    <w:rsid w:val="002A0EA5"/>
    <w:rsid w:val="002A143F"/>
    <w:rsid w:val="002A1935"/>
    <w:rsid w:val="002A22F7"/>
    <w:rsid w:val="002A3108"/>
    <w:rsid w:val="002A36D9"/>
    <w:rsid w:val="002A68B5"/>
    <w:rsid w:val="002A6E68"/>
    <w:rsid w:val="002A6F88"/>
    <w:rsid w:val="002A7ABF"/>
    <w:rsid w:val="002B0966"/>
    <w:rsid w:val="002B1350"/>
    <w:rsid w:val="002B16C8"/>
    <w:rsid w:val="002B1E3C"/>
    <w:rsid w:val="002B433A"/>
    <w:rsid w:val="002B4B17"/>
    <w:rsid w:val="002B5819"/>
    <w:rsid w:val="002B6BC6"/>
    <w:rsid w:val="002B79D4"/>
    <w:rsid w:val="002B7B23"/>
    <w:rsid w:val="002B7E9A"/>
    <w:rsid w:val="002C0571"/>
    <w:rsid w:val="002C208A"/>
    <w:rsid w:val="002C49DA"/>
    <w:rsid w:val="002C4B52"/>
    <w:rsid w:val="002C5984"/>
    <w:rsid w:val="002C66A4"/>
    <w:rsid w:val="002C6B05"/>
    <w:rsid w:val="002D17E8"/>
    <w:rsid w:val="002D1C46"/>
    <w:rsid w:val="002D2A34"/>
    <w:rsid w:val="002D2BF5"/>
    <w:rsid w:val="002D32FB"/>
    <w:rsid w:val="002D3AE0"/>
    <w:rsid w:val="002D44D6"/>
    <w:rsid w:val="002D6414"/>
    <w:rsid w:val="002D67A7"/>
    <w:rsid w:val="002D6914"/>
    <w:rsid w:val="002D697D"/>
    <w:rsid w:val="002E12D3"/>
    <w:rsid w:val="002E16CE"/>
    <w:rsid w:val="002E2871"/>
    <w:rsid w:val="002E319A"/>
    <w:rsid w:val="002E4FD2"/>
    <w:rsid w:val="002E57F6"/>
    <w:rsid w:val="002E5BAF"/>
    <w:rsid w:val="002E661C"/>
    <w:rsid w:val="002E6E0A"/>
    <w:rsid w:val="002E71F1"/>
    <w:rsid w:val="002E73D8"/>
    <w:rsid w:val="002E7F35"/>
    <w:rsid w:val="002F3E6C"/>
    <w:rsid w:val="002F42EA"/>
    <w:rsid w:val="002F479A"/>
    <w:rsid w:val="002F4A50"/>
    <w:rsid w:val="002F52D6"/>
    <w:rsid w:val="002F5A14"/>
    <w:rsid w:val="0030164A"/>
    <w:rsid w:val="00301D95"/>
    <w:rsid w:val="00303038"/>
    <w:rsid w:val="0030408C"/>
    <w:rsid w:val="00304BAB"/>
    <w:rsid w:val="00306BC0"/>
    <w:rsid w:val="003077FF"/>
    <w:rsid w:val="00310426"/>
    <w:rsid w:val="00310DD6"/>
    <w:rsid w:val="003139D3"/>
    <w:rsid w:val="00313BA1"/>
    <w:rsid w:val="00315017"/>
    <w:rsid w:val="00315D13"/>
    <w:rsid w:val="00316136"/>
    <w:rsid w:val="00316323"/>
    <w:rsid w:val="00316783"/>
    <w:rsid w:val="00316E56"/>
    <w:rsid w:val="0032078B"/>
    <w:rsid w:val="00321473"/>
    <w:rsid w:val="0032188D"/>
    <w:rsid w:val="0032198C"/>
    <w:rsid w:val="003223F8"/>
    <w:rsid w:val="0032369D"/>
    <w:rsid w:val="00323B14"/>
    <w:rsid w:val="0032486D"/>
    <w:rsid w:val="003260C0"/>
    <w:rsid w:val="003265EE"/>
    <w:rsid w:val="00326B5A"/>
    <w:rsid w:val="00330D1B"/>
    <w:rsid w:val="003327F8"/>
    <w:rsid w:val="00334608"/>
    <w:rsid w:val="00341177"/>
    <w:rsid w:val="00343143"/>
    <w:rsid w:val="00343397"/>
    <w:rsid w:val="003448AC"/>
    <w:rsid w:val="00345688"/>
    <w:rsid w:val="00345B8E"/>
    <w:rsid w:val="00345E48"/>
    <w:rsid w:val="0034705B"/>
    <w:rsid w:val="003472F1"/>
    <w:rsid w:val="00350DE7"/>
    <w:rsid w:val="00351848"/>
    <w:rsid w:val="00351ACA"/>
    <w:rsid w:val="00351D7A"/>
    <w:rsid w:val="003529C4"/>
    <w:rsid w:val="00352AE5"/>
    <w:rsid w:val="00354788"/>
    <w:rsid w:val="003549D2"/>
    <w:rsid w:val="00354F1B"/>
    <w:rsid w:val="00355270"/>
    <w:rsid w:val="00355920"/>
    <w:rsid w:val="00357AF7"/>
    <w:rsid w:val="00360662"/>
    <w:rsid w:val="003611FF"/>
    <w:rsid w:val="003624AE"/>
    <w:rsid w:val="00367395"/>
    <w:rsid w:val="00367E3E"/>
    <w:rsid w:val="00367FC4"/>
    <w:rsid w:val="0037184E"/>
    <w:rsid w:val="00371992"/>
    <w:rsid w:val="00372E1B"/>
    <w:rsid w:val="00376F77"/>
    <w:rsid w:val="00376FA2"/>
    <w:rsid w:val="00377C84"/>
    <w:rsid w:val="00380864"/>
    <w:rsid w:val="00381443"/>
    <w:rsid w:val="00381D3C"/>
    <w:rsid w:val="003824E7"/>
    <w:rsid w:val="00382650"/>
    <w:rsid w:val="00383294"/>
    <w:rsid w:val="003835F8"/>
    <w:rsid w:val="00383BF7"/>
    <w:rsid w:val="00385E48"/>
    <w:rsid w:val="003862C3"/>
    <w:rsid w:val="00386F19"/>
    <w:rsid w:val="00392EBD"/>
    <w:rsid w:val="00392F5F"/>
    <w:rsid w:val="0039479C"/>
    <w:rsid w:val="00394C06"/>
    <w:rsid w:val="0039574A"/>
    <w:rsid w:val="00395CFA"/>
    <w:rsid w:val="0039727E"/>
    <w:rsid w:val="00397488"/>
    <w:rsid w:val="003A01D9"/>
    <w:rsid w:val="003A1DA3"/>
    <w:rsid w:val="003A2430"/>
    <w:rsid w:val="003A2D7B"/>
    <w:rsid w:val="003A5069"/>
    <w:rsid w:val="003A74BF"/>
    <w:rsid w:val="003A79FD"/>
    <w:rsid w:val="003A7D21"/>
    <w:rsid w:val="003B02EA"/>
    <w:rsid w:val="003B0C20"/>
    <w:rsid w:val="003B22A6"/>
    <w:rsid w:val="003B23CC"/>
    <w:rsid w:val="003B6583"/>
    <w:rsid w:val="003C1D9B"/>
    <w:rsid w:val="003C272E"/>
    <w:rsid w:val="003C29B2"/>
    <w:rsid w:val="003C3159"/>
    <w:rsid w:val="003C3868"/>
    <w:rsid w:val="003C3EDC"/>
    <w:rsid w:val="003C7721"/>
    <w:rsid w:val="003C7D32"/>
    <w:rsid w:val="003D0241"/>
    <w:rsid w:val="003D081D"/>
    <w:rsid w:val="003D0E07"/>
    <w:rsid w:val="003D1075"/>
    <w:rsid w:val="003D1193"/>
    <w:rsid w:val="003D14D1"/>
    <w:rsid w:val="003D69BA"/>
    <w:rsid w:val="003D782A"/>
    <w:rsid w:val="003E0709"/>
    <w:rsid w:val="003E20B8"/>
    <w:rsid w:val="003E2CF8"/>
    <w:rsid w:val="003E4982"/>
    <w:rsid w:val="003E5B0C"/>
    <w:rsid w:val="003E5FFE"/>
    <w:rsid w:val="003E6AE8"/>
    <w:rsid w:val="003E7CED"/>
    <w:rsid w:val="003F0BE0"/>
    <w:rsid w:val="003F1530"/>
    <w:rsid w:val="003F1F6E"/>
    <w:rsid w:val="003F3DF8"/>
    <w:rsid w:val="003F45E5"/>
    <w:rsid w:val="003F48D8"/>
    <w:rsid w:val="003F49E5"/>
    <w:rsid w:val="003F6780"/>
    <w:rsid w:val="00400EE8"/>
    <w:rsid w:val="00401B05"/>
    <w:rsid w:val="0040241C"/>
    <w:rsid w:val="0040298F"/>
    <w:rsid w:val="0040301A"/>
    <w:rsid w:val="00404F85"/>
    <w:rsid w:val="00405F73"/>
    <w:rsid w:val="00406F61"/>
    <w:rsid w:val="004120BD"/>
    <w:rsid w:val="00413539"/>
    <w:rsid w:val="00414B30"/>
    <w:rsid w:val="00414D7F"/>
    <w:rsid w:val="00415A92"/>
    <w:rsid w:val="00416F7B"/>
    <w:rsid w:val="0042151E"/>
    <w:rsid w:val="00422521"/>
    <w:rsid w:val="0042279C"/>
    <w:rsid w:val="004228CD"/>
    <w:rsid w:val="004239D5"/>
    <w:rsid w:val="00424357"/>
    <w:rsid w:val="00425336"/>
    <w:rsid w:val="00426354"/>
    <w:rsid w:val="00431B4C"/>
    <w:rsid w:val="0043216E"/>
    <w:rsid w:val="0043229D"/>
    <w:rsid w:val="00432BE8"/>
    <w:rsid w:val="00432FC9"/>
    <w:rsid w:val="00433931"/>
    <w:rsid w:val="00434AC7"/>
    <w:rsid w:val="004378FB"/>
    <w:rsid w:val="00440CD5"/>
    <w:rsid w:val="00441A03"/>
    <w:rsid w:val="00443639"/>
    <w:rsid w:val="00443ECF"/>
    <w:rsid w:val="00445A3B"/>
    <w:rsid w:val="00447054"/>
    <w:rsid w:val="00447BD9"/>
    <w:rsid w:val="00450E70"/>
    <w:rsid w:val="0045423F"/>
    <w:rsid w:val="00456257"/>
    <w:rsid w:val="00456BAF"/>
    <w:rsid w:val="00456CE7"/>
    <w:rsid w:val="004574BA"/>
    <w:rsid w:val="0046043D"/>
    <w:rsid w:val="004614F1"/>
    <w:rsid w:val="00464021"/>
    <w:rsid w:val="00465619"/>
    <w:rsid w:val="00466981"/>
    <w:rsid w:val="00466CAA"/>
    <w:rsid w:val="00467151"/>
    <w:rsid w:val="00471574"/>
    <w:rsid w:val="00471870"/>
    <w:rsid w:val="00474C50"/>
    <w:rsid w:val="00477161"/>
    <w:rsid w:val="00477815"/>
    <w:rsid w:val="004778F1"/>
    <w:rsid w:val="0048008E"/>
    <w:rsid w:val="00482EBB"/>
    <w:rsid w:val="00483407"/>
    <w:rsid w:val="00484019"/>
    <w:rsid w:val="00485715"/>
    <w:rsid w:val="004868EA"/>
    <w:rsid w:val="00487A7E"/>
    <w:rsid w:val="0049013A"/>
    <w:rsid w:val="0049060B"/>
    <w:rsid w:val="00491A0B"/>
    <w:rsid w:val="00491A3B"/>
    <w:rsid w:val="00491C78"/>
    <w:rsid w:val="00491CA8"/>
    <w:rsid w:val="00494EC0"/>
    <w:rsid w:val="00496F1C"/>
    <w:rsid w:val="00497C9C"/>
    <w:rsid w:val="004A0436"/>
    <w:rsid w:val="004A4516"/>
    <w:rsid w:val="004A4FE1"/>
    <w:rsid w:val="004A7400"/>
    <w:rsid w:val="004A7BF9"/>
    <w:rsid w:val="004B007A"/>
    <w:rsid w:val="004B21DE"/>
    <w:rsid w:val="004B257D"/>
    <w:rsid w:val="004B2AD2"/>
    <w:rsid w:val="004B398D"/>
    <w:rsid w:val="004B566C"/>
    <w:rsid w:val="004B7862"/>
    <w:rsid w:val="004C1531"/>
    <w:rsid w:val="004C186D"/>
    <w:rsid w:val="004C1A65"/>
    <w:rsid w:val="004C4A3E"/>
    <w:rsid w:val="004C5915"/>
    <w:rsid w:val="004C660D"/>
    <w:rsid w:val="004C6997"/>
    <w:rsid w:val="004C76A9"/>
    <w:rsid w:val="004D1529"/>
    <w:rsid w:val="004D18A3"/>
    <w:rsid w:val="004D19CE"/>
    <w:rsid w:val="004D1DB1"/>
    <w:rsid w:val="004D31D3"/>
    <w:rsid w:val="004D33A4"/>
    <w:rsid w:val="004D351A"/>
    <w:rsid w:val="004D4522"/>
    <w:rsid w:val="004D6769"/>
    <w:rsid w:val="004D7C76"/>
    <w:rsid w:val="004E4949"/>
    <w:rsid w:val="004E5B63"/>
    <w:rsid w:val="004E5DB4"/>
    <w:rsid w:val="004E6400"/>
    <w:rsid w:val="004E67B7"/>
    <w:rsid w:val="004E6E33"/>
    <w:rsid w:val="004E7F39"/>
    <w:rsid w:val="004F0D33"/>
    <w:rsid w:val="004F1132"/>
    <w:rsid w:val="004F1371"/>
    <w:rsid w:val="004F17CC"/>
    <w:rsid w:val="004F17E9"/>
    <w:rsid w:val="004F4BCC"/>
    <w:rsid w:val="004F521E"/>
    <w:rsid w:val="004F7DBD"/>
    <w:rsid w:val="00501D0D"/>
    <w:rsid w:val="0050332B"/>
    <w:rsid w:val="00503974"/>
    <w:rsid w:val="0050529F"/>
    <w:rsid w:val="00505F90"/>
    <w:rsid w:val="0050653E"/>
    <w:rsid w:val="0050663A"/>
    <w:rsid w:val="00510792"/>
    <w:rsid w:val="00511E00"/>
    <w:rsid w:val="00514B5E"/>
    <w:rsid w:val="00515F75"/>
    <w:rsid w:val="00517E17"/>
    <w:rsid w:val="00520934"/>
    <w:rsid w:val="00520F5E"/>
    <w:rsid w:val="0052207E"/>
    <w:rsid w:val="0052286C"/>
    <w:rsid w:val="00522AB9"/>
    <w:rsid w:val="005234E9"/>
    <w:rsid w:val="0052425E"/>
    <w:rsid w:val="005249C4"/>
    <w:rsid w:val="005253A7"/>
    <w:rsid w:val="0052544E"/>
    <w:rsid w:val="00525F07"/>
    <w:rsid w:val="005265B9"/>
    <w:rsid w:val="00532617"/>
    <w:rsid w:val="00533533"/>
    <w:rsid w:val="00533C56"/>
    <w:rsid w:val="005342B5"/>
    <w:rsid w:val="00535E24"/>
    <w:rsid w:val="00540063"/>
    <w:rsid w:val="00543D65"/>
    <w:rsid w:val="005440F6"/>
    <w:rsid w:val="0054557A"/>
    <w:rsid w:val="00545C24"/>
    <w:rsid w:val="00546DD6"/>
    <w:rsid w:val="00550233"/>
    <w:rsid w:val="0055024F"/>
    <w:rsid w:val="00551CD0"/>
    <w:rsid w:val="00552E93"/>
    <w:rsid w:val="0055450D"/>
    <w:rsid w:val="00555391"/>
    <w:rsid w:val="005557AC"/>
    <w:rsid w:val="00556041"/>
    <w:rsid w:val="00556F51"/>
    <w:rsid w:val="0055771D"/>
    <w:rsid w:val="005605E6"/>
    <w:rsid w:val="00561F01"/>
    <w:rsid w:val="00562537"/>
    <w:rsid w:val="0056476B"/>
    <w:rsid w:val="00564C1D"/>
    <w:rsid w:val="0056555B"/>
    <w:rsid w:val="00567343"/>
    <w:rsid w:val="005674FB"/>
    <w:rsid w:val="00567D5E"/>
    <w:rsid w:val="00567FCF"/>
    <w:rsid w:val="0057099F"/>
    <w:rsid w:val="00571029"/>
    <w:rsid w:val="00572011"/>
    <w:rsid w:val="00573020"/>
    <w:rsid w:val="005746D1"/>
    <w:rsid w:val="00575236"/>
    <w:rsid w:val="00575295"/>
    <w:rsid w:val="005806C6"/>
    <w:rsid w:val="00581D43"/>
    <w:rsid w:val="00581E3C"/>
    <w:rsid w:val="0058223C"/>
    <w:rsid w:val="00583FD8"/>
    <w:rsid w:val="005845CB"/>
    <w:rsid w:val="0058498A"/>
    <w:rsid w:val="00586350"/>
    <w:rsid w:val="00586840"/>
    <w:rsid w:val="005875D7"/>
    <w:rsid w:val="0059180B"/>
    <w:rsid w:val="005927D6"/>
    <w:rsid w:val="00593756"/>
    <w:rsid w:val="00593BA4"/>
    <w:rsid w:val="00595D11"/>
    <w:rsid w:val="005975E1"/>
    <w:rsid w:val="005A04B7"/>
    <w:rsid w:val="005A0BC7"/>
    <w:rsid w:val="005A18C5"/>
    <w:rsid w:val="005A279C"/>
    <w:rsid w:val="005A38B5"/>
    <w:rsid w:val="005A3D8D"/>
    <w:rsid w:val="005B14CA"/>
    <w:rsid w:val="005B4957"/>
    <w:rsid w:val="005B71B1"/>
    <w:rsid w:val="005B73CC"/>
    <w:rsid w:val="005B7BFF"/>
    <w:rsid w:val="005B7C71"/>
    <w:rsid w:val="005C0C78"/>
    <w:rsid w:val="005C1A5A"/>
    <w:rsid w:val="005C334D"/>
    <w:rsid w:val="005C4A6B"/>
    <w:rsid w:val="005C6152"/>
    <w:rsid w:val="005C7A7A"/>
    <w:rsid w:val="005D05BC"/>
    <w:rsid w:val="005D1DFC"/>
    <w:rsid w:val="005D2A59"/>
    <w:rsid w:val="005D2D67"/>
    <w:rsid w:val="005D471B"/>
    <w:rsid w:val="005D5317"/>
    <w:rsid w:val="005E0F91"/>
    <w:rsid w:val="005E2FBF"/>
    <w:rsid w:val="005E36BB"/>
    <w:rsid w:val="005E3A84"/>
    <w:rsid w:val="005E461F"/>
    <w:rsid w:val="005E6889"/>
    <w:rsid w:val="005E7147"/>
    <w:rsid w:val="005E73F4"/>
    <w:rsid w:val="005F0C00"/>
    <w:rsid w:val="005F11D3"/>
    <w:rsid w:val="005F2FF8"/>
    <w:rsid w:val="005F33F2"/>
    <w:rsid w:val="005F34AB"/>
    <w:rsid w:val="005F443E"/>
    <w:rsid w:val="005F593D"/>
    <w:rsid w:val="00600969"/>
    <w:rsid w:val="00600BA5"/>
    <w:rsid w:val="00601A45"/>
    <w:rsid w:val="00603F6D"/>
    <w:rsid w:val="00604601"/>
    <w:rsid w:val="00605C44"/>
    <w:rsid w:val="00605D40"/>
    <w:rsid w:val="0060640E"/>
    <w:rsid w:val="00611963"/>
    <w:rsid w:val="00611EE4"/>
    <w:rsid w:val="0061274A"/>
    <w:rsid w:val="00612965"/>
    <w:rsid w:val="0061386F"/>
    <w:rsid w:val="0061570A"/>
    <w:rsid w:val="00617922"/>
    <w:rsid w:val="00617F30"/>
    <w:rsid w:val="00621852"/>
    <w:rsid w:val="0062293D"/>
    <w:rsid w:val="00623122"/>
    <w:rsid w:val="0062316E"/>
    <w:rsid w:val="00625A7C"/>
    <w:rsid w:val="00626783"/>
    <w:rsid w:val="00626A71"/>
    <w:rsid w:val="00630A45"/>
    <w:rsid w:val="00630E01"/>
    <w:rsid w:val="006310F3"/>
    <w:rsid w:val="006325D6"/>
    <w:rsid w:val="00634124"/>
    <w:rsid w:val="0063465B"/>
    <w:rsid w:val="006350B1"/>
    <w:rsid w:val="00636929"/>
    <w:rsid w:val="00642608"/>
    <w:rsid w:val="00642E50"/>
    <w:rsid w:val="006438A6"/>
    <w:rsid w:val="00643DE3"/>
    <w:rsid w:val="00643EFF"/>
    <w:rsid w:val="006444C3"/>
    <w:rsid w:val="006448CC"/>
    <w:rsid w:val="00644C89"/>
    <w:rsid w:val="00644F86"/>
    <w:rsid w:val="00645983"/>
    <w:rsid w:val="00645E70"/>
    <w:rsid w:val="00646049"/>
    <w:rsid w:val="0065070B"/>
    <w:rsid w:val="00650829"/>
    <w:rsid w:val="00651282"/>
    <w:rsid w:val="00651E09"/>
    <w:rsid w:val="0065288D"/>
    <w:rsid w:val="006534C7"/>
    <w:rsid w:val="0065387D"/>
    <w:rsid w:val="00654E84"/>
    <w:rsid w:val="00655B08"/>
    <w:rsid w:val="00655B10"/>
    <w:rsid w:val="0065685F"/>
    <w:rsid w:val="00657108"/>
    <w:rsid w:val="00657153"/>
    <w:rsid w:val="00657346"/>
    <w:rsid w:val="00661C32"/>
    <w:rsid w:val="006620E6"/>
    <w:rsid w:val="00663909"/>
    <w:rsid w:val="00663A48"/>
    <w:rsid w:val="006643C0"/>
    <w:rsid w:val="006671BC"/>
    <w:rsid w:val="00667EC2"/>
    <w:rsid w:val="006703BA"/>
    <w:rsid w:val="00671820"/>
    <w:rsid w:val="00673457"/>
    <w:rsid w:val="006758F1"/>
    <w:rsid w:val="00680679"/>
    <w:rsid w:val="00680914"/>
    <w:rsid w:val="00681AC1"/>
    <w:rsid w:val="00681F46"/>
    <w:rsid w:val="00682BAD"/>
    <w:rsid w:val="00682CC9"/>
    <w:rsid w:val="00682DA1"/>
    <w:rsid w:val="006836AD"/>
    <w:rsid w:val="00683FFB"/>
    <w:rsid w:val="00684404"/>
    <w:rsid w:val="006919E1"/>
    <w:rsid w:val="00691DA7"/>
    <w:rsid w:val="006928D3"/>
    <w:rsid w:val="00692992"/>
    <w:rsid w:val="006929FC"/>
    <w:rsid w:val="00695279"/>
    <w:rsid w:val="00696A64"/>
    <w:rsid w:val="00697C92"/>
    <w:rsid w:val="006A0BFB"/>
    <w:rsid w:val="006A3195"/>
    <w:rsid w:val="006A3765"/>
    <w:rsid w:val="006A6100"/>
    <w:rsid w:val="006B1FCB"/>
    <w:rsid w:val="006B2FF1"/>
    <w:rsid w:val="006B3FAA"/>
    <w:rsid w:val="006B46BA"/>
    <w:rsid w:val="006B4892"/>
    <w:rsid w:val="006B4AD1"/>
    <w:rsid w:val="006B5F42"/>
    <w:rsid w:val="006B7188"/>
    <w:rsid w:val="006C24DD"/>
    <w:rsid w:val="006C2E70"/>
    <w:rsid w:val="006C49DC"/>
    <w:rsid w:val="006C6800"/>
    <w:rsid w:val="006C6A89"/>
    <w:rsid w:val="006D2E37"/>
    <w:rsid w:val="006D392D"/>
    <w:rsid w:val="006D449E"/>
    <w:rsid w:val="006D6177"/>
    <w:rsid w:val="006D7965"/>
    <w:rsid w:val="006D7B85"/>
    <w:rsid w:val="006E2E53"/>
    <w:rsid w:val="006E3142"/>
    <w:rsid w:val="006E3DC9"/>
    <w:rsid w:val="006E4F41"/>
    <w:rsid w:val="006E5837"/>
    <w:rsid w:val="006E72A8"/>
    <w:rsid w:val="006E7E9F"/>
    <w:rsid w:val="006E7FA8"/>
    <w:rsid w:val="006F145F"/>
    <w:rsid w:val="006F14EE"/>
    <w:rsid w:val="006F1E42"/>
    <w:rsid w:val="006F218A"/>
    <w:rsid w:val="006F2499"/>
    <w:rsid w:val="006F3738"/>
    <w:rsid w:val="006F4623"/>
    <w:rsid w:val="006F4B40"/>
    <w:rsid w:val="00701FEA"/>
    <w:rsid w:val="007044B2"/>
    <w:rsid w:val="00706DE1"/>
    <w:rsid w:val="00710438"/>
    <w:rsid w:val="007110C9"/>
    <w:rsid w:val="00711A85"/>
    <w:rsid w:val="00711FF6"/>
    <w:rsid w:val="00714224"/>
    <w:rsid w:val="00714BA3"/>
    <w:rsid w:val="0071702B"/>
    <w:rsid w:val="0071713D"/>
    <w:rsid w:val="007209FC"/>
    <w:rsid w:val="00721098"/>
    <w:rsid w:val="0072133A"/>
    <w:rsid w:val="007218A0"/>
    <w:rsid w:val="0072447D"/>
    <w:rsid w:val="0072602D"/>
    <w:rsid w:val="00726BAD"/>
    <w:rsid w:val="00726C49"/>
    <w:rsid w:val="00726DE2"/>
    <w:rsid w:val="00733CE6"/>
    <w:rsid w:val="00734D3A"/>
    <w:rsid w:val="00737D27"/>
    <w:rsid w:val="007414DE"/>
    <w:rsid w:val="00743C10"/>
    <w:rsid w:val="00744276"/>
    <w:rsid w:val="0074432A"/>
    <w:rsid w:val="007476A2"/>
    <w:rsid w:val="00747C6B"/>
    <w:rsid w:val="00750E77"/>
    <w:rsid w:val="00751C73"/>
    <w:rsid w:val="007527F9"/>
    <w:rsid w:val="0075552A"/>
    <w:rsid w:val="0075784B"/>
    <w:rsid w:val="00757B6D"/>
    <w:rsid w:val="00760AF5"/>
    <w:rsid w:val="00760D25"/>
    <w:rsid w:val="0076151F"/>
    <w:rsid w:val="00762F52"/>
    <w:rsid w:val="007630B2"/>
    <w:rsid w:val="00763636"/>
    <w:rsid w:val="00765609"/>
    <w:rsid w:val="00766BCF"/>
    <w:rsid w:val="0076731D"/>
    <w:rsid w:val="00767F39"/>
    <w:rsid w:val="007726E1"/>
    <w:rsid w:val="00774F4B"/>
    <w:rsid w:val="00775AA1"/>
    <w:rsid w:val="007761E7"/>
    <w:rsid w:val="00777814"/>
    <w:rsid w:val="00777896"/>
    <w:rsid w:val="0078496E"/>
    <w:rsid w:val="00784BE7"/>
    <w:rsid w:val="0078569D"/>
    <w:rsid w:val="00785856"/>
    <w:rsid w:val="00786EE5"/>
    <w:rsid w:val="00786FE8"/>
    <w:rsid w:val="00791BD5"/>
    <w:rsid w:val="0079256F"/>
    <w:rsid w:val="0079391F"/>
    <w:rsid w:val="00793E69"/>
    <w:rsid w:val="00795EBB"/>
    <w:rsid w:val="00797D43"/>
    <w:rsid w:val="00797F21"/>
    <w:rsid w:val="007A084C"/>
    <w:rsid w:val="007A189F"/>
    <w:rsid w:val="007A23FC"/>
    <w:rsid w:val="007A2A47"/>
    <w:rsid w:val="007A2B61"/>
    <w:rsid w:val="007A3C6A"/>
    <w:rsid w:val="007A5821"/>
    <w:rsid w:val="007A5D06"/>
    <w:rsid w:val="007A69EF"/>
    <w:rsid w:val="007A7353"/>
    <w:rsid w:val="007B0C81"/>
    <w:rsid w:val="007B1376"/>
    <w:rsid w:val="007B2349"/>
    <w:rsid w:val="007B4123"/>
    <w:rsid w:val="007B4E8C"/>
    <w:rsid w:val="007B51E2"/>
    <w:rsid w:val="007B534F"/>
    <w:rsid w:val="007C111E"/>
    <w:rsid w:val="007C1AA3"/>
    <w:rsid w:val="007C2FF9"/>
    <w:rsid w:val="007C457E"/>
    <w:rsid w:val="007C4D1A"/>
    <w:rsid w:val="007C5C8F"/>
    <w:rsid w:val="007C646E"/>
    <w:rsid w:val="007C73C5"/>
    <w:rsid w:val="007C7A38"/>
    <w:rsid w:val="007C7EC6"/>
    <w:rsid w:val="007D1026"/>
    <w:rsid w:val="007D19B9"/>
    <w:rsid w:val="007D3737"/>
    <w:rsid w:val="007E1047"/>
    <w:rsid w:val="007E2A95"/>
    <w:rsid w:val="007E4A15"/>
    <w:rsid w:val="007E5555"/>
    <w:rsid w:val="007E7E29"/>
    <w:rsid w:val="007F02A7"/>
    <w:rsid w:val="007F0417"/>
    <w:rsid w:val="007F0C6D"/>
    <w:rsid w:val="007F2841"/>
    <w:rsid w:val="007F2E45"/>
    <w:rsid w:val="007F51F8"/>
    <w:rsid w:val="007F684A"/>
    <w:rsid w:val="007F7031"/>
    <w:rsid w:val="007F7AA3"/>
    <w:rsid w:val="007F7EBF"/>
    <w:rsid w:val="00801FDF"/>
    <w:rsid w:val="00802A66"/>
    <w:rsid w:val="00803F6F"/>
    <w:rsid w:val="00804331"/>
    <w:rsid w:val="00804801"/>
    <w:rsid w:val="00804DF0"/>
    <w:rsid w:val="00805F29"/>
    <w:rsid w:val="00806280"/>
    <w:rsid w:val="00807A88"/>
    <w:rsid w:val="0081070B"/>
    <w:rsid w:val="00810923"/>
    <w:rsid w:val="0081646E"/>
    <w:rsid w:val="008171B0"/>
    <w:rsid w:val="008203B8"/>
    <w:rsid w:val="00821541"/>
    <w:rsid w:val="0082282F"/>
    <w:rsid w:val="00825B19"/>
    <w:rsid w:val="00825C85"/>
    <w:rsid w:val="008269E0"/>
    <w:rsid w:val="00830647"/>
    <w:rsid w:val="00830E80"/>
    <w:rsid w:val="008331BE"/>
    <w:rsid w:val="00834477"/>
    <w:rsid w:val="00836AC0"/>
    <w:rsid w:val="00837220"/>
    <w:rsid w:val="00837413"/>
    <w:rsid w:val="00837845"/>
    <w:rsid w:val="008403F6"/>
    <w:rsid w:val="008405D7"/>
    <w:rsid w:val="00843780"/>
    <w:rsid w:val="00844ED2"/>
    <w:rsid w:val="00846C14"/>
    <w:rsid w:val="00846C16"/>
    <w:rsid w:val="00847718"/>
    <w:rsid w:val="00847D34"/>
    <w:rsid w:val="00850EEC"/>
    <w:rsid w:val="008510BA"/>
    <w:rsid w:val="00852A91"/>
    <w:rsid w:val="00855B8A"/>
    <w:rsid w:val="008574E6"/>
    <w:rsid w:val="00860A81"/>
    <w:rsid w:val="008623B3"/>
    <w:rsid w:val="00863A3A"/>
    <w:rsid w:val="00865032"/>
    <w:rsid w:val="008650A3"/>
    <w:rsid w:val="008700F7"/>
    <w:rsid w:val="008712D8"/>
    <w:rsid w:val="00872E37"/>
    <w:rsid w:val="00875DC0"/>
    <w:rsid w:val="00876E5A"/>
    <w:rsid w:val="00876FF9"/>
    <w:rsid w:val="008810FA"/>
    <w:rsid w:val="00881433"/>
    <w:rsid w:val="00882F6C"/>
    <w:rsid w:val="00884878"/>
    <w:rsid w:val="00885578"/>
    <w:rsid w:val="00885B9C"/>
    <w:rsid w:val="00886053"/>
    <w:rsid w:val="0088684B"/>
    <w:rsid w:val="00886A2C"/>
    <w:rsid w:val="00887365"/>
    <w:rsid w:val="008910ED"/>
    <w:rsid w:val="0089170A"/>
    <w:rsid w:val="00891BDC"/>
    <w:rsid w:val="00895B58"/>
    <w:rsid w:val="00896927"/>
    <w:rsid w:val="00896F74"/>
    <w:rsid w:val="00897E16"/>
    <w:rsid w:val="00897F5E"/>
    <w:rsid w:val="008A099E"/>
    <w:rsid w:val="008A1150"/>
    <w:rsid w:val="008A144E"/>
    <w:rsid w:val="008A1615"/>
    <w:rsid w:val="008A204B"/>
    <w:rsid w:val="008A45E5"/>
    <w:rsid w:val="008A6327"/>
    <w:rsid w:val="008A7213"/>
    <w:rsid w:val="008B29E4"/>
    <w:rsid w:val="008B4106"/>
    <w:rsid w:val="008B50FD"/>
    <w:rsid w:val="008B5F65"/>
    <w:rsid w:val="008C1079"/>
    <w:rsid w:val="008C1139"/>
    <w:rsid w:val="008C14D4"/>
    <w:rsid w:val="008C1FC8"/>
    <w:rsid w:val="008C3E94"/>
    <w:rsid w:val="008C7118"/>
    <w:rsid w:val="008D026A"/>
    <w:rsid w:val="008D0F7B"/>
    <w:rsid w:val="008D10CE"/>
    <w:rsid w:val="008D207F"/>
    <w:rsid w:val="008D27EF"/>
    <w:rsid w:val="008D2C9C"/>
    <w:rsid w:val="008D2DC8"/>
    <w:rsid w:val="008D34F9"/>
    <w:rsid w:val="008D4E36"/>
    <w:rsid w:val="008D52F3"/>
    <w:rsid w:val="008D5641"/>
    <w:rsid w:val="008D6EDA"/>
    <w:rsid w:val="008D745E"/>
    <w:rsid w:val="008E29C6"/>
    <w:rsid w:val="008E4DA8"/>
    <w:rsid w:val="008E5F95"/>
    <w:rsid w:val="008E6A46"/>
    <w:rsid w:val="008E6AD3"/>
    <w:rsid w:val="008F0451"/>
    <w:rsid w:val="008F06F2"/>
    <w:rsid w:val="008F3C89"/>
    <w:rsid w:val="008F4C4B"/>
    <w:rsid w:val="008F4E02"/>
    <w:rsid w:val="008F5D80"/>
    <w:rsid w:val="008F6B73"/>
    <w:rsid w:val="00900EA3"/>
    <w:rsid w:val="009028EC"/>
    <w:rsid w:val="0090365C"/>
    <w:rsid w:val="009045EE"/>
    <w:rsid w:val="00905716"/>
    <w:rsid w:val="00906437"/>
    <w:rsid w:val="00910D8C"/>
    <w:rsid w:val="00911E64"/>
    <w:rsid w:val="00913269"/>
    <w:rsid w:val="0091344F"/>
    <w:rsid w:val="00920277"/>
    <w:rsid w:val="00920BFB"/>
    <w:rsid w:val="00923D3D"/>
    <w:rsid w:val="009245ED"/>
    <w:rsid w:val="00924908"/>
    <w:rsid w:val="00924CCB"/>
    <w:rsid w:val="0092520A"/>
    <w:rsid w:val="00927E1B"/>
    <w:rsid w:val="0093049A"/>
    <w:rsid w:val="00931585"/>
    <w:rsid w:val="009318D7"/>
    <w:rsid w:val="00932B4F"/>
    <w:rsid w:val="00932C33"/>
    <w:rsid w:val="00932FAD"/>
    <w:rsid w:val="00933DDF"/>
    <w:rsid w:val="00934138"/>
    <w:rsid w:val="0093496D"/>
    <w:rsid w:val="00935100"/>
    <w:rsid w:val="00936B9C"/>
    <w:rsid w:val="00941E5C"/>
    <w:rsid w:val="00942EC0"/>
    <w:rsid w:val="00945D58"/>
    <w:rsid w:val="00951562"/>
    <w:rsid w:val="00951CF3"/>
    <w:rsid w:val="0095255C"/>
    <w:rsid w:val="00953C1B"/>
    <w:rsid w:val="00954054"/>
    <w:rsid w:val="009540A9"/>
    <w:rsid w:val="0095434B"/>
    <w:rsid w:val="0095438A"/>
    <w:rsid w:val="00954766"/>
    <w:rsid w:val="00954EF3"/>
    <w:rsid w:val="00955164"/>
    <w:rsid w:val="00961F6C"/>
    <w:rsid w:val="009625B6"/>
    <w:rsid w:val="0096325A"/>
    <w:rsid w:val="009638AB"/>
    <w:rsid w:val="00965695"/>
    <w:rsid w:val="009668EF"/>
    <w:rsid w:val="00966D95"/>
    <w:rsid w:val="009729A9"/>
    <w:rsid w:val="00972E80"/>
    <w:rsid w:val="00972FEF"/>
    <w:rsid w:val="00974769"/>
    <w:rsid w:val="00975836"/>
    <w:rsid w:val="009771FC"/>
    <w:rsid w:val="00977F67"/>
    <w:rsid w:val="009801E1"/>
    <w:rsid w:val="0098030D"/>
    <w:rsid w:val="009810C0"/>
    <w:rsid w:val="00981E62"/>
    <w:rsid w:val="00982287"/>
    <w:rsid w:val="00982BEE"/>
    <w:rsid w:val="00983017"/>
    <w:rsid w:val="00983ECB"/>
    <w:rsid w:val="009841B5"/>
    <w:rsid w:val="00984631"/>
    <w:rsid w:val="00986C4D"/>
    <w:rsid w:val="00987082"/>
    <w:rsid w:val="00987191"/>
    <w:rsid w:val="00987674"/>
    <w:rsid w:val="00990BB1"/>
    <w:rsid w:val="00991D85"/>
    <w:rsid w:val="0099259E"/>
    <w:rsid w:val="009935A1"/>
    <w:rsid w:val="00993B72"/>
    <w:rsid w:val="00995C77"/>
    <w:rsid w:val="009A1E07"/>
    <w:rsid w:val="009A28D2"/>
    <w:rsid w:val="009A3661"/>
    <w:rsid w:val="009A4D39"/>
    <w:rsid w:val="009A70B2"/>
    <w:rsid w:val="009B15A6"/>
    <w:rsid w:val="009B2CB6"/>
    <w:rsid w:val="009B3E2C"/>
    <w:rsid w:val="009B515D"/>
    <w:rsid w:val="009B5190"/>
    <w:rsid w:val="009B5FDB"/>
    <w:rsid w:val="009B654F"/>
    <w:rsid w:val="009B70CD"/>
    <w:rsid w:val="009B7711"/>
    <w:rsid w:val="009C02EA"/>
    <w:rsid w:val="009C08CB"/>
    <w:rsid w:val="009C16DF"/>
    <w:rsid w:val="009C1C15"/>
    <w:rsid w:val="009C2768"/>
    <w:rsid w:val="009C2773"/>
    <w:rsid w:val="009C42D8"/>
    <w:rsid w:val="009C464A"/>
    <w:rsid w:val="009C4804"/>
    <w:rsid w:val="009C5C82"/>
    <w:rsid w:val="009C68ED"/>
    <w:rsid w:val="009C73BC"/>
    <w:rsid w:val="009D054B"/>
    <w:rsid w:val="009D172E"/>
    <w:rsid w:val="009D31B9"/>
    <w:rsid w:val="009D3524"/>
    <w:rsid w:val="009D48EC"/>
    <w:rsid w:val="009D6CE7"/>
    <w:rsid w:val="009D6D11"/>
    <w:rsid w:val="009E1B81"/>
    <w:rsid w:val="009E1DAA"/>
    <w:rsid w:val="009E3243"/>
    <w:rsid w:val="009E3F27"/>
    <w:rsid w:val="009E6780"/>
    <w:rsid w:val="009E6B56"/>
    <w:rsid w:val="009F4D99"/>
    <w:rsid w:val="009F50F0"/>
    <w:rsid w:val="009F5C26"/>
    <w:rsid w:val="009F6E36"/>
    <w:rsid w:val="009F74B0"/>
    <w:rsid w:val="00A00FFE"/>
    <w:rsid w:val="00A02527"/>
    <w:rsid w:val="00A03911"/>
    <w:rsid w:val="00A03D4E"/>
    <w:rsid w:val="00A05140"/>
    <w:rsid w:val="00A05370"/>
    <w:rsid w:val="00A061FB"/>
    <w:rsid w:val="00A06F2D"/>
    <w:rsid w:val="00A10DE1"/>
    <w:rsid w:val="00A125F0"/>
    <w:rsid w:val="00A17AFF"/>
    <w:rsid w:val="00A17EDA"/>
    <w:rsid w:val="00A201FB"/>
    <w:rsid w:val="00A20C3F"/>
    <w:rsid w:val="00A22538"/>
    <w:rsid w:val="00A23288"/>
    <w:rsid w:val="00A259F3"/>
    <w:rsid w:val="00A25D9B"/>
    <w:rsid w:val="00A25FF5"/>
    <w:rsid w:val="00A26EC4"/>
    <w:rsid w:val="00A27911"/>
    <w:rsid w:val="00A27A18"/>
    <w:rsid w:val="00A27DD2"/>
    <w:rsid w:val="00A3009B"/>
    <w:rsid w:val="00A300A0"/>
    <w:rsid w:val="00A301B6"/>
    <w:rsid w:val="00A30313"/>
    <w:rsid w:val="00A34039"/>
    <w:rsid w:val="00A345C7"/>
    <w:rsid w:val="00A349A1"/>
    <w:rsid w:val="00A3552E"/>
    <w:rsid w:val="00A41634"/>
    <w:rsid w:val="00A417FA"/>
    <w:rsid w:val="00A42760"/>
    <w:rsid w:val="00A43010"/>
    <w:rsid w:val="00A443C7"/>
    <w:rsid w:val="00A4504C"/>
    <w:rsid w:val="00A45DB8"/>
    <w:rsid w:val="00A47EBA"/>
    <w:rsid w:val="00A509D5"/>
    <w:rsid w:val="00A53351"/>
    <w:rsid w:val="00A539F5"/>
    <w:rsid w:val="00A54029"/>
    <w:rsid w:val="00A544EA"/>
    <w:rsid w:val="00A5551F"/>
    <w:rsid w:val="00A56068"/>
    <w:rsid w:val="00A60C8C"/>
    <w:rsid w:val="00A62C43"/>
    <w:rsid w:val="00A63B3B"/>
    <w:rsid w:val="00A65A5F"/>
    <w:rsid w:val="00A65CAA"/>
    <w:rsid w:val="00A66B25"/>
    <w:rsid w:val="00A67991"/>
    <w:rsid w:val="00A7053B"/>
    <w:rsid w:val="00A71777"/>
    <w:rsid w:val="00A733A0"/>
    <w:rsid w:val="00A73F31"/>
    <w:rsid w:val="00A74EDC"/>
    <w:rsid w:val="00A751A9"/>
    <w:rsid w:val="00A766FD"/>
    <w:rsid w:val="00A76D00"/>
    <w:rsid w:val="00A77837"/>
    <w:rsid w:val="00A820E7"/>
    <w:rsid w:val="00A82FBA"/>
    <w:rsid w:val="00A839BA"/>
    <w:rsid w:val="00A8596C"/>
    <w:rsid w:val="00A865FA"/>
    <w:rsid w:val="00A906F2"/>
    <w:rsid w:val="00A90EC1"/>
    <w:rsid w:val="00A92431"/>
    <w:rsid w:val="00A930A3"/>
    <w:rsid w:val="00A94EC5"/>
    <w:rsid w:val="00A976CC"/>
    <w:rsid w:val="00A97EC4"/>
    <w:rsid w:val="00AA0289"/>
    <w:rsid w:val="00AA1244"/>
    <w:rsid w:val="00AA13B7"/>
    <w:rsid w:val="00AA3D06"/>
    <w:rsid w:val="00AA4F9F"/>
    <w:rsid w:val="00AA5318"/>
    <w:rsid w:val="00AA6660"/>
    <w:rsid w:val="00AA6A4F"/>
    <w:rsid w:val="00AA76F6"/>
    <w:rsid w:val="00AA79B5"/>
    <w:rsid w:val="00AB21F0"/>
    <w:rsid w:val="00AB3647"/>
    <w:rsid w:val="00AB3900"/>
    <w:rsid w:val="00AB3A73"/>
    <w:rsid w:val="00AB451B"/>
    <w:rsid w:val="00AB641D"/>
    <w:rsid w:val="00AB6C35"/>
    <w:rsid w:val="00AB7215"/>
    <w:rsid w:val="00AC1358"/>
    <w:rsid w:val="00AC1E90"/>
    <w:rsid w:val="00AC3CBB"/>
    <w:rsid w:val="00AC56C2"/>
    <w:rsid w:val="00AC5E19"/>
    <w:rsid w:val="00AC66B3"/>
    <w:rsid w:val="00AD1B58"/>
    <w:rsid w:val="00AD23F7"/>
    <w:rsid w:val="00AD3592"/>
    <w:rsid w:val="00AD3ABA"/>
    <w:rsid w:val="00AD6165"/>
    <w:rsid w:val="00AD6175"/>
    <w:rsid w:val="00AD6608"/>
    <w:rsid w:val="00AE0C3F"/>
    <w:rsid w:val="00AE13B1"/>
    <w:rsid w:val="00AE14C9"/>
    <w:rsid w:val="00AE1A4E"/>
    <w:rsid w:val="00AE1E8D"/>
    <w:rsid w:val="00AE2F82"/>
    <w:rsid w:val="00AE3731"/>
    <w:rsid w:val="00AE3AFF"/>
    <w:rsid w:val="00AE4118"/>
    <w:rsid w:val="00AE46E7"/>
    <w:rsid w:val="00AE4EBE"/>
    <w:rsid w:val="00AE5B59"/>
    <w:rsid w:val="00AE5C52"/>
    <w:rsid w:val="00AE61C7"/>
    <w:rsid w:val="00AE6F16"/>
    <w:rsid w:val="00AF045F"/>
    <w:rsid w:val="00AF0FA2"/>
    <w:rsid w:val="00AF0FDD"/>
    <w:rsid w:val="00AF1549"/>
    <w:rsid w:val="00AF310B"/>
    <w:rsid w:val="00AF6830"/>
    <w:rsid w:val="00AF749C"/>
    <w:rsid w:val="00AF76D3"/>
    <w:rsid w:val="00B0025A"/>
    <w:rsid w:val="00B0159F"/>
    <w:rsid w:val="00B01B07"/>
    <w:rsid w:val="00B020B8"/>
    <w:rsid w:val="00B02A9A"/>
    <w:rsid w:val="00B03FDB"/>
    <w:rsid w:val="00B04F7A"/>
    <w:rsid w:val="00B065CC"/>
    <w:rsid w:val="00B10B6C"/>
    <w:rsid w:val="00B1139F"/>
    <w:rsid w:val="00B118C9"/>
    <w:rsid w:val="00B143FB"/>
    <w:rsid w:val="00B17125"/>
    <w:rsid w:val="00B177B5"/>
    <w:rsid w:val="00B17817"/>
    <w:rsid w:val="00B17A9D"/>
    <w:rsid w:val="00B17C0C"/>
    <w:rsid w:val="00B20919"/>
    <w:rsid w:val="00B21C2F"/>
    <w:rsid w:val="00B22C75"/>
    <w:rsid w:val="00B24D2C"/>
    <w:rsid w:val="00B2506C"/>
    <w:rsid w:val="00B253D2"/>
    <w:rsid w:val="00B25589"/>
    <w:rsid w:val="00B25B1A"/>
    <w:rsid w:val="00B2764E"/>
    <w:rsid w:val="00B30241"/>
    <w:rsid w:val="00B30E77"/>
    <w:rsid w:val="00B31DB9"/>
    <w:rsid w:val="00B31ED7"/>
    <w:rsid w:val="00B32F4D"/>
    <w:rsid w:val="00B3363C"/>
    <w:rsid w:val="00B33F27"/>
    <w:rsid w:val="00B34E32"/>
    <w:rsid w:val="00B37F96"/>
    <w:rsid w:val="00B40C88"/>
    <w:rsid w:val="00B412DB"/>
    <w:rsid w:val="00B41AAE"/>
    <w:rsid w:val="00B42D6F"/>
    <w:rsid w:val="00B42E13"/>
    <w:rsid w:val="00B43737"/>
    <w:rsid w:val="00B43F2D"/>
    <w:rsid w:val="00B456CC"/>
    <w:rsid w:val="00B45A9A"/>
    <w:rsid w:val="00B4649B"/>
    <w:rsid w:val="00B46BBE"/>
    <w:rsid w:val="00B478EF"/>
    <w:rsid w:val="00B47EB5"/>
    <w:rsid w:val="00B51BAD"/>
    <w:rsid w:val="00B51DFB"/>
    <w:rsid w:val="00B52D83"/>
    <w:rsid w:val="00B5476A"/>
    <w:rsid w:val="00B56551"/>
    <w:rsid w:val="00B57AE9"/>
    <w:rsid w:val="00B6264D"/>
    <w:rsid w:val="00B638BD"/>
    <w:rsid w:val="00B64E57"/>
    <w:rsid w:val="00B65906"/>
    <w:rsid w:val="00B65EB5"/>
    <w:rsid w:val="00B65F63"/>
    <w:rsid w:val="00B67E01"/>
    <w:rsid w:val="00B717AB"/>
    <w:rsid w:val="00B72CEC"/>
    <w:rsid w:val="00B73485"/>
    <w:rsid w:val="00B737E2"/>
    <w:rsid w:val="00B749AF"/>
    <w:rsid w:val="00B74FCA"/>
    <w:rsid w:val="00B755B7"/>
    <w:rsid w:val="00B755CB"/>
    <w:rsid w:val="00B775BD"/>
    <w:rsid w:val="00B77D25"/>
    <w:rsid w:val="00B805B7"/>
    <w:rsid w:val="00B80707"/>
    <w:rsid w:val="00B82C51"/>
    <w:rsid w:val="00B84812"/>
    <w:rsid w:val="00B854F4"/>
    <w:rsid w:val="00B856A0"/>
    <w:rsid w:val="00B85CC2"/>
    <w:rsid w:val="00B86439"/>
    <w:rsid w:val="00B87675"/>
    <w:rsid w:val="00B87F7B"/>
    <w:rsid w:val="00B90EB9"/>
    <w:rsid w:val="00B910AA"/>
    <w:rsid w:val="00B925B7"/>
    <w:rsid w:val="00B9366A"/>
    <w:rsid w:val="00B93DC4"/>
    <w:rsid w:val="00B95043"/>
    <w:rsid w:val="00B97346"/>
    <w:rsid w:val="00BA1AFA"/>
    <w:rsid w:val="00BA1C9E"/>
    <w:rsid w:val="00BA1E4A"/>
    <w:rsid w:val="00BA3026"/>
    <w:rsid w:val="00BA3EFF"/>
    <w:rsid w:val="00BA440B"/>
    <w:rsid w:val="00BA4972"/>
    <w:rsid w:val="00BA5FE7"/>
    <w:rsid w:val="00BA6DA8"/>
    <w:rsid w:val="00BB0D5B"/>
    <w:rsid w:val="00BB1C24"/>
    <w:rsid w:val="00BB475A"/>
    <w:rsid w:val="00BB5CB9"/>
    <w:rsid w:val="00BB60C5"/>
    <w:rsid w:val="00BB7272"/>
    <w:rsid w:val="00BC0C09"/>
    <w:rsid w:val="00BC2639"/>
    <w:rsid w:val="00BC397B"/>
    <w:rsid w:val="00BC49B0"/>
    <w:rsid w:val="00BC5399"/>
    <w:rsid w:val="00BC6163"/>
    <w:rsid w:val="00BC6774"/>
    <w:rsid w:val="00BC6EEF"/>
    <w:rsid w:val="00BC7980"/>
    <w:rsid w:val="00BD08F8"/>
    <w:rsid w:val="00BD3E3F"/>
    <w:rsid w:val="00BD4D43"/>
    <w:rsid w:val="00BD68CB"/>
    <w:rsid w:val="00BE0AD6"/>
    <w:rsid w:val="00BE0D5C"/>
    <w:rsid w:val="00BE451A"/>
    <w:rsid w:val="00BE65E4"/>
    <w:rsid w:val="00BE6FFE"/>
    <w:rsid w:val="00BF0AA7"/>
    <w:rsid w:val="00BF1A60"/>
    <w:rsid w:val="00BF2F97"/>
    <w:rsid w:val="00BF7FB0"/>
    <w:rsid w:val="00C00765"/>
    <w:rsid w:val="00C02013"/>
    <w:rsid w:val="00C02A9E"/>
    <w:rsid w:val="00C03887"/>
    <w:rsid w:val="00C06287"/>
    <w:rsid w:val="00C07DF2"/>
    <w:rsid w:val="00C11446"/>
    <w:rsid w:val="00C1364C"/>
    <w:rsid w:val="00C14365"/>
    <w:rsid w:val="00C1528C"/>
    <w:rsid w:val="00C1611C"/>
    <w:rsid w:val="00C20249"/>
    <w:rsid w:val="00C20D5E"/>
    <w:rsid w:val="00C21BC4"/>
    <w:rsid w:val="00C2284B"/>
    <w:rsid w:val="00C23583"/>
    <w:rsid w:val="00C23B17"/>
    <w:rsid w:val="00C24217"/>
    <w:rsid w:val="00C25BE7"/>
    <w:rsid w:val="00C25DE4"/>
    <w:rsid w:val="00C27931"/>
    <w:rsid w:val="00C30F87"/>
    <w:rsid w:val="00C3186D"/>
    <w:rsid w:val="00C32046"/>
    <w:rsid w:val="00C330ED"/>
    <w:rsid w:val="00C34827"/>
    <w:rsid w:val="00C3674B"/>
    <w:rsid w:val="00C3689F"/>
    <w:rsid w:val="00C36C67"/>
    <w:rsid w:val="00C4066A"/>
    <w:rsid w:val="00C40876"/>
    <w:rsid w:val="00C40D0E"/>
    <w:rsid w:val="00C4217A"/>
    <w:rsid w:val="00C44348"/>
    <w:rsid w:val="00C448FE"/>
    <w:rsid w:val="00C45A5D"/>
    <w:rsid w:val="00C469FC"/>
    <w:rsid w:val="00C46D83"/>
    <w:rsid w:val="00C4717F"/>
    <w:rsid w:val="00C51405"/>
    <w:rsid w:val="00C528D7"/>
    <w:rsid w:val="00C52E7E"/>
    <w:rsid w:val="00C53B32"/>
    <w:rsid w:val="00C54DC6"/>
    <w:rsid w:val="00C55BDB"/>
    <w:rsid w:val="00C56BAB"/>
    <w:rsid w:val="00C60D92"/>
    <w:rsid w:val="00C616EE"/>
    <w:rsid w:val="00C62FC2"/>
    <w:rsid w:val="00C645CE"/>
    <w:rsid w:val="00C65930"/>
    <w:rsid w:val="00C70B76"/>
    <w:rsid w:val="00C75AB0"/>
    <w:rsid w:val="00C769AF"/>
    <w:rsid w:val="00C7766C"/>
    <w:rsid w:val="00C808D6"/>
    <w:rsid w:val="00C80A8E"/>
    <w:rsid w:val="00C80BA0"/>
    <w:rsid w:val="00C80E4A"/>
    <w:rsid w:val="00C8164E"/>
    <w:rsid w:val="00C818BA"/>
    <w:rsid w:val="00C82AA4"/>
    <w:rsid w:val="00C8305C"/>
    <w:rsid w:val="00C84499"/>
    <w:rsid w:val="00C8688E"/>
    <w:rsid w:val="00C87F38"/>
    <w:rsid w:val="00C90725"/>
    <w:rsid w:val="00C91189"/>
    <w:rsid w:val="00C9134D"/>
    <w:rsid w:val="00C92CF2"/>
    <w:rsid w:val="00C92EF8"/>
    <w:rsid w:val="00C95691"/>
    <w:rsid w:val="00C97270"/>
    <w:rsid w:val="00CA1148"/>
    <w:rsid w:val="00CA1ECD"/>
    <w:rsid w:val="00CA4C7F"/>
    <w:rsid w:val="00CA737A"/>
    <w:rsid w:val="00CB1B79"/>
    <w:rsid w:val="00CB1B8E"/>
    <w:rsid w:val="00CB2883"/>
    <w:rsid w:val="00CB3D3E"/>
    <w:rsid w:val="00CB6188"/>
    <w:rsid w:val="00CB6363"/>
    <w:rsid w:val="00CB7E6D"/>
    <w:rsid w:val="00CC1BAB"/>
    <w:rsid w:val="00CC4902"/>
    <w:rsid w:val="00CC5FC2"/>
    <w:rsid w:val="00CC6403"/>
    <w:rsid w:val="00CC6F11"/>
    <w:rsid w:val="00CC70F8"/>
    <w:rsid w:val="00CC755C"/>
    <w:rsid w:val="00CD04E8"/>
    <w:rsid w:val="00CD0FA4"/>
    <w:rsid w:val="00CD132E"/>
    <w:rsid w:val="00CD32A2"/>
    <w:rsid w:val="00CD4C23"/>
    <w:rsid w:val="00CD6ED4"/>
    <w:rsid w:val="00CD7BCF"/>
    <w:rsid w:val="00CE074E"/>
    <w:rsid w:val="00CE2432"/>
    <w:rsid w:val="00CE547E"/>
    <w:rsid w:val="00CE5A85"/>
    <w:rsid w:val="00CF003B"/>
    <w:rsid w:val="00CF1D48"/>
    <w:rsid w:val="00CF278E"/>
    <w:rsid w:val="00CF5077"/>
    <w:rsid w:val="00CF5974"/>
    <w:rsid w:val="00CF5D7A"/>
    <w:rsid w:val="00CF6E8D"/>
    <w:rsid w:val="00CF71E9"/>
    <w:rsid w:val="00D00A1B"/>
    <w:rsid w:val="00D01E34"/>
    <w:rsid w:val="00D03614"/>
    <w:rsid w:val="00D04F97"/>
    <w:rsid w:val="00D058FE"/>
    <w:rsid w:val="00D0608D"/>
    <w:rsid w:val="00D06E87"/>
    <w:rsid w:val="00D06EFC"/>
    <w:rsid w:val="00D07ACC"/>
    <w:rsid w:val="00D105D3"/>
    <w:rsid w:val="00D1197E"/>
    <w:rsid w:val="00D124DF"/>
    <w:rsid w:val="00D14435"/>
    <w:rsid w:val="00D145D7"/>
    <w:rsid w:val="00D14D6B"/>
    <w:rsid w:val="00D158EB"/>
    <w:rsid w:val="00D1619E"/>
    <w:rsid w:val="00D17D72"/>
    <w:rsid w:val="00D20409"/>
    <w:rsid w:val="00D220BD"/>
    <w:rsid w:val="00D24BB7"/>
    <w:rsid w:val="00D33DA7"/>
    <w:rsid w:val="00D354EE"/>
    <w:rsid w:val="00D3670A"/>
    <w:rsid w:val="00D37A03"/>
    <w:rsid w:val="00D43885"/>
    <w:rsid w:val="00D43B16"/>
    <w:rsid w:val="00D44E5D"/>
    <w:rsid w:val="00D45D62"/>
    <w:rsid w:val="00D46B2C"/>
    <w:rsid w:val="00D46CC8"/>
    <w:rsid w:val="00D46F30"/>
    <w:rsid w:val="00D46FA6"/>
    <w:rsid w:val="00D47100"/>
    <w:rsid w:val="00D472D8"/>
    <w:rsid w:val="00D50872"/>
    <w:rsid w:val="00D5147A"/>
    <w:rsid w:val="00D5237F"/>
    <w:rsid w:val="00D531EA"/>
    <w:rsid w:val="00D533BD"/>
    <w:rsid w:val="00D53CA4"/>
    <w:rsid w:val="00D543E6"/>
    <w:rsid w:val="00D54B48"/>
    <w:rsid w:val="00D54E72"/>
    <w:rsid w:val="00D558C3"/>
    <w:rsid w:val="00D55F30"/>
    <w:rsid w:val="00D562E2"/>
    <w:rsid w:val="00D56FF4"/>
    <w:rsid w:val="00D60795"/>
    <w:rsid w:val="00D614C8"/>
    <w:rsid w:val="00D6163C"/>
    <w:rsid w:val="00D61A5C"/>
    <w:rsid w:val="00D623E4"/>
    <w:rsid w:val="00D62C2E"/>
    <w:rsid w:val="00D6556C"/>
    <w:rsid w:val="00D66F73"/>
    <w:rsid w:val="00D71C5D"/>
    <w:rsid w:val="00D72F61"/>
    <w:rsid w:val="00D74036"/>
    <w:rsid w:val="00D74B9D"/>
    <w:rsid w:val="00D77194"/>
    <w:rsid w:val="00D779B6"/>
    <w:rsid w:val="00D80676"/>
    <w:rsid w:val="00D808EE"/>
    <w:rsid w:val="00D813C5"/>
    <w:rsid w:val="00D81A64"/>
    <w:rsid w:val="00D82964"/>
    <w:rsid w:val="00D83CA6"/>
    <w:rsid w:val="00D84166"/>
    <w:rsid w:val="00D84B6A"/>
    <w:rsid w:val="00D85392"/>
    <w:rsid w:val="00D85FAC"/>
    <w:rsid w:val="00D86ED5"/>
    <w:rsid w:val="00D90DC4"/>
    <w:rsid w:val="00D91A8D"/>
    <w:rsid w:val="00D92A39"/>
    <w:rsid w:val="00D93663"/>
    <w:rsid w:val="00D94097"/>
    <w:rsid w:val="00D94389"/>
    <w:rsid w:val="00D947D1"/>
    <w:rsid w:val="00D97B29"/>
    <w:rsid w:val="00D97C81"/>
    <w:rsid w:val="00DA1BB9"/>
    <w:rsid w:val="00DA2562"/>
    <w:rsid w:val="00DA3F34"/>
    <w:rsid w:val="00DA40E5"/>
    <w:rsid w:val="00DA50E7"/>
    <w:rsid w:val="00DA7DA7"/>
    <w:rsid w:val="00DB02F2"/>
    <w:rsid w:val="00DB0CB2"/>
    <w:rsid w:val="00DB13E8"/>
    <w:rsid w:val="00DB25D8"/>
    <w:rsid w:val="00DB346A"/>
    <w:rsid w:val="00DB3F8E"/>
    <w:rsid w:val="00DC1903"/>
    <w:rsid w:val="00DC3886"/>
    <w:rsid w:val="00DC491F"/>
    <w:rsid w:val="00DC4CFD"/>
    <w:rsid w:val="00DC6118"/>
    <w:rsid w:val="00DC68D9"/>
    <w:rsid w:val="00DC7C09"/>
    <w:rsid w:val="00DD0636"/>
    <w:rsid w:val="00DD3517"/>
    <w:rsid w:val="00DD3C8D"/>
    <w:rsid w:val="00DD3C94"/>
    <w:rsid w:val="00DD7649"/>
    <w:rsid w:val="00DD7E09"/>
    <w:rsid w:val="00DD7EBB"/>
    <w:rsid w:val="00DE55E6"/>
    <w:rsid w:val="00DE5F36"/>
    <w:rsid w:val="00DE5FEB"/>
    <w:rsid w:val="00DE7997"/>
    <w:rsid w:val="00DF1C5B"/>
    <w:rsid w:val="00DF489A"/>
    <w:rsid w:val="00DF4C5A"/>
    <w:rsid w:val="00DF6B96"/>
    <w:rsid w:val="00E02F1F"/>
    <w:rsid w:val="00E04203"/>
    <w:rsid w:val="00E04482"/>
    <w:rsid w:val="00E05FE8"/>
    <w:rsid w:val="00E07968"/>
    <w:rsid w:val="00E1120C"/>
    <w:rsid w:val="00E1186F"/>
    <w:rsid w:val="00E1500F"/>
    <w:rsid w:val="00E161BD"/>
    <w:rsid w:val="00E165C5"/>
    <w:rsid w:val="00E16C53"/>
    <w:rsid w:val="00E171B3"/>
    <w:rsid w:val="00E17B73"/>
    <w:rsid w:val="00E21433"/>
    <w:rsid w:val="00E21885"/>
    <w:rsid w:val="00E2267F"/>
    <w:rsid w:val="00E22BA0"/>
    <w:rsid w:val="00E23DD7"/>
    <w:rsid w:val="00E23DFF"/>
    <w:rsid w:val="00E24570"/>
    <w:rsid w:val="00E26927"/>
    <w:rsid w:val="00E27C9F"/>
    <w:rsid w:val="00E27F57"/>
    <w:rsid w:val="00E307E3"/>
    <w:rsid w:val="00E319E1"/>
    <w:rsid w:val="00E35290"/>
    <w:rsid w:val="00E423CE"/>
    <w:rsid w:val="00E46DD4"/>
    <w:rsid w:val="00E47FDC"/>
    <w:rsid w:val="00E51178"/>
    <w:rsid w:val="00E53CB2"/>
    <w:rsid w:val="00E56811"/>
    <w:rsid w:val="00E56CBC"/>
    <w:rsid w:val="00E56F04"/>
    <w:rsid w:val="00E60180"/>
    <w:rsid w:val="00E6139F"/>
    <w:rsid w:val="00E61E1E"/>
    <w:rsid w:val="00E62387"/>
    <w:rsid w:val="00E633A8"/>
    <w:rsid w:val="00E63B1F"/>
    <w:rsid w:val="00E646CA"/>
    <w:rsid w:val="00E648F9"/>
    <w:rsid w:val="00E64B3B"/>
    <w:rsid w:val="00E71558"/>
    <w:rsid w:val="00E71A05"/>
    <w:rsid w:val="00E721CF"/>
    <w:rsid w:val="00E744CC"/>
    <w:rsid w:val="00E74C8F"/>
    <w:rsid w:val="00E75581"/>
    <w:rsid w:val="00E75BBC"/>
    <w:rsid w:val="00E76388"/>
    <w:rsid w:val="00E80A40"/>
    <w:rsid w:val="00E83801"/>
    <w:rsid w:val="00E84B8E"/>
    <w:rsid w:val="00E87961"/>
    <w:rsid w:val="00E90B9D"/>
    <w:rsid w:val="00E923F1"/>
    <w:rsid w:val="00E932CA"/>
    <w:rsid w:val="00E94690"/>
    <w:rsid w:val="00E97126"/>
    <w:rsid w:val="00EA28D6"/>
    <w:rsid w:val="00EA31D9"/>
    <w:rsid w:val="00EA4C96"/>
    <w:rsid w:val="00EB05E4"/>
    <w:rsid w:val="00EB31F8"/>
    <w:rsid w:val="00EB3B82"/>
    <w:rsid w:val="00EB3D4C"/>
    <w:rsid w:val="00EB3D8A"/>
    <w:rsid w:val="00EB4AF9"/>
    <w:rsid w:val="00EB5312"/>
    <w:rsid w:val="00EB711D"/>
    <w:rsid w:val="00EC49C9"/>
    <w:rsid w:val="00EC55E4"/>
    <w:rsid w:val="00EC58C5"/>
    <w:rsid w:val="00ED086F"/>
    <w:rsid w:val="00ED0CF4"/>
    <w:rsid w:val="00ED15FC"/>
    <w:rsid w:val="00ED2536"/>
    <w:rsid w:val="00ED3FC4"/>
    <w:rsid w:val="00ED49F4"/>
    <w:rsid w:val="00ED4A27"/>
    <w:rsid w:val="00ED5280"/>
    <w:rsid w:val="00ED66CA"/>
    <w:rsid w:val="00ED73D7"/>
    <w:rsid w:val="00ED789E"/>
    <w:rsid w:val="00EE0E84"/>
    <w:rsid w:val="00EE217D"/>
    <w:rsid w:val="00EE22F0"/>
    <w:rsid w:val="00EE297A"/>
    <w:rsid w:val="00EE308D"/>
    <w:rsid w:val="00EE329E"/>
    <w:rsid w:val="00EE3543"/>
    <w:rsid w:val="00EE387B"/>
    <w:rsid w:val="00EE3C59"/>
    <w:rsid w:val="00EE44C9"/>
    <w:rsid w:val="00EE46F2"/>
    <w:rsid w:val="00EE599D"/>
    <w:rsid w:val="00EE6687"/>
    <w:rsid w:val="00EE6765"/>
    <w:rsid w:val="00EE7F26"/>
    <w:rsid w:val="00EF1684"/>
    <w:rsid w:val="00EF22B1"/>
    <w:rsid w:val="00EF2769"/>
    <w:rsid w:val="00EF2E2D"/>
    <w:rsid w:val="00EF314B"/>
    <w:rsid w:val="00EF42AE"/>
    <w:rsid w:val="00EF49E8"/>
    <w:rsid w:val="00EF4DF3"/>
    <w:rsid w:val="00EF4EEA"/>
    <w:rsid w:val="00EF646D"/>
    <w:rsid w:val="00EF755F"/>
    <w:rsid w:val="00EF75FA"/>
    <w:rsid w:val="00F006EA"/>
    <w:rsid w:val="00F014D9"/>
    <w:rsid w:val="00F02177"/>
    <w:rsid w:val="00F02373"/>
    <w:rsid w:val="00F05861"/>
    <w:rsid w:val="00F06806"/>
    <w:rsid w:val="00F0799D"/>
    <w:rsid w:val="00F114D4"/>
    <w:rsid w:val="00F11CF5"/>
    <w:rsid w:val="00F12C6C"/>
    <w:rsid w:val="00F1369E"/>
    <w:rsid w:val="00F13EF9"/>
    <w:rsid w:val="00F13FA5"/>
    <w:rsid w:val="00F16EF3"/>
    <w:rsid w:val="00F205E1"/>
    <w:rsid w:val="00F209D8"/>
    <w:rsid w:val="00F256FC"/>
    <w:rsid w:val="00F27ED1"/>
    <w:rsid w:val="00F304B1"/>
    <w:rsid w:val="00F306E1"/>
    <w:rsid w:val="00F30A26"/>
    <w:rsid w:val="00F3181C"/>
    <w:rsid w:val="00F3239A"/>
    <w:rsid w:val="00F330CB"/>
    <w:rsid w:val="00F35D8E"/>
    <w:rsid w:val="00F406BF"/>
    <w:rsid w:val="00F40EAC"/>
    <w:rsid w:val="00F41BEF"/>
    <w:rsid w:val="00F46297"/>
    <w:rsid w:val="00F4660B"/>
    <w:rsid w:val="00F46AE1"/>
    <w:rsid w:val="00F47CA1"/>
    <w:rsid w:val="00F50226"/>
    <w:rsid w:val="00F5172B"/>
    <w:rsid w:val="00F53655"/>
    <w:rsid w:val="00F54813"/>
    <w:rsid w:val="00F550A8"/>
    <w:rsid w:val="00F5645D"/>
    <w:rsid w:val="00F6071E"/>
    <w:rsid w:val="00F633ED"/>
    <w:rsid w:val="00F6351A"/>
    <w:rsid w:val="00F65284"/>
    <w:rsid w:val="00F66334"/>
    <w:rsid w:val="00F672E2"/>
    <w:rsid w:val="00F673FE"/>
    <w:rsid w:val="00F70C24"/>
    <w:rsid w:val="00F711FF"/>
    <w:rsid w:val="00F7147B"/>
    <w:rsid w:val="00F71512"/>
    <w:rsid w:val="00F7197F"/>
    <w:rsid w:val="00F71ECB"/>
    <w:rsid w:val="00F71F5C"/>
    <w:rsid w:val="00F740D8"/>
    <w:rsid w:val="00F74FA5"/>
    <w:rsid w:val="00F77E6A"/>
    <w:rsid w:val="00F77F7F"/>
    <w:rsid w:val="00F81D93"/>
    <w:rsid w:val="00F8476A"/>
    <w:rsid w:val="00F85BDA"/>
    <w:rsid w:val="00F85C3D"/>
    <w:rsid w:val="00F86C62"/>
    <w:rsid w:val="00F90F57"/>
    <w:rsid w:val="00F92E6C"/>
    <w:rsid w:val="00F93164"/>
    <w:rsid w:val="00F940A3"/>
    <w:rsid w:val="00F9413F"/>
    <w:rsid w:val="00F94D21"/>
    <w:rsid w:val="00F9618B"/>
    <w:rsid w:val="00F97C1A"/>
    <w:rsid w:val="00FA11D0"/>
    <w:rsid w:val="00FA3231"/>
    <w:rsid w:val="00FA406D"/>
    <w:rsid w:val="00FA4570"/>
    <w:rsid w:val="00FA45EA"/>
    <w:rsid w:val="00FA6590"/>
    <w:rsid w:val="00FA799C"/>
    <w:rsid w:val="00FA7FF2"/>
    <w:rsid w:val="00FA7FF7"/>
    <w:rsid w:val="00FB0102"/>
    <w:rsid w:val="00FB22AA"/>
    <w:rsid w:val="00FB348A"/>
    <w:rsid w:val="00FB5ECC"/>
    <w:rsid w:val="00FB69E9"/>
    <w:rsid w:val="00FB6CD5"/>
    <w:rsid w:val="00FB76ED"/>
    <w:rsid w:val="00FB7847"/>
    <w:rsid w:val="00FB7944"/>
    <w:rsid w:val="00FC02B5"/>
    <w:rsid w:val="00FC19A6"/>
    <w:rsid w:val="00FC1D59"/>
    <w:rsid w:val="00FC2A6B"/>
    <w:rsid w:val="00FC2D04"/>
    <w:rsid w:val="00FC34DD"/>
    <w:rsid w:val="00FC39B1"/>
    <w:rsid w:val="00FC3C87"/>
    <w:rsid w:val="00FC5567"/>
    <w:rsid w:val="00FC7058"/>
    <w:rsid w:val="00FC7E29"/>
    <w:rsid w:val="00FD1ECD"/>
    <w:rsid w:val="00FD217E"/>
    <w:rsid w:val="00FD3A5F"/>
    <w:rsid w:val="00FD581C"/>
    <w:rsid w:val="00FD5A4F"/>
    <w:rsid w:val="00FD70A1"/>
    <w:rsid w:val="00FE089C"/>
    <w:rsid w:val="00FE1536"/>
    <w:rsid w:val="00FE25EE"/>
    <w:rsid w:val="00FE4491"/>
    <w:rsid w:val="00FE540B"/>
    <w:rsid w:val="00FE6DAF"/>
    <w:rsid w:val="00FE7899"/>
    <w:rsid w:val="00FF0E82"/>
    <w:rsid w:val="00FF0F39"/>
    <w:rsid w:val="00FF168A"/>
    <w:rsid w:val="00FF2D07"/>
    <w:rsid w:val="00FF42F7"/>
    <w:rsid w:val="00FF5A58"/>
    <w:rsid w:val="00FF653B"/>
    <w:rsid w:val="00FF7A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39C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head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07"/>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qFormat/>
    <w:rsid w:val="004C4A3E"/>
    <w:pPr>
      <w:spacing w:after="120"/>
    </w:pPr>
    <w:rPr>
      <w:rFonts w:eastAsia="Times New Roman"/>
      <w:sz w:val="22"/>
    </w:rPr>
  </w:style>
  <w:style w:type="character" w:customStyle="1" w:styleId="BodyTextChar">
    <w:name w:val="Body Text Char"/>
    <w:basedOn w:val="DefaultParagraphFont"/>
    <w:link w:val="BodyText"/>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4614F1"/>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CF71E9"/>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CF71E9"/>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40298F"/>
    <w:pPr>
      <w:tabs>
        <w:tab w:val="center" w:pos="4513"/>
        <w:tab w:val="right" w:pos="9026"/>
      </w:tabs>
    </w:pPr>
  </w:style>
  <w:style w:type="character" w:customStyle="1" w:styleId="HeaderChar">
    <w:name w:val="Header Char"/>
    <w:basedOn w:val="DefaultParagraphFont"/>
    <w:link w:val="Header"/>
    <w:rsid w:val="0040298F"/>
    <w:rPr>
      <w:rFonts w:ascii="Times New Roman" w:eastAsia="SimSun" w:hAnsi="Times New Roman" w:cs="Times New Roman"/>
      <w:sz w:val="20"/>
      <w:szCs w:val="24"/>
    </w:rPr>
  </w:style>
  <w:style w:type="paragraph" w:styleId="Footer">
    <w:name w:val="footer"/>
    <w:basedOn w:val="Normal"/>
    <w:link w:val="FooterChar"/>
    <w:uiPriority w:val="99"/>
    <w:unhideWhenUsed/>
    <w:rsid w:val="0040298F"/>
    <w:pPr>
      <w:tabs>
        <w:tab w:val="center" w:pos="4513"/>
        <w:tab w:val="right" w:pos="9026"/>
      </w:tabs>
    </w:pPr>
  </w:style>
  <w:style w:type="character" w:customStyle="1" w:styleId="FooterChar">
    <w:name w:val="Footer Char"/>
    <w:basedOn w:val="DefaultParagraphFont"/>
    <w:link w:val="Footer"/>
    <w:uiPriority w:val="99"/>
    <w:rsid w:val="0040298F"/>
    <w:rPr>
      <w:rFonts w:ascii="Times New Roman" w:eastAsia="SimSun" w:hAnsi="Times New Roman" w:cs="Times New Roman"/>
      <w:sz w:val="20"/>
      <w:szCs w:val="24"/>
    </w:rPr>
  </w:style>
  <w:style w:type="paragraph" w:styleId="Caption">
    <w:name w:val="caption"/>
    <w:basedOn w:val="Normal"/>
    <w:next w:val="BodyText"/>
    <w:link w:val="CaptionChar"/>
    <w:autoRedefine/>
    <w:uiPriority w:val="99"/>
    <w:qFormat/>
    <w:rsid w:val="00367FC4"/>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BC397B"/>
    <w:pPr>
      <w:keepNext/>
      <w:spacing w:before="20" w:after="20" w:line="180" w:lineRule="atLeast"/>
    </w:pPr>
    <w:rPr>
      <w:iCs/>
      <w:sz w:val="14"/>
      <w:szCs w:val="16"/>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BC397B"/>
    <w:rPr>
      <w:rFonts w:ascii="Franklin Gothic Book" w:eastAsia="Times New Roman" w:hAnsi="Franklin Gothic Book" w:cs="Times New Roman"/>
      <w:iCs/>
      <w:sz w:val="14"/>
      <w:szCs w:val="16"/>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E74C8F"/>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083CB0"/>
    <w:pPr>
      <w:spacing w:before="80" w:after="80"/>
    </w:pPr>
    <w:rPr>
      <w:rFonts w:ascii="Franklin Gothic Medium" w:hAnsi="Franklin Gothic Medium"/>
      <w:b/>
    </w:rPr>
  </w:style>
  <w:style w:type="paragraph" w:customStyle="1" w:styleId="TableHeading2">
    <w:name w:val="Table Heading 2"/>
    <w:basedOn w:val="TableHeading1"/>
    <w:next w:val="TableTextEntries"/>
    <w:rsid w:val="00083CB0"/>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367FC4"/>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A77837"/>
    <w:pPr>
      <w:spacing w:after="0"/>
      <w:contextualSpacing/>
    </w:pPr>
    <w:rPr>
      <w:sz w:val="16"/>
      <w:szCs w:val="20"/>
    </w:rPr>
  </w:style>
  <w:style w:type="character" w:customStyle="1" w:styleId="FootnoteTextChar">
    <w:name w:val="Footnote Text Char"/>
    <w:basedOn w:val="DefaultParagraphFont"/>
    <w:link w:val="FootnoteText"/>
    <w:rsid w:val="00A77837"/>
    <w:rPr>
      <w:rFonts w:ascii="Times New Roman" w:eastAsia="Times New Roman" w:hAnsi="Times New Roman" w:cs="Times New Roman"/>
      <w:sz w:val="16"/>
      <w:szCs w:val="20"/>
    </w:rPr>
  </w:style>
  <w:style w:type="character" w:styleId="FootnoteReference">
    <w:name w:val="footnote reference"/>
    <w:rsid w:val="00F77E6A"/>
    <w:rPr>
      <w:rFonts w:ascii="Times New Roman" w:hAnsi="Times New Roman"/>
      <w:w w:val="100"/>
      <w:position w:val="6"/>
      <w:sz w:val="16"/>
      <w:szCs w:val="12"/>
      <w:vertAlign w:val="baseline"/>
    </w:rPr>
  </w:style>
  <w:style w:type="character" w:customStyle="1" w:styleId="highlightedsearchterm">
    <w:name w:val="highlightedsearchterm"/>
    <w:basedOn w:val="DefaultParagraphFont"/>
    <w:rsid w:val="00057A42"/>
  </w:style>
  <w:style w:type="table" w:customStyle="1" w:styleId="TableCheckList-2">
    <w:name w:val="TableCheckList-2"/>
    <w:basedOn w:val="TableNormal"/>
    <w:rsid w:val="00315017"/>
    <w:pPr>
      <w:spacing w:before="60" w:after="0" w:line="240" w:lineRule="auto"/>
    </w:pPr>
    <w:rPr>
      <w:rFonts w:ascii="Arial" w:eastAsia="Times New Roman" w:hAnsi="Arial" w:cs="Times New Roman"/>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table" w:customStyle="1" w:styleId="Tablewithheader">
    <w:name w:val="Table with header"/>
    <w:basedOn w:val="TableNormal"/>
    <w:rsid w:val="00DD3517"/>
    <w:pPr>
      <w:spacing w:after="0" w:line="240" w:lineRule="auto"/>
    </w:pPr>
    <w:rPr>
      <w:rFonts w:ascii="Arial" w:eastAsia="Times New Roman" w:hAnsi="Arial" w:cs="Times New Roman"/>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styleId="Emphasis">
    <w:name w:val="Emphasis"/>
    <w:basedOn w:val="DefaultParagraphFont"/>
    <w:uiPriority w:val="20"/>
    <w:qFormat/>
    <w:rsid w:val="002C5984"/>
    <w:rPr>
      <w:i/>
      <w:iCs/>
    </w:rPr>
  </w:style>
  <w:style w:type="paragraph" w:customStyle="1" w:styleId="APPRHeading1">
    <w:name w:val="APPR Heading 1"/>
    <w:basedOn w:val="Normal"/>
    <w:next w:val="BodyText"/>
    <w:autoRedefine/>
    <w:rsid w:val="00431B4C"/>
    <w:pPr>
      <w:keepNext/>
      <w:spacing w:before="360" w:after="120"/>
      <w:outlineLvl w:val="0"/>
    </w:pPr>
    <w:rPr>
      <w:rFonts w:ascii="Arial" w:eastAsia="Times New Roman" w:hAnsi="Arial" w:cs="Arial"/>
      <w:b/>
      <w:color w:val="C00000"/>
      <w:kern w:val="28"/>
      <w:sz w:val="28"/>
      <w:szCs w:val="28"/>
    </w:rPr>
  </w:style>
  <w:style w:type="paragraph" w:customStyle="1" w:styleId="Default">
    <w:name w:val="Default"/>
    <w:rsid w:val="00431B4C"/>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StyleHeading2Left0cmFirstline0cm">
    <w:name w:val="Style Heading 2 + Left:  0 cm First line:  0 cm"/>
    <w:basedOn w:val="Heading2"/>
    <w:rsid w:val="00431B4C"/>
    <w:pPr>
      <w:spacing w:before="240" w:after="60"/>
      <w:ind w:right="0"/>
    </w:pPr>
    <w:rPr>
      <w:rFonts w:ascii="Arial" w:eastAsia="SimSun" w:hAnsi="Arial" w:cs="Times New Roman"/>
      <w:b/>
      <w:bCs/>
      <w:i/>
      <w:iCs/>
      <w:color w:val="auto"/>
      <w:kern w:val="0"/>
      <w:szCs w:val="20"/>
      <w:lang w:eastAsia="zh-CN"/>
    </w:rPr>
  </w:style>
  <w:style w:type="paragraph" w:customStyle="1" w:styleId="HeaderOdd">
    <w:name w:val="Header Odd"/>
    <w:basedOn w:val="NoSpacing"/>
    <w:qFormat/>
    <w:rsid w:val="00795EBB"/>
    <w:pPr>
      <w:pBdr>
        <w:bottom w:val="single" w:sz="4" w:space="1" w:color="4F81BD" w:themeColor="accent1"/>
      </w:pBdr>
      <w:jc w:val="right"/>
    </w:pPr>
    <w:rPr>
      <w:rFonts w:asciiTheme="minorHAnsi" w:eastAsiaTheme="minorHAnsi" w:hAnsiTheme="minorHAnsi"/>
      <w:b/>
      <w:color w:val="1F497D" w:themeColor="text2"/>
      <w:szCs w:val="20"/>
      <w:lang w:val="en-US" w:eastAsia="ja-JP"/>
    </w:rPr>
  </w:style>
  <w:style w:type="paragraph" w:styleId="NoSpacing">
    <w:name w:val="No Spacing"/>
    <w:uiPriority w:val="1"/>
    <w:qFormat/>
    <w:rsid w:val="00795EBB"/>
    <w:pPr>
      <w:spacing w:after="0" w:line="240" w:lineRule="auto"/>
    </w:pPr>
    <w:rPr>
      <w:rFonts w:ascii="Times New Roman" w:eastAsia="SimSun" w:hAnsi="Times New Roman" w:cs="Times New Roman"/>
      <w:sz w:val="20"/>
      <w:szCs w:val="24"/>
    </w:rPr>
  </w:style>
  <w:style w:type="character" w:customStyle="1" w:styleId="st">
    <w:name w:val="st"/>
    <w:basedOn w:val="DefaultParagraphFont"/>
    <w:rsid w:val="00DC3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head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07"/>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qFormat/>
    <w:rsid w:val="004C4A3E"/>
    <w:pPr>
      <w:spacing w:after="120"/>
    </w:pPr>
    <w:rPr>
      <w:rFonts w:eastAsia="Times New Roman"/>
      <w:sz w:val="22"/>
    </w:rPr>
  </w:style>
  <w:style w:type="character" w:customStyle="1" w:styleId="BodyTextChar">
    <w:name w:val="Body Text Char"/>
    <w:basedOn w:val="DefaultParagraphFont"/>
    <w:link w:val="BodyText"/>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4614F1"/>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CF71E9"/>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CF71E9"/>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40298F"/>
    <w:pPr>
      <w:tabs>
        <w:tab w:val="center" w:pos="4513"/>
        <w:tab w:val="right" w:pos="9026"/>
      </w:tabs>
    </w:pPr>
  </w:style>
  <w:style w:type="character" w:customStyle="1" w:styleId="HeaderChar">
    <w:name w:val="Header Char"/>
    <w:basedOn w:val="DefaultParagraphFont"/>
    <w:link w:val="Header"/>
    <w:rsid w:val="0040298F"/>
    <w:rPr>
      <w:rFonts w:ascii="Times New Roman" w:eastAsia="SimSun" w:hAnsi="Times New Roman" w:cs="Times New Roman"/>
      <w:sz w:val="20"/>
      <w:szCs w:val="24"/>
    </w:rPr>
  </w:style>
  <w:style w:type="paragraph" w:styleId="Footer">
    <w:name w:val="footer"/>
    <w:basedOn w:val="Normal"/>
    <w:link w:val="FooterChar"/>
    <w:uiPriority w:val="99"/>
    <w:unhideWhenUsed/>
    <w:rsid w:val="0040298F"/>
    <w:pPr>
      <w:tabs>
        <w:tab w:val="center" w:pos="4513"/>
        <w:tab w:val="right" w:pos="9026"/>
      </w:tabs>
    </w:pPr>
  </w:style>
  <w:style w:type="character" w:customStyle="1" w:styleId="FooterChar">
    <w:name w:val="Footer Char"/>
    <w:basedOn w:val="DefaultParagraphFont"/>
    <w:link w:val="Footer"/>
    <w:uiPriority w:val="99"/>
    <w:rsid w:val="0040298F"/>
    <w:rPr>
      <w:rFonts w:ascii="Times New Roman" w:eastAsia="SimSun" w:hAnsi="Times New Roman" w:cs="Times New Roman"/>
      <w:sz w:val="20"/>
      <w:szCs w:val="24"/>
    </w:rPr>
  </w:style>
  <w:style w:type="paragraph" w:styleId="Caption">
    <w:name w:val="caption"/>
    <w:basedOn w:val="Normal"/>
    <w:next w:val="BodyText"/>
    <w:link w:val="CaptionChar"/>
    <w:autoRedefine/>
    <w:uiPriority w:val="99"/>
    <w:qFormat/>
    <w:rsid w:val="00367FC4"/>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BC397B"/>
    <w:pPr>
      <w:keepNext/>
      <w:spacing w:before="20" w:after="20" w:line="180" w:lineRule="atLeast"/>
    </w:pPr>
    <w:rPr>
      <w:iCs/>
      <w:sz w:val="14"/>
      <w:szCs w:val="16"/>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BC397B"/>
    <w:rPr>
      <w:rFonts w:ascii="Franklin Gothic Book" w:eastAsia="Times New Roman" w:hAnsi="Franklin Gothic Book" w:cs="Times New Roman"/>
      <w:iCs/>
      <w:sz w:val="14"/>
      <w:szCs w:val="16"/>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E74C8F"/>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083CB0"/>
    <w:pPr>
      <w:spacing w:before="80" w:after="80"/>
    </w:pPr>
    <w:rPr>
      <w:rFonts w:ascii="Franklin Gothic Medium" w:hAnsi="Franklin Gothic Medium"/>
      <w:b/>
    </w:rPr>
  </w:style>
  <w:style w:type="paragraph" w:customStyle="1" w:styleId="TableHeading2">
    <w:name w:val="Table Heading 2"/>
    <w:basedOn w:val="TableHeading1"/>
    <w:next w:val="TableTextEntries"/>
    <w:rsid w:val="00083CB0"/>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367FC4"/>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A77837"/>
    <w:pPr>
      <w:spacing w:after="0"/>
      <w:contextualSpacing/>
    </w:pPr>
    <w:rPr>
      <w:sz w:val="16"/>
      <w:szCs w:val="20"/>
    </w:rPr>
  </w:style>
  <w:style w:type="character" w:customStyle="1" w:styleId="FootnoteTextChar">
    <w:name w:val="Footnote Text Char"/>
    <w:basedOn w:val="DefaultParagraphFont"/>
    <w:link w:val="FootnoteText"/>
    <w:rsid w:val="00A77837"/>
    <w:rPr>
      <w:rFonts w:ascii="Times New Roman" w:eastAsia="Times New Roman" w:hAnsi="Times New Roman" w:cs="Times New Roman"/>
      <w:sz w:val="16"/>
      <w:szCs w:val="20"/>
    </w:rPr>
  </w:style>
  <w:style w:type="character" w:styleId="FootnoteReference">
    <w:name w:val="footnote reference"/>
    <w:rsid w:val="00F77E6A"/>
    <w:rPr>
      <w:rFonts w:ascii="Times New Roman" w:hAnsi="Times New Roman"/>
      <w:w w:val="100"/>
      <w:position w:val="6"/>
      <w:sz w:val="16"/>
      <w:szCs w:val="12"/>
      <w:vertAlign w:val="baseline"/>
    </w:rPr>
  </w:style>
  <w:style w:type="character" w:customStyle="1" w:styleId="highlightedsearchterm">
    <w:name w:val="highlightedsearchterm"/>
    <w:basedOn w:val="DefaultParagraphFont"/>
    <w:rsid w:val="00057A42"/>
  </w:style>
  <w:style w:type="table" w:customStyle="1" w:styleId="TableCheckList-2">
    <w:name w:val="TableCheckList-2"/>
    <w:basedOn w:val="TableNormal"/>
    <w:rsid w:val="00315017"/>
    <w:pPr>
      <w:spacing w:before="60" w:after="0" w:line="240" w:lineRule="auto"/>
    </w:pPr>
    <w:rPr>
      <w:rFonts w:ascii="Arial" w:eastAsia="Times New Roman" w:hAnsi="Arial" w:cs="Times New Roman"/>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table" w:customStyle="1" w:styleId="Tablewithheader">
    <w:name w:val="Table with header"/>
    <w:basedOn w:val="TableNormal"/>
    <w:rsid w:val="00DD3517"/>
    <w:pPr>
      <w:spacing w:after="0" w:line="240" w:lineRule="auto"/>
    </w:pPr>
    <w:rPr>
      <w:rFonts w:ascii="Arial" w:eastAsia="Times New Roman" w:hAnsi="Arial" w:cs="Times New Roman"/>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styleId="Emphasis">
    <w:name w:val="Emphasis"/>
    <w:basedOn w:val="DefaultParagraphFont"/>
    <w:uiPriority w:val="20"/>
    <w:qFormat/>
    <w:rsid w:val="002C5984"/>
    <w:rPr>
      <w:i/>
      <w:iCs/>
    </w:rPr>
  </w:style>
  <w:style w:type="paragraph" w:customStyle="1" w:styleId="APPRHeading1">
    <w:name w:val="APPR Heading 1"/>
    <w:basedOn w:val="Normal"/>
    <w:next w:val="BodyText"/>
    <w:autoRedefine/>
    <w:rsid w:val="00431B4C"/>
    <w:pPr>
      <w:keepNext/>
      <w:spacing w:before="360" w:after="120"/>
      <w:outlineLvl w:val="0"/>
    </w:pPr>
    <w:rPr>
      <w:rFonts w:ascii="Arial" w:eastAsia="Times New Roman" w:hAnsi="Arial" w:cs="Arial"/>
      <w:b/>
      <w:color w:val="C00000"/>
      <w:kern w:val="28"/>
      <w:sz w:val="28"/>
      <w:szCs w:val="28"/>
    </w:rPr>
  </w:style>
  <w:style w:type="paragraph" w:customStyle="1" w:styleId="Default">
    <w:name w:val="Default"/>
    <w:rsid w:val="00431B4C"/>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StyleHeading2Left0cmFirstline0cm">
    <w:name w:val="Style Heading 2 + Left:  0 cm First line:  0 cm"/>
    <w:basedOn w:val="Heading2"/>
    <w:rsid w:val="00431B4C"/>
    <w:pPr>
      <w:spacing w:before="240" w:after="60"/>
      <w:ind w:right="0"/>
    </w:pPr>
    <w:rPr>
      <w:rFonts w:ascii="Arial" w:eastAsia="SimSun" w:hAnsi="Arial" w:cs="Times New Roman"/>
      <w:b/>
      <w:bCs/>
      <w:i/>
      <w:iCs/>
      <w:color w:val="auto"/>
      <w:kern w:val="0"/>
      <w:szCs w:val="20"/>
      <w:lang w:eastAsia="zh-CN"/>
    </w:rPr>
  </w:style>
  <w:style w:type="paragraph" w:customStyle="1" w:styleId="HeaderOdd">
    <w:name w:val="Header Odd"/>
    <w:basedOn w:val="NoSpacing"/>
    <w:qFormat/>
    <w:rsid w:val="00795EBB"/>
    <w:pPr>
      <w:pBdr>
        <w:bottom w:val="single" w:sz="4" w:space="1" w:color="4F81BD" w:themeColor="accent1"/>
      </w:pBdr>
      <w:jc w:val="right"/>
    </w:pPr>
    <w:rPr>
      <w:rFonts w:asciiTheme="minorHAnsi" w:eastAsiaTheme="minorHAnsi" w:hAnsiTheme="minorHAnsi"/>
      <w:b/>
      <w:color w:val="1F497D" w:themeColor="text2"/>
      <w:szCs w:val="20"/>
      <w:lang w:val="en-US" w:eastAsia="ja-JP"/>
    </w:rPr>
  </w:style>
  <w:style w:type="paragraph" w:styleId="NoSpacing">
    <w:name w:val="No Spacing"/>
    <w:uiPriority w:val="1"/>
    <w:qFormat/>
    <w:rsid w:val="00795EBB"/>
    <w:pPr>
      <w:spacing w:after="0" w:line="240" w:lineRule="auto"/>
    </w:pPr>
    <w:rPr>
      <w:rFonts w:ascii="Times New Roman" w:eastAsia="SimSun" w:hAnsi="Times New Roman" w:cs="Times New Roman"/>
      <w:sz w:val="20"/>
      <w:szCs w:val="24"/>
    </w:rPr>
  </w:style>
  <w:style w:type="character" w:customStyle="1" w:styleId="st">
    <w:name w:val="st"/>
    <w:basedOn w:val="DefaultParagraphFont"/>
    <w:rsid w:val="00DC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3988">
      <w:bodyDiv w:val="1"/>
      <w:marLeft w:val="0"/>
      <w:marRight w:val="0"/>
      <w:marTop w:val="0"/>
      <w:marBottom w:val="0"/>
      <w:divBdr>
        <w:top w:val="none" w:sz="0" w:space="0" w:color="auto"/>
        <w:left w:val="none" w:sz="0" w:space="0" w:color="auto"/>
        <w:bottom w:val="none" w:sz="0" w:space="0" w:color="auto"/>
        <w:right w:val="none" w:sz="0" w:space="0" w:color="auto"/>
      </w:divBdr>
    </w:div>
    <w:div w:id="82145800">
      <w:bodyDiv w:val="1"/>
      <w:marLeft w:val="0"/>
      <w:marRight w:val="0"/>
      <w:marTop w:val="0"/>
      <w:marBottom w:val="0"/>
      <w:divBdr>
        <w:top w:val="none" w:sz="0" w:space="0" w:color="auto"/>
        <w:left w:val="none" w:sz="0" w:space="0" w:color="auto"/>
        <w:bottom w:val="none" w:sz="0" w:space="0" w:color="auto"/>
        <w:right w:val="none" w:sz="0" w:space="0" w:color="auto"/>
      </w:divBdr>
    </w:div>
    <w:div w:id="105277342">
      <w:bodyDiv w:val="1"/>
      <w:marLeft w:val="0"/>
      <w:marRight w:val="0"/>
      <w:marTop w:val="0"/>
      <w:marBottom w:val="0"/>
      <w:divBdr>
        <w:top w:val="none" w:sz="0" w:space="0" w:color="auto"/>
        <w:left w:val="none" w:sz="0" w:space="0" w:color="auto"/>
        <w:bottom w:val="none" w:sz="0" w:space="0" w:color="auto"/>
        <w:right w:val="none" w:sz="0" w:space="0" w:color="auto"/>
      </w:divBdr>
    </w:div>
    <w:div w:id="165020450">
      <w:bodyDiv w:val="1"/>
      <w:marLeft w:val="0"/>
      <w:marRight w:val="0"/>
      <w:marTop w:val="0"/>
      <w:marBottom w:val="0"/>
      <w:divBdr>
        <w:top w:val="none" w:sz="0" w:space="0" w:color="auto"/>
        <w:left w:val="none" w:sz="0" w:space="0" w:color="auto"/>
        <w:bottom w:val="none" w:sz="0" w:space="0" w:color="auto"/>
        <w:right w:val="none" w:sz="0" w:space="0" w:color="auto"/>
      </w:divBdr>
    </w:div>
    <w:div w:id="189297748">
      <w:bodyDiv w:val="1"/>
      <w:marLeft w:val="0"/>
      <w:marRight w:val="0"/>
      <w:marTop w:val="0"/>
      <w:marBottom w:val="0"/>
      <w:divBdr>
        <w:top w:val="none" w:sz="0" w:space="0" w:color="auto"/>
        <w:left w:val="none" w:sz="0" w:space="0" w:color="auto"/>
        <w:bottom w:val="none" w:sz="0" w:space="0" w:color="auto"/>
        <w:right w:val="none" w:sz="0" w:space="0" w:color="auto"/>
      </w:divBdr>
    </w:div>
    <w:div w:id="290522990">
      <w:bodyDiv w:val="1"/>
      <w:marLeft w:val="0"/>
      <w:marRight w:val="0"/>
      <w:marTop w:val="0"/>
      <w:marBottom w:val="0"/>
      <w:divBdr>
        <w:top w:val="none" w:sz="0" w:space="0" w:color="auto"/>
        <w:left w:val="none" w:sz="0" w:space="0" w:color="auto"/>
        <w:bottom w:val="none" w:sz="0" w:space="0" w:color="auto"/>
        <w:right w:val="none" w:sz="0" w:space="0" w:color="auto"/>
      </w:divBdr>
    </w:div>
    <w:div w:id="596445757">
      <w:bodyDiv w:val="1"/>
      <w:marLeft w:val="0"/>
      <w:marRight w:val="0"/>
      <w:marTop w:val="0"/>
      <w:marBottom w:val="0"/>
      <w:divBdr>
        <w:top w:val="none" w:sz="0" w:space="0" w:color="auto"/>
        <w:left w:val="none" w:sz="0" w:space="0" w:color="auto"/>
        <w:bottom w:val="none" w:sz="0" w:space="0" w:color="auto"/>
        <w:right w:val="none" w:sz="0" w:space="0" w:color="auto"/>
      </w:divBdr>
    </w:div>
    <w:div w:id="804197559">
      <w:bodyDiv w:val="1"/>
      <w:marLeft w:val="0"/>
      <w:marRight w:val="0"/>
      <w:marTop w:val="0"/>
      <w:marBottom w:val="0"/>
      <w:divBdr>
        <w:top w:val="none" w:sz="0" w:space="0" w:color="auto"/>
        <w:left w:val="none" w:sz="0" w:space="0" w:color="auto"/>
        <w:bottom w:val="none" w:sz="0" w:space="0" w:color="auto"/>
        <w:right w:val="none" w:sz="0" w:space="0" w:color="auto"/>
      </w:divBdr>
    </w:div>
    <w:div w:id="811870837">
      <w:bodyDiv w:val="1"/>
      <w:marLeft w:val="0"/>
      <w:marRight w:val="0"/>
      <w:marTop w:val="0"/>
      <w:marBottom w:val="0"/>
      <w:divBdr>
        <w:top w:val="none" w:sz="0" w:space="0" w:color="auto"/>
        <w:left w:val="none" w:sz="0" w:space="0" w:color="auto"/>
        <w:bottom w:val="none" w:sz="0" w:space="0" w:color="auto"/>
        <w:right w:val="none" w:sz="0" w:space="0" w:color="auto"/>
      </w:divBdr>
    </w:div>
    <w:div w:id="835656930">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74621938">
      <w:bodyDiv w:val="1"/>
      <w:marLeft w:val="0"/>
      <w:marRight w:val="0"/>
      <w:marTop w:val="0"/>
      <w:marBottom w:val="0"/>
      <w:divBdr>
        <w:top w:val="none" w:sz="0" w:space="0" w:color="auto"/>
        <w:left w:val="none" w:sz="0" w:space="0" w:color="auto"/>
        <w:bottom w:val="none" w:sz="0" w:space="0" w:color="auto"/>
        <w:right w:val="none" w:sz="0" w:space="0" w:color="auto"/>
      </w:divBdr>
    </w:div>
    <w:div w:id="1567060950">
      <w:bodyDiv w:val="1"/>
      <w:marLeft w:val="0"/>
      <w:marRight w:val="0"/>
      <w:marTop w:val="0"/>
      <w:marBottom w:val="0"/>
      <w:divBdr>
        <w:top w:val="none" w:sz="0" w:space="0" w:color="auto"/>
        <w:left w:val="none" w:sz="0" w:space="0" w:color="auto"/>
        <w:bottom w:val="none" w:sz="0" w:space="0" w:color="auto"/>
        <w:right w:val="none" w:sz="0" w:space="0" w:color="auto"/>
      </w:divBdr>
    </w:div>
    <w:div w:id="1632634056">
      <w:bodyDiv w:val="1"/>
      <w:marLeft w:val="0"/>
      <w:marRight w:val="0"/>
      <w:marTop w:val="0"/>
      <w:marBottom w:val="0"/>
      <w:divBdr>
        <w:top w:val="none" w:sz="0" w:space="0" w:color="auto"/>
        <w:left w:val="none" w:sz="0" w:space="0" w:color="auto"/>
        <w:bottom w:val="none" w:sz="0" w:space="0" w:color="auto"/>
        <w:right w:val="none" w:sz="0" w:space="0" w:color="auto"/>
      </w:divBdr>
    </w:div>
    <w:div w:id="184978376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77450308">
      <w:bodyDiv w:val="1"/>
      <w:marLeft w:val="0"/>
      <w:marRight w:val="0"/>
      <w:marTop w:val="0"/>
      <w:marBottom w:val="0"/>
      <w:divBdr>
        <w:top w:val="none" w:sz="0" w:space="0" w:color="auto"/>
        <w:left w:val="none" w:sz="0" w:space="0" w:color="auto"/>
        <w:bottom w:val="none" w:sz="0" w:space="0" w:color="auto"/>
        <w:right w:val="none" w:sz="0" w:space="0" w:color="auto"/>
      </w:divBdr>
    </w:div>
    <w:div w:id="20628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5CB7E5-25B1-4C0E-A4DD-A05E3F5900DB}"/>
</file>

<file path=customXml/itemProps2.xml><?xml version="1.0" encoding="utf-8"?>
<ds:datastoreItem xmlns:ds="http://schemas.openxmlformats.org/officeDocument/2006/customXml" ds:itemID="{7BE6A453-B057-478D-9B01-97B1447CC416}"/>
</file>

<file path=customXml/itemProps3.xml><?xml version="1.0" encoding="utf-8"?>
<ds:datastoreItem xmlns:ds="http://schemas.openxmlformats.org/officeDocument/2006/customXml" ds:itemID="{942D017D-2AC5-4714-ABBC-0534AF79F565}"/>
</file>

<file path=customXml/itemProps4.xml><?xml version="1.0" encoding="utf-8"?>
<ds:datastoreItem xmlns:ds="http://schemas.openxmlformats.org/officeDocument/2006/customXml" ds:itemID="{D68DD7B4-BDB7-4B1D-A511-88D78D757CAF}"/>
</file>

<file path=docProps/app.xml><?xml version="1.0" encoding="utf-8"?>
<Properties xmlns="http://schemas.openxmlformats.org/officeDocument/2006/extended-properties" xmlns:vt="http://schemas.openxmlformats.org/officeDocument/2006/docPropsVTypes">
  <Template>Normal.dotm</Template>
  <TotalTime>0</TotalTime>
  <Pages>49</Pages>
  <Words>16104</Words>
  <Characters>91794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2013-11-19T22:53:00Z</dcterms:created>
  <dcterms:modified xsi:type="dcterms:W3CDTF">2014-01-29T04:52:00Z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311300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