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22" w:rsidRPr="007E3C31" w:rsidRDefault="00EA7EE8" w:rsidP="00850022">
      <w:pPr>
        <w:widowControl/>
        <w:pBdr>
          <w:top w:val="single" w:sz="4" w:space="12" w:color="FF9900"/>
          <w:bottom w:val="single" w:sz="4" w:space="5" w:color="FF9900"/>
        </w:pBdr>
        <w:shd w:val="clear" w:color="auto" w:fill="FFFFCC"/>
        <w:autoSpaceDE/>
        <w:autoSpaceDN/>
        <w:adjustRightInd/>
        <w:spacing w:after="0" w:line="360" w:lineRule="auto"/>
        <w:jc w:val="center"/>
        <w:rPr>
          <w:rFonts w:cs="Arial"/>
          <w:b/>
          <w:bCs/>
          <w:sz w:val="24"/>
        </w:rPr>
      </w:pPr>
      <w:bookmarkStart w:id="0" w:name="_GoBack"/>
      <w:bookmarkEnd w:id="0"/>
      <w:r>
        <w:rPr>
          <w:rFonts w:cs="Arial"/>
          <w:b/>
          <w:bCs/>
          <w:sz w:val="24"/>
        </w:rPr>
        <w:t xml:space="preserve">Independent </w:t>
      </w:r>
      <w:r w:rsidR="00850022" w:rsidRPr="007E3C31">
        <w:rPr>
          <w:rFonts w:cs="Arial"/>
          <w:b/>
          <w:bCs/>
          <w:sz w:val="24"/>
        </w:rPr>
        <w:t xml:space="preserve">Evaluation of Kiribati </w:t>
      </w:r>
      <w:r>
        <w:rPr>
          <w:rFonts w:cs="Arial"/>
          <w:b/>
          <w:bCs/>
          <w:sz w:val="24"/>
        </w:rPr>
        <w:t>Technical and Vocational Education and Training Sector Strengthening Program Phase I and II</w:t>
      </w:r>
    </w:p>
    <w:p w:rsidR="00850022" w:rsidRPr="007E3C31" w:rsidRDefault="00850022" w:rsidP="00850022">
      <w:pPr>
        <w:widowControl/>
        <w:pBdr>
          <w:top w:val="single" w:sz="4" w:space="12" w:color="FF9900"/>
          <w:bottom w:val="single" w:sz="4" w:space="5" w:color="FF9900"/>
        </w:pBdr>
        <w:shd w:val="clear" w:color="auto" w:fill="FFFFCC"/>
        <w:autoSpaceDE/>
        <w:autoSpaceDN/>
        <w:adjustRightInd/>
        <w:spacing w:after="0" w:line="360" w:lineRule="auto"/>
        <w:jc w:val="center"/>
        <w:rPr>
          <w:rFonts w:cs="Arial"/>
          <w:b/>
          <w:bCs/>
          <w:sz w:val="24"/>
        </w:rPr>
      </w:pPr>
      <w:r w:rsidRPr="007E3C31">
        <w:rPr>
          <w:rFonts w:cs="Arial"/>
          <w:b/>
          <w:bCs/>
          <w:sz w:val="24"/>
        </w:rPr>
        <w:t>MANAGEMENT RESPONSE</w:t>
      </w:r>
    </w:p>
    <w:p w:rsidR="00850022" w:rsidRPr="007E3C31" w:rsidRDefault="00850022" w:rsidP="00850022">
      <w:pPr>
        <w:keepNext/>
        <w:widowControl/>
        <w:autoSpaceDE/>
        <w:autoSpaceDN/>
        <w:adjustRightInd/>
        <w:spacing w:before="240" w:after="60"/>
        <w:jc w:val="center"/>
        <w:outlineLvl w:val="1"/>
        <w:rPr>
          <w:rFonts w:cs="Arial"/>
          <w:b/>
          <w:iCs/>
          <w:sz w:val="24"/>
          <w:szCs w:val="22"/>
        </w:rPr>
      </w:pPr>
      <w:r w:rsidRPr="007E3C31">
        <w:rPr>
          <w:rFonts w:cs="Arial"/>
          <w:b/>
          <w:iCs/>
          <w:sz w:val="24"/>
          <w:szCs w:val="22"/>
        </w:rPr>
        <w:t>Program Summary</w:t>
      </w:r>
    </w:p>
    <w:tbl>
      <w:tblPr>
        <w:tblpPr w:leftFromText="180" w:rightFromText="180" w:vertAnchor="text" w:tblpY="1"/>
        <w:tblOverlap w:val="never"/>
        <w:tblW w:w="1312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76"/>
        <w:gridCol w:w="3668"/>
        <w:gridCol w:w="2510"/>
        <w:gridCol w:w="3474"/>
      </w:tblGrid>
      <w:tr w:rsidR="00850022" w:rsidRPr="007E3C31" w:rsidTr="00850022">
        <w:trPr>
          <w:cantSplit/>
          <w:trHeight w:val="431"/>
          <w:tblHeader/>
        </w:trPr>
        <w:tc>
          <w:tcPr>
            <w:tcW w:w="3476" w:type="dxa"/>
            <w:shd w:val="clear" w:color="auto" w:fill="E0E0E0"/>
            <w:vAlign w:val="center"/>
          </w:tcPr>
          <w:p w:rsidR="00850022" w:rsidRPr="007E3C31" w:rsidRDefault="00850022" w:rsidP="000477F4">
            <w:pPr>
              <w:widowControl/>
              <w:autoSpaceDE/>
              <w:autoSpaceDN/>
              <w:adjustRightInd/>
              <w:spacing w:before="120"/>
              <w:rPr>
                <w:rFonts w:cs="Arial"/>
                <w:b/>
                <w:sz w:val="20"/>
                <w:lang w:eastAsia="en-US"/>
              </w:rPr>
            </w:pPr>
            <w:r w:rsidRPr="007E3C31">
              <w:rPr>
                <w:rFonts w:cs="Arial"/>
                <w:b/>
                <w:sz w:val="20"/>
                <w:lang w:eastAsia="en-US"/>
              </w:rPr>
              <w:t>Program Name</w:t>
            </w:r>
          </w:p>
        </w:tc>
        <w:tc>
          <w:tcPr>
            <w:tcW w:w="9652" w:type="dxa"/>
            <w:gridSpan w:val="3"/>
            <w:shd w:val="clear" w:color="auto" w:fill="E0E0E0"/>
            <w:vAlign w:val="center"/>
          </w:tcPr>
          <w:p w:rsidR="00850022" w:rsidRPr="007E3C31" w:rsidRDefault="00850022" w:rsidP="00F86E1F">
            <w:pPr>
              <w:widowControl/>
              <w:autoSpaceDE/>
              <w:autoSpaceDN/>
              <w:adjustRightInd/>
              <w:spacing w:before="120"/>
              <w:rPr>
                <w:rFonts w:cs="Arial"/>
                <w:b/>
                <w:sz w:val="20"/>
                <w:lang w:eastAsia="en-US"/>
              </w:rPr>
            </w:pPr>
            <w:r w:rsidRPr="007E3C31">
              <w:rPr>
                <w:rFonts w:cs="Arial"/>
                <w:b/>
                <w:sz w:val="20"/>
                <w:lang w:eastAsia="en-US"/>
              </w:rPr>
              <w:t xml:space="preserve">Kiribati </w:t>
            </w:r>
            <w:r w:rsidR="00F86E1F">
              <w:rPr>
                <w:rFonts w:cs="Arial"/>
                <w:b/>
                <w:sz w:val="20"/>
                <w:lang w:eastAsia="en-US"/>
              </w:rPr>
              <w:t>Technical and Vocational Education and Training Sector Strengthening Program Phase I and II</w:t>
            </w:r>
          </w:p>
        </w:tc>
      </w:tr>
      <w:tr w:rsidR="00850022" w:rsidRPr="007E3C31" w:rsidTr="00850022">
        <w:trPr>
          <w:cantSplit/>
          <w:trHeight w:val="301"/>
        </w:trPr>
        <w:tc>
          <w:tcPr>
            <w:tcW w:w="3476" w:type="dxa"/>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 xml:space="preserve">AidWorks details </w:t>
            </w:r>
          </w:p>
        </w:tc>
        <w:tc>
          <w:tcPr>
            <w:tcW w:w="9652" w:type="dxa"/>
            <w:gridSpan w:val="3"/>
            <w:shd w:val="clear" w:color="auto" w:fill="auto"/>
          </w:tcPr>
          <w:p w:rsidR="00850022" w:rsidRPr="007E3C31" w:rsidRDefault="00850022" w:rsidP="00850022">
            <w:pPr>
              <w:widowControl/>
              <w:autoSpaceDE/>
              <w:autoSpaceDN/>
              <w:adjustRightInd/>
              <w:spacing w:before="60" w:after="0"/>
              <w:rPr>
                <w:rFonts w:cs="Arial"/>
                <w:sz w:val="20"/>
                <w:lang w:eastAsia="en-US"/>
              </w:rPr>
            </w:pPr>
            <w:r>
              <w:rPr>
                <w:rFonts w:cs="Arial"/>
                <w:sz w:val="20"/>
                <w:lang w:eastAsia="en-US"/>
              </w:rPr>
              <w:t>Initiative INJ197</w:t>
            </w:r>
            <w:r w:rsidRPr="007E3C31">
              <w:rPr>
                <w:rFonts w:cs="Arial"/>
                <w:sz w:val="20"/>
                <w:lang w:eastAsia="en-US"/>
              </w:rPr>
              <w:t xml:space="preserve"> / Activities </w:t>
            </w:r>
            <w:r>
              <w:rPr>
                <w:rFonts w:cs="Arial"/>
                <w:sz w:val="20"/>
                <w:lang w:eastAsia="en-US"/>
              </w:rPr>
              <w:t>10A222 and 10A220</w:t>
            </w:r>
          </w:p>
        </w:tc>
      </w:tr>
      <w:tr w:rsidR="00850022" w:rsidRPr="007E3C31" w:rsidTr="00850022">
        <w:trPr>
          <w:cantSplit/>
          <w:trHeight w:val="286"/>
        </w:trPr>
        <w:tc>
          <w:tcPr>
            <w:tcW w:w="3476" w:type="dxa"/>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Commencement date</w:t>
            </w:r>
          </w:p>
        </w:tc>
        <w:tc>
          <w:tcPr>
            <w:tcW w:w="3668" w:type="dxa"/>
            <w:shd w:val="clear" w:color="auto" w:fill="auto"/>
          </w:tcPr>
          <w:p w:rsidR="00850022" w:rsidRPr="007E3C31" w:rsidRDefault="00F86E1F" w:rsidP="000477F4">
            <w:pPr>
              <w:widowControl/>
              <w:autoSpaceDE/>
              <w:autoSpaceDN/>
              <w:adjustRightInd/>
              <w:spacing w:before="60" w:after="0"/>
              <w:rPr>
                <w:rFonts w:cs="Arial"/>
                <w:sz w:val="20"/>
                <w:lang w:eastAsia="en-US"/>
              </w:rPr>
            </w:pPr>
            <w:r w:rsidRPr="00616D62">
              <w:rPr>
                <w:rFonts w:cs="Arial"/>
                <w:sz w:val="20"/>
                <w:szCs w:val="20"/>
              </w:rPr>
              <w:t>Phase I (Jan 2011) Phase II (July 2012)</w:t>
            </w:r>
          </w:p>
        </w:tc>
        <w:tc>
          <w:tcPr>
            <w:tcW w:w="2510" w:type="dxa"/>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Completion date</w:t>
            </w:r>
          </w:p>
        </w:tc>
        <w:tc>
          <w:tcPr>
            <w:tcW w:w="3474" w:type="dxa"/>
            <w:shd w:val="clear" w:color="auto" w:fill="auto"/>
          </w:tcPr>
          <w:p w:rsidR="00850022" w:rsidRPr="007E3C31" w:rsidRDefault="00F86E1F" w:rsidP="000477F4">
            <w:pPr>
              <w:widowControl/>
              <w:autoSpaceDE/>
              <w:autoSpaceDN/>
              <w:adjustRightInd/>
              <w:spacing w:before="60" w:after="0"/>
              <w:rPr>
                <w:rFonts w:cs="Arial"/>
                <w:sz w:val="20"/>
                <w:lang w:eastAsia="en-US"/>
              </w:rPr>
            </w:pPr>
            <w:r w:rsidRPr="00616D62">
              <w:rPr>
                <w:rFonts w:cs="Arial"/>
                <w:sz w:val="20"/>
                <w:szCs w:val="20"/>
              </w:rPr>
              <w:t>Phase I (June 2012) Phase II (July 2016)</w:t>
            </w:r>
          </w:p>
        </w:tc>
      </w:tr>
      <w:tr w:rsidR="00850022" w:rsidRPr="007E3C31" w:rsidTr="00850022">
        <w:trPr>
          <w:cantSplit/>
          <w:trHeight w:val="301"/>
        </w:trPr>
        <w:tc>
          <w:tcPr>
            <w:tcW w:w="3476" w:type="dxa"/>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Total Australian $</w:t>
            </w:r>
          </w:p>
        </w:tc>
        <w:tc>
          <w:tcPr>
            <w:tcW w:w="9652" w:type="dxa"/>
            <w:gridSpan w:val="3"/>
            <w:shd w:val="clear" w:color="auto" w:fill="auto"/>
          </w:tcPr>
          <w:p w:rsidR="00850022" w:rsidRPr="007E3C31" w:rsidRDefault="00850022" w:rsidP="000477F4">
            <w:pPr>
              <w:widowControl/>
              <w:shd w:val="clear" w:color="auto" w:fill="FFFFFF"/>
              <w:autoSpaceDE/>
              <w:autoSpaceDN/>
              <w:adjustRightInd/>
              <w:spacing w:after="0" w:line="288" w:lineRule="atLeast"/>
              <w:textAlignment w:val="center"/>
              <w:rPr>
                <w:rFonts w:ascii="Tahoma" w:hAnsi="Tahoma" w:cs="Tahoma"/>
                <w:b/>
                <w:bCs/>
                <w:sz w:val="18"/>
                <w:szCs w:val="18"/>
                <w:lang w:val="en"/>
              </w:rPr>
            </w:pPr>
            <w:r w:rsidRPr="007E3C31">
              <w:rPr>
                <w:rFonts w:cs="Arial"/>
                <w:sz w:val="20"/>
                <w:lang w:eastAsia="en-US"/>
              </w:rPr>
              <w:t xml:space="preserve">Estimated total initiative value: </w:t>
            </w:r>
            <w:r w:rsidR="00F86E1F" w:rsidRPr="00616D62">
              <w:rPr>
                <w:rFonts w:cs="Arial"/>
                <w:sz w:val="20"/>
                <w:szCs w:val="20"/>
              </w:rPr>
              <w:t xml:space="preserve"> AUD23.6 million</w:t>
            </w:r>
            <w:r w:rsidR="008D2BE7">
              <w:rPr>
                <w:rFonts w:cs="Arial"/>
                <w:sz w:val="20"/>
                <w:szCs w:val="20"/>
              </w:rPr>
              <w:t xml:space="preserve"> (total contract value from 2011-2016)</w:t>
            </w:r>
          </w:p>
        </w:tc>
      </w:tr>
      <w:tr w:rsidR="00850022" w:rsidRPr="007E3C31" w:rsidTr="00850022">
        <w:trPr>
          <w:cantSplit/>
          <w:trHeight w:val="301"/>
        </w:trPr>
        <w:tc>
          <w:tcPr>
            <w:tcW w:w="3476" w:type="dxa"/>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Total other $</w:t>
            </w:r>
          </w:p>
        </w:tc>
        <w:tc>
          <w:tcPr>
            <w:tcW w:w="9652" w:type="dxa"/>
            <w:gridSpan w:val="3"/>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w:t>
            </w:r>
          </w:p>
        </w:tc>
      </w:tr>
      <w:tr w:rsidR="00850022" w:rsidRPr="007E3C31" w:rsidTr="00850022">
        <w:trPr>
          <w:cantSplit/>
          <w:trHeight w:val="286"/>
        </w:trPr>
        <w:tc>
          <w:tcPr>
            <w:tcW w:w="3476" w:type="dxa"/>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Delivery organisation(s)</w:t>
            </w:r>
          </w:p>
        </w:tc>
        <w:tc>
          <w:tcPr>
            <w:tcW w:w="9652" w:type="dxa"/>
            <w:gridSpan w:val="3"/>
            <w:shd w:val="clear" w:color="auto" w:fill="auto"/>
          </w:tcPr>
          <w:p w:rsidR="00850022" w:rsidRPr="007E3C31" w:rsidRDefault="00F86E1F" w:rsidP="000477F4">
            <w:pPr>
              <w:widowControl/>
              <w:autoSpaceDE/>
              <w:autoSpaceDN/>
              <w:adjustRightInd/>
              <w:spacing w:before="60" w:after="0"/>
              <w:rPr>
                <w:rFonts w:cs="Arial"/>
                <w:sz w:val="20"/>
                <w:lang w:eastAsia="en-US"/>
              </w:rPr>
            </w:pPr>
            <w:r w:rsidRPr="00616D62">
              <w:rPr>
                <w:rFonts w:cs="Arial"/>
                <w:sz w:val="20"/>
                <w:szCs w:val="20"/>
              </w:rPr>
              <w:t>Scope Global (formerly Austraining International)</w:t>
            </w:r>
          </w:p>
        </w:tc>
      </w:tr>
      <w:tr w:rsidR="00850022" w:rsidRPr="007E3C31" w:rsidTr="00850022">
        <w:trPr>
          <w:cantSplit/>
          <w:trHeight w:val="301"/>
        </w:trPr>
        <w:tc>
          <w:tcPr>
            <w:tcW w:w="3476" w:type="dxa"/>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Implementing partner(s)</w:t>
            </w:r>
          </w:p>
        </w:tc>
        <w:tc>
          <w:tcPr>
            <w:tcW w:w="9652" w:type="dxa"/>
            <w:gridSpan w:val="3"/>
            <w:shd w:val="clear" w:color="auto" w:fill="auto"/>
          </w:tcPr>
          <w:p w:rsidR="00850022" w:rsidRPr="007E3C31" w:rsidRDefault="00F86E1F" w:rsidP="000477F4">
            <w:pPr>
              <w:widowControl/>
              <w:autoSpaceDE/>
              <w:autoSpaceDN/>
              <w:adjustRightInd/>
              <w:spacing w:before="60" w:after="0"/>
              <w:rPr>
                <w:rFonts w:cs="Arial"/>
                <w:sz w:val="20"/>
                <w:lang w:eastAsia="en-US"/>
              </w:rPr>
            </w:pPr>
            <w:r w:rsidRPr="00616D62">
              <w:rPr>
                <w:rFonts w:cs="Arial"/>
                <w:sz w:val="20"/>
                <w:szCs w:val="20"/>
              </w:rPr>
              <w:t>Ministry of Labour and Human Resource Development (MLHRD), Kiribati Institute of Technology (KIT), TAFE South Australia (TAFE SA) (Auspicing Agreement).</w:t>
            </w:r>
          </w:p>
        </w:tc>
      </w:tr>
      <w:tr w:rsidR="00850022" w:rsidRPr="007E3C31" w:rsidTr="00850022">
        <w:trPr>
          <w:cantSplit/>
          <w:trHeight w:val="286"/>
        </w:trPr>
        <w:tc>
          <w:tcPr>
            <w:tcW w:w="3476" w:type="dxa"/>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Country/Region</w:t>
            </w:r>
          </w:p>
        </w:tc>
        <w:tc>
          <w:tcPr>
            <w:tcW w:w="9652" w:type="dxa"/>
            <w:gridSpan w:val="3"/>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Kiribati</w:t>
            </w:r>
          </w:p>
        </w:tc>
      </w:tr>
      <w:tr w:rsidR="00850022" w:rsidRPr="007E3C31" w:rsidTr="00F86E1F">
        <w:trPr>
          <w:cantSplit/>
          <w:trHeight w:val="395"/>
        </w:trPr>
        <w:tc>
          <w:tcPr>
            <w:tcW w:w="3476" w:type="dxa"/>
            <w:shd w:val="clear" w:color="auto" w:fill="auto"/>
          </w:tcPr>
          <w:p w:rsidR="00850022" w:rsidRPr="007E3C31" w:rsidRDefault="00850022" w:rsidP="000477F4">
            <w:pPr>
              <w:widowControl/>
              <w:autoSpaceDE/>
              <w:autoSpaceDN/>
              <w:adjustRightInd/>
              <w:spacing w:before="60" w:after="0"/>
              <w:rPr>
                <w:rFonts w:cs="Arial"/>
                <w:sz w:val="20"/>
                <w:lang w:eastAsia="en-US"/>
              </w:rPr>
            </w:pPr>
            <w:r w:rsidRPr="007E3C31">
              <w:rPr>
                <w:rFonts w:cs="Arial"/>
                <w:sz w:val="20"/>
                <w:lang w:eastAsia="en-US"/>
              </w:rPr>
              <w:t>Primary sector</w:t>
            </w:r>
          </w:p>
        </w:tc>
        <w:tc>
          <w:tcPr>
            <w:tcW w:w="9652" w:type="dxa"/>
            <w:gridSpan w:val="3"/>
            <w:shd w:val="clear" w:color="auto" w:fill="auto"/>
          </w:tcPr>
          <w:p w:rsidR="00850022" w:rsidRPr="007E3C31" w:rsidRDefault="00F86E1F" w:rsidP="00F86E1F">
            <w:pPr>
              <w:widowControl/>
              <w:autoSpaceDE/>
              <w:autoSpaceDN/>
              <w:adjustRightInd/>
              <w:spacing w:before="60" w:after="0"/>
              <w:rPr>
                <w:rFonts w:cs="Arial"/>
                <w:sz w:val="20"/>
                <w:lang w:eastAsia="en-US"/>
              </w:rPr>
            </w:pPr>
            <w:r w:rsidRPr="00616D62">
              <w:rPr>
                <w:rFonts w:cs="Arial"/>
                <w:sz w:val="20"/>
                <w:szCs w:val="20"/>
              </w:rPr>
              <w:t>Technical and Vocational Education and Training (TVET)</w:t>
            </w:r>
            <w:r w:rsidR="00850022" w:rsidRPr="007E3C31">
              <w:rPr>
                <w:rFonts w:cs="Arial"/>
                <w:sz w:val="20"/>
                <w:lang w:eastAsia="en-US"/>
              </w:rPr>
              <w:t xml:space="preserve"> </w:t>
            </w:r>
          </w:p>
        </w:tc>
      </w:tr>
      <w:tr w:rsidR="00850022" w:rsidRPr="007E3C31" w:rsidTr="00FC1B73">
        <w:trPr>
          <w:cantSplit/>
          <w:trHeight w:val="2627"/>
        </w:trPr>
        <w:tc>
          <w:tcPr>
            <w:tcW w:w="3476" w:type="dxa"/>
            <w:shd w:val="clear" w:color="auto" w:fill="auto"/>
          </w:tcPr>
          <w:p w:rsidR="00850022" w:rsidRPr="007E3C31" w:rsidRDefault="00850022" w:rsidP="00F86E1F">
            <w:pPr>
              <w:widowControl/>
              <w:autoSpaceDE/>
              <w:autoSpaceDN/>
              <w:adjustRightInd/>
              <w:spacing w:before="60" w:after="0"/>
              <w:rPr>
                <w:rFonts w:cs="Arial"/>
                <w:sz w:val="20"/>
                <w:lang w:eastAsia="en-US"/>
              </w:rPr>
            </w:pPr>
            <w:r w:rsidRPr="007E3C31">
              <w:rPr>
                <w:rFonts w:cs="Arial"/>
                <w:sz w:val="20"/>
                <w:lang w:eastAsia="en-US"/>
              </w:rPr>
              <w:lastRenderedPageBreak/>
              <w:t>O</w:t>
            </w:r>
            <w:r w:rsidR="00F86E1F">
              <w:rPr>
                <w:rFonts w:cs="Arial"/>
                <w:sz w:val="20"/>
                <w:lang w:eastAsia="en-US"/>
              </w:rPr>
              <w:t>bjectives</w:t>
            </w:r>
          </w:p>
        </w:tc>
        <w:tc>
          <w:tcPr>
            <w:tcW w:w="9652" w:type="dxa"/>
            <w:gridSpan w:val="3"/>
            <w:shd w:val="clear" w:color="auto" w:fill="auto"/>
          </w:tcPr>
          <w:p w:rsidR="00F86E1F" w:rsidRPr="00616D62" w:rsidRDefault="00F86E1F" w:rsidP="00F86E1F">
            <w:pPr>
              <w:rPr>
                <w:rFonts w:cs="Arial"/>
                <w:sz w:val="20"/>
                <w:szCs w:val="20"/>
              </w:rPr>
            </w:pPr>
            <w:r w:rsidRPr="00F86E1F">
              <w:rPr>
                <w:rFonts w:cs="Arial"/>
                <w:b/>
                <w:sz w:val="20"/>
                <w:szCs w:val="20"/>
              </w:rPr>
              <w:t>Goal</w:t>
            </w:r>
            <w:r w:rsidRPr="00616D62">
              <w:rPr>
                <w:rFonts w:cs="Arial"/>
                <w:sz w:val="20"/>
                <w:szCs w:val="20"/>
              </w:rPr>
              <w:t xml:space="preserve">: To support the vision of the Government of Kiribati for an internationally respected TVET system which plays a valued role in improving national economic growth and increasing the employability of the people of Kiribati at home and abroad, especially its young women and men. </w:t>
            </w:r>
          </w:p>
          <w:p w:rsidR="00F86E1F" w:rsidRPr="00616D62" w:rsidRDefault="00F86E1F" w:rsidP="00F86E1F">
            <w:pPr>
              <w:rPr>
                <w:rFonts w:cs="Arial"/>
                <w:sz w:val="20"/>
                <w:szCs w:val="20"/>
              </w:rPr>
            </w:pPr>
            <w:r w:rsidRPr="00F86E1F">
              <w:rPr>
                <w:rFonts w:cs="Arial"/>
                <w:b/>
                <w:sz w:val="20"/>
                <w:szCs w:val="20"/>
              </w:rPr>
              <w:t>Medium-Term Objective</w:t>
            </w:r>
            <w:r w:rsidRPr="00616D62">
              <w:rPr>
                <w:rFonts w:cs="Arial"/>
                <w:sz w:val="20"/>
                <w:szCs w:val="20"/>
              </w:rPr>
              <w:t xml:space="preserve">: To support mutually agreed improvements in the quality, quantity, scope and equity of training provided by the Kiribati TVET sector and to do so in ways which are financially sustainable and integrated with regional TVET and labour market developments as they evolve.  </w:t>
            </w:r>
          </w:p>
          <w:p w:rsidR="00F86E1F" w:rsidRPr="00616D62" w:rsidRDefault="00F86E1F" w:rsidP="00F86E1F">
            <w:pPr>
              <w:rPr>
                <w:rFonts w:cs="Arial"/>
                <w:sz w:val="20"/>
                <w:szCs w:val="20"/>
              </w:rPr>
            </w:pPr>
            <w:r w:rsidRPr="00F86E1F">
              <w:rPr>
                <w:rFonts w:cs="Arial"/>
                <w:b/>
                <w:sz w:val="20"/>
                <w:szCs w:val="20"/>
              </w:rPr>
              <w:t>Short-Term Objective</w:t>
            </w:r>
            <w:r w:rsidRPr="00616D62">
              <w:rPr>
                <w:rFonts w:cs="Arial"/>
                <w:sz w:val="20"/>
                <w:szCs w:val="20"/>
              </w:rPr>
              <w:t>: To support the development of an integrated and accountable TVET sector which responds to demand from employers and individual women and men for quality-assured training that i</w:t>
            </w:r>
            <w:r w:rsidR="001D4433">
              <w:rPr>
                <w:rFonts w:cs="Arial"/>
                <w:sz w:val="20"/>
                <w:szCs w:val="20"/>
              </w:rPr>
              <w:t>ncreases workplace productivity;</w:t>
            </w:r>
            <w:r w:rsidRPr="00616D62">
              <w:rPr>
                <w:rFonts w:cs="Arial"/>
                <w:sz w:val="20"/>
                <w:szCs w:val="20"/>
              </w:rPr>
              <w:t xml:space="preserve"> broadens work opportunities for </w:t>
            </w:r>
            <w:proofErr w:type="spellStart"/>
            <w:r w:rsidRPr="00616D62">
              <w:rPr>
                <w:rFonts w:cs="Arial"/>
                <w:sz w:val="20"/>
                <w:szCs w:val="20"/>
              </w:rPr>
              <w:t>i</w:t>
            </w:r>
            <w:proofErr w:type="spellEnd"/>
            <w:r w:rsidRPr="00616D62">
              <w:rPr>
                <w:rFonts w:cs="Arial"/>
                <w:sz w:val="20"/>
                <w:szCs w:val="20"/>
              </w:rPr>
              <w:t>-Kiribati at home and abroad</w:t>
            </w:r>
            <w:r w:rsidR="001D4433">
              <w:rPr>
                <w:rFonts w:cs="Arial"/>
                <w:sz w:val="20"/>
                <w:szCs w:val="20"/>
              </w:rPr>
              <w:t>;</w:t>
            </w:r>
            <w:r w:rsidRPr="00616D62">
              <w:rPr>
                <w:rFonts w:cs="Arial"/>
                <w:sz w:val="20"/>
                <w:szCs w:val="20"/>
              </w:rPr>
              <w:t xml:space="preserve"> and contributes to economic growth and social equity. </w:t>
            </w:r>
          </w:p>
          <w:p w:rsidR="00850022" w:rsidRPr="007E3C31" w:rsidRDefault="00850022" w:rsidP="000477F4">
            <w:pPr>
              <w:widowControl/>
              <w:autoSpaceDE/>
              <w:autoSpaceDN/>
              <w:adjustRightInd/>
              <w:spacing w:before="60" w:after="0"/>
              <w:ind w:left="742" w:hanging="742"/>
              <w:rPr>
                <w:rFonts w:cs="Arial"/>
                <w:sz w:val="20"/>
                <w:szCs w:val="20"/>
                <w:lang w:eastAsia="en-US"/>
              </w:rPr>
            </w:pPr>
          </w:p>
        </w:tc>
      </w:tr>
    </w:tbl>
    <w:p w:rsidR="00850022" w:rsidRPr="007E3C31" w:rsidRDefault="00850022" w:rsidP="00850022">
      <w:pPr>
        <w:keepNext/>
        <w:widowControl/>
        <w:autoSpaceDE/>
        <w:autoSpaceDN/>
        <w:adjustRightInd/>
        <w:spacing w:before="240" w:after="60"/>
        <w:outlineLvl w:val="1"/>
        <w:rPr>
          <w:rFonts w:cs="Arial"/>
          <w:b/>
          <w:iCs/>
          <w:sz w:val="24"/>
          <w:szCs w:val="22"/>
        </w:rPr>
      </w:pPr>
      <w:r w:rsidRPr="007E3C31">
        <w:rPr>
          <w:rFonts w:cs="Arial"/>
          <w:b/>
          <w:iCs/>
          <w:sz w:val="24"/>
          <w:szCs w:val="22"/>
        </w:rPr>
        <w:t>Evaluation Summary</w:t>
      </w:r>
    </w:p>
    <w:p w:rsidR="00B41081" w:rsidRPr="00616D62" w:rsidRDefault="00850022" w:rsidP="00B41081">
      <w:pPr>
        <w:rPr>
          <w:rFonts w:cs="Arial"/>
          <w:sz w:val="20"/>
          <w:szCs w:val="20"/>
        </w:rPr>
      </w:pPr>
      <w:r w:rsidRPr="007E3C31">
        <w:rPr>
          <w:rFonts w:cs="Arial"/>
          <w:b/>
          <w:sz w:val="20"/>
          <w:lang w:eastAsia="en-US"/>
        </w:rPr>
        <w:t xml:space="preserve">Evaluation Objective: </w:t>
      </w:r>
      <w:r w:rsidR="00B41081" w:rsidRPr="00616D62">
        <w:rPr>
          <w:rFonts w:cs="Arial"/>
          <w:sz w:val="20"/>
          <w:szCs w:val="20"/>
        </w:rPr>
        <w:t xml:space="preserve">The evaluation was </w:t>
      </w:r>
      <w:r w:rsidR="00907A92">
        <w:rPr>
          <w:rFonts w:cs="Arial"/>
          <w:sz w:val="20"/>
          <w:szCs w:val="20"/>
        </w:rPr>
        <w:t xml:space="preserve">commissioned </w:t>
      </w:r>
      <w:r w:rsidR="00B41081" w:rsidRPr="00616D62">
        <w:rPr>
          <w:rFonts w:cs="Arial"/>
          <w:sz w:val="20"/>
          <w:szCs w:val="20"/>
        </w:rPr>
        <w:t xml:space="preserve">to provide advice to the Government of Kiribati and the Government of Australia on the performance of the program </w:t>
      </w:r>
      <w:r w:rsidR="00907A92">
        <w:rPr>
          <w:rFonts w:cs="Arial"/>
          <w:sz w:val="20"/>
          <w:szCs w:val="20"/>
        </w:rPr>
        <w:t xml:space="preserve">since inception and </w:t>
      </w:r>
      <w:r w:rsidR="00AA162E">
        <w:rPr>
          <w:rFonts w:cs="Arial"/>
          <w:sz w:val="20"/>
          <w:szCs w:val="20"/>
        </w:rPr>
        <w:t xml:space="preserve">to </w:t>
      </w:r>
      <w:r w:rsidR="00907A92">
        <w:rPr>
          <w:rFonts w:cs="Arial"/>
          <w:sz w:val="20"/>
          <w:szCs w:val="20"/>
        </w:rPr>
        <w:t xml:space="preserve">guide the design of </w:t>
      </w:r>
      <w:r w:rsidR="001D4433">
        <w:rPr>
          <w:rFonts w:cs="Arial"/>
          <w:sz w:val="20"/>
          <w:szCs w:val="20"/>
        </w:rPr>
        <w:t xml:space="preserve">the subsequent phase known as the Skills for Employment Program </w:t>
      </w:r>
      <w:r w:rsidR="00B41081" w:rsidRPr="00616D62">
        <w:rPr>
          <w:rFonts w:cs="Arial"/>
          <w:sz w:val="20"/>
          <w:szCs w:val="20"/>
        </w:rPr>
        <w:t>(</w:t>
      </w:r>
      <w:r w:rsidR="001D4433">
        <w:rPr>
          <w:rFonts w:cs="Arial"/>
          <w:sz w:val="20"/>
          <w:szCs w:val="20"/>
        </w:rPr>
        <w:t xml:space="preserve">SfEP, </w:t>
      </w:r>
      <w:r w:rsidR="00B41081" w:rsidRPr="00616D62">
        <w:rPr>
          <w:rFonts w:cs="Arial"/>
          <w:sz w:val="20"/>
          <w:szCs w:val="20"/>
        </w:rPr>
        <w:t xml:space="preserve">commencing July 2016). </w:t>
      </w:r>
    </w:p>
    <w:p w:rsidR="00B41081" w:rsidRPr="00616D62" w:rsidRDefault="00B41081" w:rsidP="00B41081">
      <w:pPr>
        <w:rPr>
          <w:rFonts w:cs="Arial"/>
          <w:sz w:val="20"/>
          <w:szCs w:val="20"/>
        </w:rPr>
      </w:pPr>
      <w:r w:rsidRPr="00616D62">
        <w:rPr>
          <w:rFonts w:cs="Arial"/>
          <w:sz w:val="20"/>
          <w:szCs w:val="20"/>
        </w:rPr>
        <w:t>Specifically, the evaluation was commissioned to:</w:t>
      </w:r>
    </w:p>
    <w:p w:rsidR="00B41081" w:rsidRPr="00616D62" w:rsidRDefault="00B41081" w:rsidP="00B41081">
      <w:pPr>
        <w:pStyle w:val="ListParagraph"/>
        <w:numPr>
          <w:ilvl w:val="0"/>
          <w:numId w:val="3"/>
        </w:numPr>
        <w:rPr>
          <w:rFonts w:ascii="Arial" w:hAnsi="Arial" w:cs="Arial"/>
          <w:sz w:val="20"/>
          <w:szCs w:val="20"/>
        </w:rPr>
      </w:pPr>
      <w:r w:rsidRPr="00616D62">
        <w:rPr>
          <w:rFonts w:ascii="Arial" w:hAnsi="Arial" w:cs="Arial"/>
          <w:sz w:val="20"/>
          <w:szCs w:val="20"/>
        </w:rPr>
        <w:t>Review the situation analysis that guided the design of TVETSSP Phases I and II and identify subsequent changes to the development context;</w:t>
      </w:r>
    </w:p>
    <w:p w:rsidR="00B41081" w:rsidRPr="00616D62" w:rsidRDefault="00B41081" w:rsidP="00B41081">
      <w:pPr>
        <w:pStyle w:val="ListParagraph"/>
        <w:numPr>
          <w:ilvl w:val="0"/>
          <w:numId w:val="3"/>
        </w:numPr>
        <w:rPr>
          <w:rFonts w:ascii="Arial" w:hAnsi="Arial" w:cs="Arial"/>
          <w:sz w:val="20"/>
          <w:szCs w:val="20"/>
        </w:rPr>
      </w:pPr>
      <w:r w:rsidRPr="00616D62">
        <w:rPr>
          <w:rFonts w:ascii="Arial" w:hAnsi="Arial" w:cs="Arial"/>
          <w:sz w:val="20"/>
          <w:szCs w:val="20"/>
        </w:rPr>
        <w:t>Identify Phase I and II progress and further outcomes that need to be maintained;</w:t>
      </w:r>
    </w:p>
    <w:p w:rsidR="00B41081" w:rsidRPr="00616D62" w:rsidRDefault="00B41081" w:rsidP="00B41081">
      <w:pPr>
        <w:pStyle w:val="ListParagraph"/>
        <w:numPr>
          <w:ilvl w:val="0"/>
          <w:numId w:val="3"/>
        </w:numPr>
        <w:rPr>
          <w:rFonts w:ascii="Arial" w:hAnsi="Arial" w:cs="Arial"/>
          <w:sz w:val="20"/>
          <w:szCs w:val="20"/>
        </w:rPr>
      </w:pPr>
      <w:r w:rsidRPr="00616D62">
        <w:rPr>
          <w:rFonts w:ascii="Arial" w:hAnsi="Arial" w:cs="Arial"/>
          <w:sz w:val="20"/>
          <w:szCs w:val="20"/>
        </w:rPr>
        <w:t>Assess the quality of Phases I and II against the DFAT Aid Quality Criteria;</w:t>
      </w:r>
    </w:p>
    <w:p w:rsidR="00B41081" w:rsidRPr="00616D62" w:rsidRDefault="00B41081">
      <w:pPr>
        <w:pStyle w:val="ListParagraph"/>
        <w:numPr>
          <w:ilvl w:val="0"/>
          <w:numId w:val="3"/>
        </w:numPr>
        <w:rPr>
          <w:rFonts w:ascii="Arial" w:hAnsi="Arial" w:cs="Arial"/>
          <w:sz w:val="20"/>
          <w:szCs w:val="20"/>
        </w:rPr>
      </w:pPr>
      <w:r w:rsidRPr="00616D62">
        <w:rPr>
          <w:rFonts w:ascii="Arial" w:hAnsi="Arial" w:cs="Arial"/>
          <w:sz w:val="20"/>
          <w:szCs w:val="20"/>
        </w:rPr>
        <w:t xml:space="preserve">Suggest options that would increase value for money. </w:t>
      </w:r>
    </w:p>
    <w:p w:rsidR="00850022" w:rsidRPr="007E3C31" w:rsidRDefault="00850022" w:rsidP="00850022">
      <w:pPr>
        <w:widowControl/>
        <w:autoSpaceDE/>
        <w:autoSpaceDN/>
        <w:adjustRightInd/>
        <w:spacing w:before="120" w:after="0"/>
        <w:ind w:left="2835" w:hanging="2835"/>
        <w:rPr>
          <w:rFonts w:cs="Arial"/>
          <w:b/>
          <w:sz w:val="20"/>
          <w:lang w:eastAsia="en-US"/>
        </w:rPr>
      </w:pPr>
      <w:r w:rsidRPr="007E3C31">
        <w:rPr>
          <w:rFonts w:cs="Arial"/>
          <w:b/>
          <w:sz w:val="20"/>
          <w:lang w:eastAsia="en-US"/>
        </w:rPr>
        <w:t xml:space="preserve">Evaluation Completion Date: </w:t>
      </w:r>
      <w:r w:rsidR="00B41081" w:rsidRPr="00616D62">
        <w:rPr>
          <w:rFonts w:cs="Arial"/>
          <w:sz w:val="20"/>
          <w:szCs w:val="20"/>
        </w:rPr>
        <w:t xml:space="preserve">28 October 2015 </w:t>
      </w:r>
      <w:r w:rsidRPr="007E3C31">
        <w:rPr>
          <w:rFonts w:cs="Arial"/>
          <w:sz w:val="20"/>
          <w:lang w:eastAsia="en-US"/>
        </w:rPr>
        <w:t>(</w:t>
      </w:r>
      <w:r w:rsidR="00DF68C3">
        <w:rPr>
          <w:rFonts w:cs="Arial"/>
          <w:sz w:val="20"/>
          <w:lang w:eastAsia="en-US"/>
        </w:rPr>
        <w:t>submission</w:t>
      </w:r>
      <w:r w:rsidR="00DF68C3" w:rsidRPr="007E3C31">
        <w:rPr>
          <w:rFonts w:cs="Arial"/>
          <w:sz w:val="20"/>
          <w:lang w:eastAsia="en-US"/>
        </w:rPr>
        <w:t xml:space="preserve"> </w:t>
      </w:r>
      <w:r w:rsidRPr="007E3C31">
        <w:rPr>
          <w:rFonts w:cs="Arial"/>
          <w:sz w:val="20"/>
          <w:lang w:eastAsia="en-US"/>
        </w:rPr>
        <w:t>of final report)</w:t>
      </w:r>
    </w:p>
    <w:p w:rsidR="00850022" w:rsidRPr="007E3C31" w:rsidRDefault="00850022" w:rsidP="00FE0FDC">
      <w:pPr>
        <w:widowControl/>
        <w:autoSpaceDE/>
        <w:autoSpaceDN/>
        <w:adjustRightInd/>
        <w:spacing w:before="120" w:after="0"/>
        <w:rPr>
          <w:rFonts w:cs="Arial"/>
          <w:b/>
          <w:sz w:val="20"/>
          <w:lang w:eastAsia="en-US"/>
        </w:rPr>
      </w:pPr>
      <w:r w:rsidRPr="007E3C31">
        <w:rPr>
          <w:rFonts w:cs="Arial"/>
          <w:b/>
          <w:sz w:val="20"/>
          <w:lang w:eastAsia="en-US"/>
        </w:rPr>
        <w:t xml:space="preserve">Evaluation Team: </w:t>
      </w:r>
      <w:r w:rsidR="00B41081" w:rsidRPr="00616D62">
        <w:rPr>
          <w:rFonts w:cs="Arial"/>
          <w:sz w:val="20"/>
          <w:szCs w:val="20"/>
        </w:rPr>
        <w:t xml:space="preserve">Barry Peddle (Team Leader for </w:t>
      </w:r>
      <w:r w:rsidR="00894A46">
        <w:rPr>
          <w:rFonts w:cs="Arial"/>
          <w:sz w:val="20"/>
          <w:szCs w:val="20"/>
        </w:rPr>
        <w:t>SfEP</w:t>
      </w:r>
      <w:r w:rsidR="00B41081" w:rsidRPr="00616D62">
        <w:rPr>
          <w:rFonts w:cs="Arial"/>
          <w:sz w:val="20"/>
          <w:szCs w:val="20"/>
        </w:rPr>
        <w:t>) and Russell McKay (Economist and M&amp;E Expert)</w:t>
      </w:r>
      <w:r w:rsidR="00DF68C3">
        <w:rPr>
          <w:rFonts w:cs="Arial"/>
          <w:sz w:val="20"/>
          <w:szCs w:val="20"/>
        </w:rPr>
        <w:t xml:space="preserve"> – contracted through Palladium International</w:t>
      </w:r>
      <w:r w:rsidR="00FE0FDC">
        <w:rPr>
          <w:rFonts w:cs="Arial"/>
          <w:sz w:val="20"/>
          <w:szCs w:val="20"/>
        </w:rPr>
        <w:t>.</w:t>
      </w:r>
    </w:p>
    <w:p w:rsidR="008F0823" w:rsidRDefault="008F0823">
      <w:pPr>
        <w:widowControl/>
        <w:autoSpaceDE/>
        <w:autoSpaceDN/>
        <w:adjustRightInd/>
        <w:spacing w:after="0"/>
        <w:rPr>
          <w:rFonts w:cs="Arial"/>
          <w:b/>
          <w:iCs/>
          <w:sz w:val="24"/>
          <w:szCs w:val="22"/>
        </w:rPr>
      </w:pPr>
      <w:r>
        <w:rPr>
          <w:rFonts w:cs="Arial"/>
          <w:b/>
          <w:iCs/>
          <w:sz w:val="24"/>
          <w:szCs w:val="22"/>
        </w:rPr>
        <w:br w:type="page"/>
      </w:r>
    </w:p>
    <w:p w:rsidR="00850022" w:rsidRPr="00221C82" w:rsidRDefault="00850022" w:rsidP="00850022">
      <w:pPr>
        <w:keepNext/>
        <w:spacing w:before="120" w:after="0"/>
        <w:outlineLvl w:val="1"/>
        <w:rPr>
          <w:rFonts w:cs="Arial"/>
          <w:b/>
          <w:iCs/>
          <w:sz w:val="24"/>
          <w:szCs w:val="22"/>
        </w:rPr>
      </w:pPr>
      <w:r w:rsidRPr="00221C82">
        <w:rPr>
          <w:rFonts w:cs="Arial"/>
          <w:b/>
          <w:iCs/>
          <w:sz w:val="24"/>
          <w:szCs w:val="22"/>
        </w:rPr>
        <w:lastRenderedPageBreak/>
        <w:t>Summary of evaluation findings</w:t>
      </w:r>
    </w:p>
    <w:p w:rsidR="00B41081" w:rsidRPr="00616D62" w:rsidRDefault="00B41081" w:rsidP="00B41081">
      <w:pPr>
        <w:spacing w:before="120"/>
        <w:rPr>
          <w:rFonts w:cs="Arial"/>
          <w:sz w:val="20"/>
          <w:szCs w:val="20"/>
        </w:rPr>
      </w:pPr>
      <w:r w:rsidRPr="00616D62">
        <w:rPr>
          <w:rFonts w:cs="Arial"/>
          <w:sz w:val="20"/>
          <w:szCs w:val="20"/>
        </w:rPr>
        <w:t>The Kiribati TVETSSP was designed with two components:</w:t>
      </w:r>
    </w:p>
    <w:p w:rsidR="00B41081" w:rsidRPr="00616D62" w:rsidRDefault="00B41081" w:rsidP="00B41081">
      <w:pPr>
        <w:pStyle w:val="ListParagraph"/>
        <w:numPr>
          <w:ilvl w:val="0"/>
          <w:numId w:val="3"/>
        </w:numPr>
        <w:rPr>
          <w:rFonts w:ascii="Arial" w:hAnsi="Arial" w:cs="Arial"/>
          <w:sz w:val="20"/>
          <w:szCs w:val="20"/>
        </w:rPr>
      </w:pPr>
      <w:r w:rsidRPr="00616D62">
        <w:rPr>
          <w:rFonts w:ascii="Arial" w:hAnsi="Arial" w:cs="Arial"/>
          <w:sz w:val="20"/>
          <w:szCs w:val="20"/>
        </w:rPr>
        <w:t>Component 1: strengthening the organisational capacity of MLHRD to provide policy, planning and oversight services for the TVET sector;</w:t>
      </w:r>
    </w:p>
    <w:p w:rsidR="00B41081" w:rsidRPr="00616D62" w:rsidRDefault="00B41081" w:rsidP="00B41081">
      <w:pPr>
        <w:pStyle w:val="ListParagraph"/>
        <w:numPr>
          <w:ilvl w:val="0"/>
          <w:numId w:val="3"/>
        </w:numPr>
        <w:rPr>
          <w:rFonts w:ascii="Arial" w:hAnsi="Arial" w:cs="Arial"/>
          <w:sz w:val="20"/>
          <w:szCs w:val="20"/>
        </w:rPr>
      </w:pPr>
      <w:r w:rsidRPr="00616D62">
        <w:rPr>
          <w:rFonts w:ascii="Arial" w:hAnsi="Arial" w:cs="Arial"/>
          <w:sz w:val="20"/>
          <w:szCs w:val="20"/>
        </w:rPr>
        <w:t xml:space="preserve">Component 2: increasing the quality, quantity, scope and equity of training delivered by KIT. </w:t>
      </w:r>
    </w:p>
    <w:p w:rsidR="00B41081" w:rsidRPr="00616D62" w:rsidRDefault="00B41081" w:rsidP="00B41081">
      <w:pPr>
        <w:rPr>
          <w:rFonts w:cs="Arial"/>
          <w:sz w:val="20"/>
          <w:szCs w:val="20"/>
        </w:rPr>
      </w:pPr>
      <w:r w:rsidRPr="00616D62">
        <w:rPr>
          <w:rFonts w:cs="Arial"/>
          <w:sz w:val="20"/>
          <w:szCs w:val="20"/>
        </w:rPr>
        <w:t>The evaluation found the program met most of</w:t>
      </w:r>
      <w:r w:rsidR="00D17CF2">
        <w:rPr>
          <w:rFonts w:cs="Arial"/>
          <w:sz w:val="20"/>
          <w:szCs w:val="20"/>
        </w:rPr>
        <w:t xml:space="preserve"> the</w:t>
      </w:r>
      <w:r w:rsidRPr="00616D62">
        <w:rPr>
          <w:rFonts w:cs="Arial"/>
          <w:sz w:val="20"/>
          <w:szCs w:val="20"/>
        </w:rPr>
        <w:t xml:space="preserve"> output targets</w:t>
      </w:r>
      <w:r w:rsidR="00D17CF2">
        <w:rPr>
          <w:rFonts w:cs="Arial"/>
          <w:sz w:val="20"/>
          <w:szCs w:val="20"/>
        </w:rPr>
        <w:t xml:space="preserve"> against the two components</w:t>
      </w:r>
      <w:r w:rsidRPr="00616D62">
        <w:rPr>
          <w:rFonts w:cs="Arial"/>
          <w:sz w:val="20"/>
          <w:szCs w:val="20"/>
        </w:rPr>
        <w:t>.</w:t>
      </w:r>
    </w:p>
    <w:p w:rsidR="00B41081" w:rsidRPr="00616D62" w:rsidRDefault="00B41081" w:rsidP="00B41081">
      <w:pPr>
        <w:rPr>
          <w:rFonts w:cs="Arial"/>
          <w:sz w:val="20"/>
          <w:szCs w:val="20"/>
        </w:rPr>
      </w:pPr>
      <w:r w:rsidRPr="00616D62">
        <w:rPr>
          <w:rFonts w:cs="Arial"/>
          <w:b/>
          <w:sz w:val="20"/>
          <w:szCs w:val="20"/>
        </w:rPr>
        <w:t>Component 1</w:t>
      </w:r>
      <w:r w:rsidRPr="00616D62">
        <w:rPr>
          <w:rFonts w:cs="Arial"/>
          <w:sz w:val="20"/>
          <w:szCs w:val="20"/>
        </w:rPr>
        <w:t xml:space="preserve"> was discontinued in June 2014</w:t>
      </w:r>
      <w:r w:rsidR="00D17CF2">
        <w:rPr>
          <w:rFonts w:cs="Arial"/>
          <w:sz w:val="20"/>
          <w:szCs w:val="20"/>
        </w:rPr>
        <w:t>. A</w:t>
      </w:r>
      <w:r w:rsidRPr="00616D62">
        <w:rPr>
          <w:rFonts w:cs="Arial"/>
          <w:sz w:val="20"/>
          <w:szCs w:val="20"/>
        </w:rPr>
        <w:t xml:space="preserve">s a result, </w:t>
      </w:r>
      <w:r w:rsidR="00D17CF2">
        <w:rPr>
          <w:rFonts w:cs="Arial"/>
          <w:sz w:val="20"/>
          <w:szCs w:val="20"/>
        </w:rPr>
        <w:t xml:space="preserve">the component </w:t>
      </w:r>
      <w:r w:rsidRPr="00616D62">
        <w:rPr>
          <w:rFonts w:cs="Arial"/>
          <w:sz w:val="20"/>
          <w:szCs w:val="20"/>
        </w:rPr>
        <w:t xml:space="preserve">partially achieved its outcome to increase MLHRD’s organisational capacity in the TVET sector. The evaluation found the main area of deficiency related to the establishment of data systems at MLHRD to support strategic and management decision making. </w:t>
      </w:r>
    </w:p>
    <w:p w:rsidR="00B41081" w:rsidRPr="00616D62" w:rsidRDefault="00B41081" w:rsidP="00B41081">
      <w:pPr>
        <w:rPr>
          <w:rFonts w:cs="Arial"/>
          <w:sz w:val="20"/>
          <w:szCs w:val="20"/>
        </w:rPr>
      </w:pPr>
      <w:r w:rsidRPr="00616D62">
        <w:rPr>
          <w:rFonts w:cs="Arial"/>
          <w:b/>
          <w:sz w:val="20"/>
          <w:szCs w:val="20"/>
        </w:rPr>
        <w:t xml:space="preserve">Component 2 </w:t>
      </w:r>
      <w:r w:rsidR="00DF68C3" w:rsidRPr="00616D62">
        <w:rPr>
          <w:rFonts w:cs="Arial"/>
          <w:sz w:val="20"/>
          <w:szCs w:val="20"/>
        </w:rPr>
        <w:t>ha</w:t>
      </w:r>
      <w:r w:rsidR="00DF68C3">
        <w:rPr>
          <w:rFonts w:cs="Arial"/>
          <w:sz w:val="20"/>
          <w:szCs w:val="20"/>
        </w:rPr>
        <w:t>s</w:t>
      </w:r>
      <w:r w:rsidR="00DF68C3" w:rsidRPr="00616D62">
        <w:rPr>
          <w:rFonts w:cs="Arial"/>
          <w:sz w:val="20"/>
          <w:szCs w:val="20"/>
        </w:rPr>
        <w:t xml:space="preserve"> </w:t>
      </w:r>
      <w:r w:rsidRPr="00616D62">
        <w:rPr>
          <w:rFonts w:cs="Arial"/>
          <w:sz w:val="20"/>
          <w:szCs w:val="20"/>
        </w:rPr>
        <w:t>progressed in achieving its outcome</w:t>
      </w:r>
      <w:r w:rsidRPr="00616D62">
        <w:rPr>
          <w:rFonts w:cs="Arial"/>
          <w:b/>
          <w:sz w:val="20"/>
          <w:szCs w:val="20"/>
        </w:rPr>
        <w:t xml:space="preserve"> </w:t>
      </w:r>
      <w:r w:rsidRPr="00616D62">
        <w:rPr>
          <w:rFonts w:cs="Arial"/>
          <w:sz w:val="20"/>
          <w:szCs w:val="20"/>
        </w:rPr>
        <w:t xml:space="preserve">of increasing the quality, quantity, scope and equity of training delivered by KIT. The evaluation found significant capacity increases </w:t>
      </w:r>
      <w:r w:rsidR="00DF68C3">
        <w:rPr>
          <w:rFonts w:cs="Arial"/>
          <w:sz w:val="20"/>
          <w:szCs w:val="20"/>
        </w:rPr>
        <w:t>have</w:t>
      </w:r>
      <w:r w:rsidR="00DF68C3" w:rsidRPr="00616D62">
        <w:rPr>
          <w:rFonts w:cs="Arial"/>
          <w:sz w:val="20"/>
          <w:szCs w:val="20"/>
        </w:rPr>
        <w:t xml:space="preserve"> </w:t>
      </w:r>
      <w:r w:rsidRPr="00616D62">
        <w:rPr>
          <w:rFonts w:cs="Arial"/>
          <w:sz w:val="20"/>
          <w:szCs w:val="20"/>
        </w:rPr>
        <w:t>been noted for KIT training staff and their ability to deliver Australian standard qualifications. Selected achievements include:</w:t>
      </w:r>
    </w:p>
    <w:p w:rsidR="00B41081" w:rsidRPr="00616D62" w:rsidRDefault="00B41081" w:rsidP="00B41081">
      <w:pPr>
        <w:pStyle w:val="ListParagraph"/>
        <w:numPr>
          <w:ilvl w:val="0"/>
          <w:numId w:val="3"/>
        </w:numPr>
        <w:rPr>
          <w:rFonts w:ascii="Arial" w:hAnsi="Arial" w:cs="Arial"/>
          <w:sz w:val="20"/>
          <w:szCs w:val="20"/>
        </w:rPr>
      </w:pPr>
      <w:r w:rsidRPr="00616D62">
        <w:rPr>
          <w:rFonts w:ascii="Arial" w:hAnsi="Arial" w:cs="Arial"/>
          <w:sz w:val="20"/>
          <w:szCs w:val="20"/>
        </w:rPr>
        <w:t>Construction of improved KIT facilities to help increase the number of places;</w:t>
      </w:r>
    </w:p>
    <w:p w:rsidR="00B41081" w:rsidRPr="00616D62" w:rsidRDefault="00B41081" w:rsidP="00B41081">
      <w:pPr>
        <w:pStyle w:val="ListParagraph"/>
        <w:numPr>
          <w:ilvl w:val="0"/>
          <w:numId w:val="3"/>
        </w:numPr>
        <w:rPr>
          <w:rFonts w:ascii="Arial" w:hAnsi="Arial" w:cs="Arial"/>
          <w:sz w:val="20"/>
          <w:szCs w:val="20"/>
        </w:rPr>
      </w:pPr>
      <w:r w:rsidRPr="00616D62">
        <w:rPr>
          <w:rFonts w:ascii="Arial" w:hAnsi="Arial" w:cs="Arial"/>
          <w:sz w:val="20"/>
          <w:szCs w:val="20"/>
        </w:rPr>
        <w:t xml:space="preserve">Standard of teaching quality </w:t>
      </w:r>
      <w:r w:rsidR="00DF68C3" w:rsidRPr="00616D62">
        <w:rPr>
          <w:rFonts w:ascii="Arial" w:hAnsi="Arial" w:cs="Arial"/>
          <w:sz w:val="20"/>
          <w:szCs w:val="20"/>
        </w:rPr>
        <w:t>ha</w:t>
      </w:r>
      <w:r w:rsidR="00DF68C3">
        <w:rPr>
          <w:rFonts w:ascii="Arial" w:hAnsi="Arial" w:cs="Arial"/>
          <w:sz w:val="20"/>
          <w:szCs w:val="20"/>
        </w:rPr>
        <w:t>s</w:t>
      </w:r>
      <w:r w:rsidR="00DF68C3" w:rsidRPr="00616D62">
        <w:rPr>
          <w:rFonts w:ascii="Arial" w:hAnsi="Arial" w:cs="Arial"/>
          <w:sz w:val="20"/>
          <w:szCs w:val="20"/>
        </w:rPr>
        <w:t xml:space="preserve"> </w:t>
      </w:r>
      <w:r w:rsidRPr="00616D62">
        <w:rPr>
          <w:rFonts w:ascii="Arial" w:hAnsi="Arial" w:cs="Arial"/>
          <w:sz w:val="20"/>
          <w:szCs w:val="20"/>
        </w:rPr>
        <w:t>risen to recognised international levels;</w:t>
      </w:r>
    </w:p>
    <w:p w:rsidR="00B41081" w:rsidRPr="00616D62" w:rsidRDefault="00B41081" w:rsidP="00B41081">
      <w:pPr>
        <w:pStyle w:val="ListParagraph"/>
        <w:numPr>
          <w:ilvl w:val="0"/>
          <w:numId w:val="3"/>
        </w:numPr>
        <w:rPr>
          <w:rFonts w:ascii="Arial" w:hAnsi="Arial" w:cs="Arial"/>
          <w:sz w:val="20"/>
          <w:szCs w:val="20"/>
        </w:rPr>
      </w:pPr>
      <w:r w:rsidRPr="00616D62">
        <w:rPr>
          <w:rFonts w:ascii="Arial" w:hAnsi="Arial" w:cs="Arial"/>
          <w:sz w:val="20"/>
          <w:szCs w:val="20"/>
        </w:rPr>
        <w:t xml:space="preserve">TVET advisory mechanisms </w:t>
      </w:r>
      <w:r w:rsidR="00DF68C3">
        <w:rPr>
          <w:rFonts w:ascii="Arial" w:hAnsi="Arial" w:cs="Arial"/>
          <w:sz w:val="20"/>
          <w:szCs w:val="20"/>
        </w:rPr>
        <w:t>are</w:t>
      </w:r>
      <w:r w:rsidR="00DF68C3" w:rsidRPr="00616D62">
        <w:rPr>
          <w:rFonts w:ascii="Arial" w:hAnsi="Arial" w:cs="Arial"/>
          <w:sz w:val="20"/>
          <w:szCs w:val="20"/>
        </w:rPr>
        <w:t xml:space="preserve"> </w:t>
      </w:r>
      <w:r w:rsidRPr="00616D62">
        <w:rPr>
          <w:rFonts w:ascii="Arial" w:hAnsi="Arial" w:cs="Arial"/>
          <w:sz w:val="20"/>
          <w:szCs w:val="20"/>
        </w:rPr>
        <w:t xml:space="preserve">working well and </w:t>
      </w:r>
      <w:r w:rsidR="00DF68C3">
        <w:rPr>
          <w:rFonts w:ascii="Arial" w:hAnsi="Arial" w:cs="Arial"/>
          <w:sz w:val="20"/>
          <w:szCs w:val="20"/>
        </w:rPr>
        <w:t>have</w:t>
      </w:r>
      <w:r w:rsidR="00DF68C3" w:rsidRPr="00616D62">
        <w:rPr>
          <w:rFonts w:ascii="Arial" w:hAnsi="Arial" w:cs="Arial"/>
          <w:sz w:val="20"/>
          <w:szCs w:val="20"/>
        </w:rPr>
        <w:t xml:space="preserve"> </w:t>
      </w:r>
      <w:r w:rsidRPr="00616D62">
        <w:rPr>
          <w:rFonts w:ascii="Arial" w:hAnsi="Arial" w:cs="Arial"/>
          <w:sz w:val="20"/>
          <w:szCs w:val="20"/>
        </w:rPr>
        <w:t>transitioned TVET delivery from a supply to a demand led training model with industry support;</w:t>
      </w:r>
    </w:p>
    <w:p w:rsidR="00B41081" w:rsidRPr="00E9549A" w:rsidRDefault="00B41081" w:rsidP="00B41081">
      <w:pPr>
        <w:pStyle w:val="ListParagraph"/>
        <w:numPr>
          <w:ilvl w:val="0"/>
          <w:numId w:val="3"/>
        </w:numPr>
        <w:rPr>
          <w:rFonts w:ascii="Arial" w:hAnsi="Arial" w:cs="Arial"/>
          <w:sz w:val="20"/>
          <w:szCs w:val="20"/>
        </w:rPr>
      </w:pPr>
      <w:r w:rsidRPr="00E9549A">
        <w:rPr>
          <w:rFonts w:ascii="Arial" w:hAnsi="Arial" w:cs="Arial"/>
          <w:sz w:val="20"/>
          <w:szCs w:val="20"/>
        </w:rPr>
        <w:t xml:space="preserve">Transition to work activities </w:t>
      </w:r>
      <w:r w:rsidR="00DF68C3" w:rsidRPr="00E9549A">
        <w:rPr>
          <w:rFonts w:ascii="Arial" w:hAnsi="Arial" w:cs="Arial"/>
          <w:sz w:val="20"/>
          <w:szCs w:val="20"/>
        </w:rPr>
        <w:t xml:space="preserve">have </w:t>
      </w:r>
      <w:r w:rsidRPr="00E9549A">
        <w:rPr>
          <w:rFonts w:ascii="Arial" w:hAnsi="Arial" w:cs="Arial"/>
          <w:sz w:val="20"/>
          <w:szCs w:val="20"/>
        </w:rPr>
        <w:t>some success in achieving employment outcomes;</w:t>
      </w:r>
    </w:p>
    <w:p w:rsidR="00B41081" w:rsidRPr="00616D62" w:rsidRDefault="00D17CF2" w:rsidP="00B41081">
      <w:pPr>
        <w:pStyle w:val="ListParagraph"/>
        <w:numPr>
          <w:ilvl w:val="0"/>
          <w:numId w:val="3"/>
        </w:numPr>
        <w:rPr>
          <w:rFonts w:ascii="Arial" w:hAnsi="Arial" w:cs="Arial"/>
          <w:sz w:val="20"/>
          <w:szCs w:val="20"/>
        </w:rPr>
      </w:pPr>
      <w:r>
        <w:rPr>
          <w:rFonts w:ascii="Arial" w:hAnsi="Arial" w:cs="Arial"/>
          <w:sz w:val="20"/>
          <w:szCs w:val="20"/>
        </w:rPr>
        <w:t>KIT-</w:t>
      </w:r>
      <w:r w:rsidR="00E9549A">
        <w:rPr>
          <w:rFonts w:ascii="Arial" w:hAnsi="Arial" w:cs="Arial"/>
          <w:sz w:val="20"/>
          <w:szCs w:val="20"/>
        </w:rPr>
        <w:t xml:space="preserve"> Australia Pacific Technical College (</w:t>
      </w:r>
      <w:r>
        <w:rPr>
          <w:rFonts w:ascii="Arial" w:hAnsi="Arial" w:cs="Arial"/>
          <w:sz w:val="20"/>
          <w:szCs w:val="20"/>
        </w:rPr>
        <w:t>APT</w:t>
      </w:r>
      <w:r w:rsidR="00B41081" w:rsidRPr="00616D62">
        <w:rPr>
          <w:rFonts w:ascii="Arial" w:hAnsi="Arial" w:cs="Arial"/>
          <w:sz w:val="20"/>
          <w:szCs w:val="20"/>
        </w:rPr>
        <w:t>C</w:t>
      </w:r>
      <w:r w:rsidR="00E9549A">
        <w:rPr>
          <w:rFonts w:ascii="Arial" w:hAnsi="Arial" w:cs="Arial"/>
          <w:sz w:val="20"/>
          <w:szCs w:val="20"/>
        </w:rPr>
        <w:t>)</w:t>
      </w:r>
      <w:r w:rsidR="00B41081" w:rsidRPr="00616D62">
        <w:rPr>
          <w:rFonts w:ascii="Arial" w:hAnsi="Arial" w:cs="Arial"/>
          <w:sz w:val="20"/>
          <w:szCs w:val="20"/>
        </w:rPr>
        <w:t xml:space="preserve"> pathway has provided access to Australian certificate III level qualifications; </w:t>
      </w:r>
    </w:p>
    <w:p w:rsidR="00B41081" w:rsidRPr="00616D62" w:rsidRDefault="00B41081" w:rsidP="00B41081">
      <w:pPr>
        <w:pStyle w:val="ListParagraph"/>
        <w:numPr>
          <w:ilvl w:val="0"/>
          <w:numId w:val="3"/>
        </w:numPr>
        <w:rPr>
          <w:rFonts w:ascii="Arial" w:hAnsi="Arial" w:cs="Arial"/>
          <w:sz w:val="20"/>
          <w:szCs w:val="20"/>
        </w:rPr>
      </w:pPr>
      <w:r w:rsidRPr="00616D62">
        <w:rPr>
          <w:rFonts w:ascii="Arial" w:hAnsi="Arial" w:cs="Arial"/>
          <w:sz w:val="20"/>
          <w:szCs w:val="20"/>
        </w:rPr>
        <w:t>Employers</w:t>
      </w:r>
      <w:r w:rsidR="00DF68C3">
        <w:rPr>
          <w:rFonts w:ascii="Arial" w:hAnsi="Arial" w:cs="Arial"/>
          <w:sz w:val="20"/>
          <w:szCs w:val="20"/>
        </w:rPr>
        <w:t xml:space="preserve"> have</w:t>
      </w:r>
      <w:r w:rsidRPr="00616D62">
        <w:rPr>
          <w:rFonts w:ascii="Arial" w:hAnsi="Arial" w:cs="Arial"/>
          <w:sz w:val="20"/>
          <w:szCs w:val="20"/>
        </w:rPr>
        <w:t xml:space="preserve"> found that KIT and APTC graduates have good soft skills, making them worthwhile employees (whilst recognising</w:t>
      </w:r>
      <w:r w:rsidR="00D17CF2">
        <w:rPr>
          <w:rFonts w:ascii="Arial" w:hAnsi="Arial" w:cs="Arial"/>
          <w:sz w:val="20"/>
          <w:szCs w:val="20"/>
        </w:rPr>
        <w:t xml:space="preserve"> that</w:t>
      </w:r>
      <w:r w:rsidRPr="00616D62">
        <w:rPr>
          <w:rFonts w:ascii="Arial" w:hAnsi="Arial" w:cs="Arial"/>
          <w:sz w:val="20"/>
          <w:szCs w:val="20"/>
        </w:rPr>
        <w:t xml:space="preserve"> further skills development is essential). </w:t>
      </w:r>
    </w:p>
    <w:p w:rsidR="00C328FF" w:rsidRDefault="00B41081" w:rsidP="00C328FF">
      <w:pPr>
        <w:rPr>
          <w:rFonts w:cs="Arial"/>
          <w:sz w:val="20"/>
          <w:szCs w:val="20"/>
        </w:rPr>
      </w:pPr>
      <w:r w:rsidRPr="00616D62">
        <w:rPr>
          <w:rFonts w:cs="Arial"/>
          <w:sz w:val="20"/>
          <w:szCs w:val="20"/>
        </w:rPr>
        <w:t xml:space="preserve">The evaluation also found the program’s component outcomes </w:t>
      </w:r>
      <w:r w:rsidR="00DF68C3">
        <w:rPr>
          <w:rFonts w:cs="Arial"/>
          <w:sz w:val="20"/>
          <w:szCs w:val="20"/>
        </w:rPr>
        <w:t>have been</w:t>
      </w:r>
      <w:r w:rsidR="00DF68C3" w:rsidRPr="00616D62">
        <w:rPr>
          <w:rFonts w:cs="Arial"/>
          <w:sz w:val="20"/>
          <w:szCs w:val="20"/>
        </w:rPr>
        <w:t xml:space="preserve"> </w:t>
      </w:r>
      <w:r w:rsidRPr="00616D62">
        <w:rPr>
          <w:rFonts w:cs="Arial"/>
          <w:sz w:val="20"/>
          <w:szCs w:val="20"/>
        </w:rPr>
        <w:t>mostly achieved. However, there was not much data or evidence to suggest that there ha</w:t>
      </w:r>
      <w:r w:rsidR="00D44F75">
        <w:rPr>
          <w:rFonts w:cs="Arial"/>
          <w:sz w:val="20"/>
          <w:szCs w:val="20"/>
        </w:rPr>
        <w:t>d been significant contribution</w:t>
      </w:r>
      <w:r w:rsidRPr="00616D62">
        <w:rPr>
          <w:rFonts w:cs="Arial"/>
          <w:sz w:val="20"/>
          <w:szCs w:val="20"/>
        </w:rPr>
        <w:t xml:space="preserve"> to the three sector result areas</w:t>
      </w:r>
      <w:r w:rsidR="00DF68C3">
        <w:rPr>
          <w:rFonts w:cs="Arial"/>
          <w:sz w:val="20"/>
          <w:szCs w:val="20"/>
        </w:rPr>
        <w:t>—</w:t>
      </w:r>
      <w:r w:rsidR="00DF68C3" w:rsidRPr="00FE0FDC">
        <w:rPr>
          <w:rFonts w:cs="Arial"/>
          <w:sz w:val="20"/>
          <w:szCs w:val="20"/>
        </w:rPr>
        <w:t xml:space="preserve">further study or </w:t>
      </w:r>
      <w:r w:rsidR="00DF68C3" w:rsidRPr="00E9549A">
        <w:rPr>
          <w:rFonts w:cs="Arial"/>
          <w:sz w:val="20"/>
          <w:szCs w:val="20"/>
        </w:rPr>
        <w:t>local employment</w:t>
      </w:r>
      <w:r w:rsidR="000E582F" w:rsidRPr="00E9549A">
        <w:rPr>
          <w:rFonts w:cs="Arial"/>
          <w:sz w:val="20"/>
          <w:szCs w:val="20"/>
        </w:rPr>
        <w:t>;</w:t>
      </w:r>
      <w:r w:rsidR="00DF68C3" w:rsidRPr="00FE0FDC">
        <w:rPr>
          <w:rFonts w:cs="Arial"/>
          <w:sz w:val="20"/>
          <w:szCs w:val="20"/>
        </w:rPr>
        <w:t xml:space="preserve"> productivity improvement in Kiribati</w:t>
      </w:r>
      <w:r w:rsidR="000E582F">
        <w:rPr>
          <w:rFonts w:cs="Arial"/>
          <w:sz w:val="20"/>
          <w:szCs w:val="20"/>
        </w:rPr>
        <w:t>;</w:t>
      </w:r>
      <w:r w:rsidR="00DF68C3" w:rsidRPr="00FE0FDC">
        <w:rPr>
          <w:rFonts w:cs="Arial"/>
          <w:sz w:val="20"/>
          <w:szCs w:val="20"/>
        </w:rPr>
        <w:t xml:space="preserve"> and international employment</w:t>
      </w:r>
      <w:r w:rsidRPr="00616D62">
        <w:rPr>
          <w:rFonts w:cs="Arial"/>
          <w:sz w:val="20"/>
          <w:szCs w:val="20"/>
        </w:rPr>
        <w:t>.</w:t>
      </w:r>
      <w:r w:rsidR="00B7752A">
        <w:rPr>
          <w:rFonts w:cs="Arial"/>
          <w:sz w:val="20"/>
          <w:szCs w:val="20"/>
        </w:rPr>
        <w:t xml:space="preserve"> </w:t>
      </w:r>
      <w:r w:rsidRPr="00616D62">
        <w:rPr>
          <w:rFonts w:cs="Arial"/>
          <w:sz w:val="20"/>
          <w:szCs w:val="20"/>
        </w:rPr>
        <w:t>While the e</w:t>
      </w:r>
      <w:r w:rsidR="00B07EEB">
        <w:rPr>
          <w:rFonts w:cs="Arial"/>
          <w:sz w:val="20"/>
          <w:szCs w:val="20"/>
        </w:rPr>
        <w:t>valuation acknowledged that the achievement of these outcomes</w:t>
      </w:r>
      <w:r w:rsidRPr="00616D62">
        <w:rPr>
          <w:rFonts w:cs="Arial"/>
          <w:sz w:val="20"/>
          <w:szCs w:val="20"/>
        </w:rPr>
        <w:t xml:space="preserve"> was not the sole responsibility of TVETSSP, the</w:t>
      </w:r>
      <w:r w:rsidR="00B07EEB">
        <w:rPr>
          <w:rFonts w:cs="Arial"/>
          <w:sz w:val="20"/>
          <w:szCs w:val="20"/>
        </w:rPr>
        <w:t xml:space="preserve"> program appeared to have </w:t>
      </w:r>
      <w:r w:rsidRPr="00616D62">
        <w:rPr>
          <w:rFonts w:cs="Arial"/>
          <w:sz w:val="20"/>
          <w:szCs w:val="20"/>
        </w:rPr>
        <w:t>underestimated the impact of other factors outside the scope of the program</w:t>
      </w:r>
      <w:r w:rsidR="00B07EEB">
        <w:rPr>
          <w:rFonts w:cs="Arial"/>
          <w:sz w:val="20"/>
          <w:szCs w:val="20"/>
        </w:rPr>
        <w:t xml:space="preserve"> to the achievement of these outcomes</w:t>
      </w:r>
      <w:r w:rsidRPr="00616D62">
        <w:rPr>
          <w:rFonts w:cs="Arial"/>
          <w:sz w:val="20"/>
          <w:szCs w:val="20"/>
        </w:rPr>
        <w:t xml:space="preserve">. </w:t>
      </w:r>
    </w:p>
    <w:p w:rsidR="00850022" w:rsidRPr="007E3C31" w:rsidRDefault="00C328FF" w:rsidP="00C328FF">
      <w:pPr>
        <w:rPr>
          <w:rFonts w:cs="Arial"/>
          <w:b/>
          <w:iCs/>
          <w:sz w:val="24"/>
          <w:szCs w:val="22"/>
        </w:rPr>
      </w:pPr>
      <w:r>
        <w:rPr>
          <w:rFonts w:cs="Arial"/>
          <w:b/>
          <w:iCs/>
          <w:sz w:val="24"/>
          <w:szCs w:val="22"/>
        </w:rPr>
        <w:t>D</w:t>
      </w:r>
      <w:r w:rsidR="00850022" w:rsidRPr="007E3C31">
        <w:rPr>
          <w:rFonts w:cs="Arial"/>
          <w:b/>
          <w:iCs/>
          <w:sz w:val="24"/>
          <w:szCs w:val="22"/>
        </w:rPr>
        <w:t>FAT’s response to the evaluation report</w:t>
      </w:r>
    </w:p>
    <w:p w:rsidR="00B41081" w:rsidRPr="00616D62" w:rsidRDefault="00B41081" w:rsidP="00B41081">
      <w:pPr>
        <w:spacing w:before="120"/>
        <w:rPr>
          <w:rFonts w:cs="Arial"/>
          <w:sz w:val="20"/>
          <w:szCs w:val="20"/>
        </w:rPr>
      </w:pPr>
      <w:r w:rsidRPr="00616D62">
        <w:rPr>
          <w:rFonts w:cs="Arial"/>
          <w:sz w:val="20"/>
          <w:szCs w:val="20"/>
        </w:rPr>
        <w:t xml:space="preserve">DFAT is of the view that the evaluation provides a balanced assessment of TVETSSP’s strengths and weaknesses. We agree with </w:t>
      </w:r>
      <w:r w:rsidR="003C2EDF">
        <w:rPr>
          <w:rFonts w:cs="Arial"/>
          <w:sz w:val="20"/>
          <w:szCs w:val="20"/>
        </w:rPr>
        <w:t>most</w:t>
      </w:r>
      <w:r w:rsidR="003C2EDF" w:rsidRPr="00616D62">
        <w:rPr>
          <w:rFonts w:cs="Arial"/>
          <w:sz w:val="20"/>
          <w:szCs w:val="20"/>
        </w:rPr>
        <w:t xml:space="preserve"> </w:t>
      </w:r>
      <w:r w:rsidRPr="00616D62">
        <w:rPr>
          <w:rFonts w:cs="Arial"/>
          <w:sz w:val="20"/>
          <w:szCs w:val="20"/>
        </w:rPr>
        <w:t xml:space="preserve">of its findings, conclusions and recommendations and see it as a useful basis for reflection and further discussion. The evaluation identifies a number of opportunities to recalibrate the program </w:t>
      </w:r>
      <w:r w:rsidR="00B7752A">
        <w:rPr>
          <w:rFonts w:cs="Arial"/>
          <w:sz w:val="20"/>
          <w:szCs w:val="20"/>
        </w:rPr>
        <w:t>through</w:t>
      </w:r>
      <w:r w:rsidRPr="00616D62">
        <w:rPr>
          <w:rFonts w:cs="Arial"/>
          <w:sz w:val="20"/>
          <w:szCs w:val="20"/>
        </w:rPr>
        <w:t xml:space="preserve"> the design of</w:t>
      </w:r>
      <w:r w:rsidR="001F1FB9">
        <w:rPr>
          <w:rFonts w:cs="Arial"/>
          <w:sz w:val="20"/>
          <w:szCs w:val="20"/>
        </w:rPr>
        <w:t xml:space="preserve"> the subsequent phase (SfEP). </w:t>
      </w:r>
      <w:r w:rsidRPr="00616D62">
        <w:rPr>
          <w:rFonts w:cs="Arial"/>
          <w:sz w:val="20"/>
          <w:szCs w:val="20"/>
        </w:rPr>
        <w:t xml:space="preserve">   </w:t>
      </w:r>
    </w:p>
    <w:p w:rsidR="00850022" w:rsidRDefault="00850022" w:rsidP="00850022">
      <w:pPr>
        <w:keepNext/>
        <w:spacing w:before="120" w:after="0"/>
        <w:outlineLvl w:val="1"/>
        <w:rPr>
          <w:rFonts w:cs="Arial"/>
          <w:b/>
          <w:iCs/>
          <w:sz w:val="24"/>
          <w:szCs w:val="22"/>
        </w:rPr>
      </w:pPr>
      <w:r w:rsidRPr="00221C82">
        <w:rPr>
          <w:rFonts w:cs="Arial"/>
          <w:b/>
          <w:iCs/>
          <w:sz w:val="24"/>
          <w:szCs w:val="22"/>
        </w:rPr>
        <w:t xml:space="preserve">DFAT’s response to the recommendations </w:t>
      </w:r>
      <w:r w:rsidR="00B41081">
        <w:rPr>
          <w:rFonts w:cs="Arial"/>
          <w:b/>
          <w:iCs/>
          <w:sz w:val="24"/>
          <w:szCs w:val="22"/>
        </w:rPr>
        <w:t>made in the evaluation report</w:t>
      </w:r>
    </w:p>
    <w:p w:rsidR="00B41081" w:rsidRPr="00616D62" w:rsidRDefault="00B41081" w:rsidP="00B41081">
      <w:pPr>
        <w:rPr>
          <w:rFonts w:cs="Arial"/>
          <w:sz w:val="20"/>
          <w:szCs w:val="20"/>
        </w:rPr>
      </w:pPr>
      <w:r w:rsidRPr="00616D62">
        <w:rPr>
          <w:rFonts w:cs="Arial"/>
          <w:sz w:val="20"/>
          <w:szCs w:val="20"/>
        </w:rPr>
        <w:t xml:space="preserve">The evaluation made sixteen recommendations clustered under five headings. DFAT’s response to each recommendation is listed below. </w:t>
      </w:r>
    </w:p>
    <w:p w:rsidR="00C328FF" w:rsidRDefault="00C328FF" w:rsidP="00B41081">
      <w:pPr>
        <w:rPr>
          <w:rFonts w:cs="Arial"/>
          <w:b/>
          <w:sz w:val="20"/>
          <w:szCs w:val="20"/>
          <w:u w:val="single"/>
        </w:rPr>
      </w:pPr>
    </w:p>
    <w:p w:rsidR="00C328FF" w:rsidRPr="00C328FF" w:rsidRDefault="00C328FF" w:rsidP="00B41081">
      <w:pPr>
        <w:rPr>
          <w:rFonts w:cs="Arial"/>
          <w:b/>
          <w:szCs w:val="22"/>
        </w:rPr>
      </w:pPr>
      <w:r w:rsidRPr="00C328FF">
        <w:rPr>
          <w:rFonts w:cs="Arial"/>
          <w:b/>
          <w:szCs w:val="22"/>
        </w:rPr>
        <w:lastRenderedPageBreak/>
        <w:t>Quality Training Delivery</w:t>
      </w:r>
    </w:p>
    <w:tbl>
      <w:tblPr>
        <w:tblpPr w:leftFromText="180" w:rightFromText="180" w:vertAnchor="text" w:tblpY="1"/>
        <w:tblOverlap w:val="never"/>
        <w:tblW w:w="12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40"/>
        <w:gridCol w:w="10"/>
        <w:gridCol w:w="9544"/>
      </w:tblGrid>
      <w:tr w:rsidR="00C328FF" w:rsidRPr="007E3C31" w:rsidTr="00C328FF">
        <w:trPr>
          <w:cantSplit/>
          <w:trHeight w:val="135"/>
          <w:tblHeader/>
        </w:trPr>
        <w:tc>
          <w:tcPr>
            <w:tcW w:w="3440" w:type="dxa"/>
            <w:shd w:val="clear" w:color="auto" w:fill="E0E0E0"/>
            <w:vAlign w:val="center"/>
          </w:tcPr>
          <w:p w:rsidR="00C328FF" w:rsidRPr="007E3C31" w:rsidRDefault="00C328FF" w:rsidP="000477F4">
            <w:pPr>
              <w:widowControl/>
              <w:autoSpaceDE/>
              <w:autoSpaceDN/>
              <w:adjustRightInd/>
              <w:spacing w:before="120"/>
              <w:rPr>
                <w:rFonts w:cs="Arial"/>
                <w:b/>
                <w:sz w:val="20"/>
                <w:lang w:eastAsia="en-US"/>
              </w:rPr>
            </w:pPr>
            <w:r>
              <w:rPr>
                <w:rFonts w:cs="Arial"/>
                <w:b/>
                <w:sz w:val="20"/>
                <w:lang w:eastAsia="en-US"/>
              </w:rPr>
              <w:t>Recommendation 1</w:t>
            </w:r>
          </w:p>
        </w:tc>
        <w:tc>
          <w:tcPr>
            <w:tcW w:w="9554" w:type="dxa"/>
            <w:gridSpan w:val="2"/>
            <w:shd w:val="clear" w:color="auto" w:fill="E0E0E0"/>
            <w:vAlign w:val="center"/>
          </w:tcPr>
          <w:p w:rsidR="00C328FF" w:rsidRPr="00C328FF" w:rsidRDefault="00C328FF" w:rsidP="000477F4">
            <w:pPr>
              <w:widowControl/>
              <w:autoSpaceDE/>
              <w:autoSpaceDN/>
              <w:adjustRightInd/>
              <w:spacing w:before="120"/>
              <w:rPr>
                <w:rFonts w:cs="Arial"/>
                <w:b/>
                <w:sz w:val="20"/>
                <w:lang w:eastAsia="en-US"/>
              </w:rPr>
            </w:pPr>
            <w:r w:rsidRPr="00C328FF">
              <w:rPr>
                <w:rFonts w:cs="Arial"/>
                <w:b/>
                <w:sz w:val="20"/>
                <w:szCs w:val="20"/>
              </w:rPr>
              <w:t>Increase the number of graduates from KIT</w:t>
            </w:r>
            <w:r w:rsidR="00EC63E2">
              <w:rPr>
                <w:rFonts w:cs="Arial"/>
                <w:b/>
                <w:sz w:val="20"/>
                <w:szCs w:val="20"/>
              </w:rPr>
              <w:t>.</w:t>
            </w:r>
          </w:p>
        </w:tc>
      </w:tr>
      <w:tr w:rsidR="00C328FF" w:rsidRPr="007E3C31" w:rsidTr="00FE0FDC">
        <w:trPr>
          <w:cantSplit/>
          <w:trHeight w:val="502"/>
        </w:trPr>
        <w:tc>
          <w:tcPr>
            <w:tcW w:w="12994" w:type="dxa"/>
            <w:gridSpan w:val="3"/>
            <w:shd w:val="clear" w:color="auto" w:fill="auto"/>
          </w:tcPr>
          <w:p w:rsidR="00C328FF" w:rsidRPr="007E3C31" w:rsidRDefault="00C328FF" w:rsidP="000E582F">
            <w:pPr>
              <w:rPr>
                <w:rFonts w:cs="Arial"/>
                <w:sz w:val="20"/>
                <w:szCs w:val="20"/>
                <w:lang w:eastAsia="en-US"/>
              </w:rPr>
            </w:pPr>
            <w:r w:rsidRPr="00616D62">
              <w:rPr>
                <w:rFonts w:cs="Arial"/>
                <w:b/>
                <w:sz w:val="20"/>
                <w:szCs w:val="20"/>
              </w:rPr>
              <w:t>DFAT response</w:t>
            </w:r>
            <w:r w:rsidRPr="00616D62">
              <w:rPr>
                <w:rFonts w:cs="Arial"/>
                <w:sz w:val="20"/>
                <w:szCs w:val="20"/>
              </w:rPr>
              <w:t xml:space="preserve">: Agree.  </w:t>
            </w:r>
            <w:r w:rsidR="000531BF">
              <w:rPr>
                <w:rFonts w:cs="Arial"/>
                <w:sz w:val="20"/>
                <w:szCs w:val="20"/>
              </w:rPr>
              <w:t xml:space="preserve">DFAT </w:t>
            </w:r>
            <w:r w:rsidR="000E582F">
              <w:rPr>
                <w:rFonts w:cs="Arial"/>
                <w:sz w:val="20"/>
                <w:szCs w:val="20"/>
              </w:rPr>
              <w:t>will direct</w:t>
            </w:r>
            <w:r w:rsidR="000531BF">
              <w:rPr>
                <w:rFonts w:cs="Arial"/>
                <w:sz w:val="20"/>
                <w:szCs w:val="20"/>
              </w:rPr>
              <w:t xml:space="preserve"> the managing contractor</w:t>
            </w:r>
            <w:r w:rsidR="000E582F">
              <w:rPr>
                <w:rFonts w:cs="Arial"/>
                <w:sz w:val="20"/>
                <w:szCs w:val="20"/>
              </w:rPr>
              <w:t xml:space="preserve"> for SfEP</w:t>
            </w:r>
            <w:r w:rsidR="000531BF">
              <w:rPr>
                <w:rFonts w:cs="Arial"/>
                <w:sz w:val="20"/>
                <w:szCs w:val="20"/>
              </w:rPr>
              <w:t xml:space="preserve"> to</w:t>
            </w:r>
            <w:r w:rsidR="00A514D2">
              <w:rPr>
                <w:rFonts w:cs="Arial"/>
                <w:sz w:val="20"/>
                <w:szCs w:val="20"/>
              </w:rPr>
              <w:t xml:space="preserve"> look at</w:t>
            </w:r>
            <w:r w:rsidR="000531BF">
              <w:rPr>
                <w:rFonts w:cs="Arial"/>
                <w:sz w:val="20"/>
                <w:szCs w:val="20"/>
              </w:rPr>
              <w:t xml:space="preserve"> </w:t>
            </w:r>
            <w:r w:rsidR="00A514D2">
              <w:rPr>
                <w:rFonts w:cs="Arial"/>
                <w:sz w:val="20"/>
                <w:szCs w:val="20"/>
              </w:rPr>
              <w:t xml:space="preserve">ways of </w:t>
            </w:r>
            <w:r w:rsidR="000E582F">
              <w:rPr>
                <w:rFonts w:cs="Arial"/>
                <w:sz w:val="20"/>
                <w:szCs w:val="20"/>
              </w:rPr>
              <w:t>better utilising</w:t>
            </w:r>
            <w:r w:rsidR="00A514D2">
              <w:rPr>
                <w:rFonts w:cs="Arial"/>
                <w:sz w:val="20"/>
                <w:szCs w:val="20"/>
              </w:rPr>
              <w:t xml:space="preserve"> the new facilities as part of</w:t>
            </w:r>
            <w:r w:rsidR="000531BF">
              <w:rPr>
                <w:rFonts w:cs="Arial"/>
                <w:sz w:val="20"/>
                <w:szCs w:val="20"/>
              </w:rPr>
              <w:t xml:space="preserve"> 2016 planning</w:t>
            </w:r>
            <w:r w:rsidR="00A514D2">
              <w:rPr>
                <w:rFonts w:cs="Arial"/>
                <w:sz w:val="20"/>
                <w:szCs w:val="20"/>
              </w:rPr>
              <w:t xml:space="preserve"> </w:t>
            </w:r>
            <w:r w:rsidR="000531BF">
              <w:rPr>
                <w:rFonts w:cs="Arial"/>
                <w:sz w:val="20"/>
                <w:szCs w:val="20"/>
              </w:rPr>
              <w:t>(noting that the current number of qualified trainers</w:t>
            </w:r>
            <w:r w:rsidR="00A514D2">
              <w:rPr>
                <w:rFonts w:cs="Arial"/>
                <w:sz w:val="20"/>
                <w:szCs w:val="20"/>
              </w:rPr>
              <w:t xml:space="preserve"> still</w:t>
            </w:r>
            <w:r w:rsidR="000531BF">
              <w:rPr>
                <w:rFonts w:cs="Arial"/>
                <w:sz w:val="20"/>
                <w:szCs w:val="20"/>
              </w:rPr>
              <w:t xml:space="preserve"> remains a limitation).  </w:t>
            </w:r>
            <w:r w:rsidR="00A514D2">
              <w:rPr>
                <w:rFonts w:cs="Arial"/>
                <w:sz w:val="20"/>
                <w:szCs w:val="20"/>
              </w:rPr>
              <w:t xml:space="preserve">The design for </w:t>
            </w:r>
            <w:r w:rsidR="000E582F">
              <w:rPr>
                <w:rFonts w:cs="Arial"/>
                <w:sz w:val="20"/>
                <w:szCs w:val="20"/>
              </w:rPr>
              <w:t>SfEP</w:t>
            </w:r>
            <w:r w:rsidRPr="00616D62">
              <w:rPr>
                <w:rFonts w:cs="Arial"/>
                <w:sz w:val="20"/>
                <w:szCs w:val="20"/>
              </w:rPr>
              <w:t xml:space="preserve"> will </w:t>
            </w:r>
            <w:r w:rsidR="00A514D2">
              <w:rPr>
                <w:rFonts w:cs="Arial"/>
                <w:sz w:val="20"/>
                <w:szCs w:val="20"/>
              </w:rPr>
              <w:t xml:space="preserve">set targets for </w:t>
            </w:r>
            <w:r w:rsidRPr="00616D62">
              <w:rPr>
                <w:rFonts w:cs="Arial"/>
                <w:sz w:val="20"/>
                <w:szCs w:val="20"/>
              </w:rPr>
              <w:t>increas</w:t>
            </w:r>
            <w:r w:rsidR="00A514D2">
              <w:rPr>
                <w:rFonts w:cs="Arial"/>
                <w:sz w:val="20"/>
                <w:szCs w:val="20"/>
              </w:rPr>
              <w:t>ing</w:t>
            </w:r>
            <w:r w:rsidRPr="00616D62">
              <w:rPr>
                <w:rFonts w:cs="Arial"/>
                <w:sz w:val="20"/>
                <w:szCs w:val="20"/>
              </w:rPr>
              <w:t xml:space="preserve"> the number of graduates</w:t>
            </w:r>
            <w:r w:rsidR="00A514D2">
              <w:rPr>
                <w:rFonts w:cs="Arial"/>
                <w:sz w:val="20"/>
                <w:szCs w:val="20"/>
              </w:rPr>
              <w:t>, and will include a</w:t>
            </w:r>
            <w:r w:rsidRPr="00616D62">
              <w:rPr>
                <w:rFonts w:cs="Arial"/>
                <w:sz w:val="20"/>
                <w:szCs w:val="20"/>
              </w:rPr>
              <w:t xml:space="preserve"> facilities utilisation study. </w:t>
            </w:r>
          </w:p>
        </w:tc>
      </w:tr>
      <w:tr w:rsidR="00FE0FDC" w:rsidRPr="007E3C31" w:rsidTr="00907C34">
        <w:trPr>
          <w:cantSplit/>
          <w:trHeight w:val="502"/>
        </w:trPr>
        <w:tc>
          <w:tcPr>
            <w:tcW w:w="3450" w:type="dxa"/>
            <w:gridSpan w:val="2"/>
            <w:tcBorders>
              <w:right w:val="single" w:sz="4" w:space="0" w:color="auto"/>
            </w:tcBorders>
            <w:shd w:val="clear" w:color="auto" w:fill="D9D9D9" w:themeFill="background1" w:themeFillShade="D9"/>
            <w:vAlign w:val="center"/>
          </w:tcPr>
          <w:p w:rsidR="00FE0FDC" w:rsidRPr="007E3C31" w:rsidRDefault="00FE0FDC" w:rsidP="00FE0FDC">
            <w:pPr>
              <w:widowControl/>
              <w:autoSpaceDE/>
              <w:autoSpaceDN/>
              <w:adjustRightInd/>
              <w:spacing w:before="120"/>
              <w:rPr>
                <w:rFonts w:cs="Arial"/>
                <w:b/>
                <w:sz w:val="20"/>
                <w:lang w:eastAsia="en-US"/>
              </w:rPr>
            </w:pPr>
            <w:r>
              <w:rPr>
                <w:rFonts w:cs="Arial"/>
                <w:b/>
                <w:sz w:val="20"/>
                <w:lang w:eastAsia="en-US"/>
              </w:rPr>
              <w:t>Recommendation 2</w:t>
            </w:r>
          </w:p>
        </w:tc>
        <w:tc>
          <w:tcPr>
            <w:tcW w:w="9544" w:type="dxa"/>
            <w:tcBorders>
              <w:left w:val="single" w:sz="4" w:space="0" w:color="auto"/>
            </w:tcBorders>
            <w:shd w:val="clear" w:color="auto" w:fill="D9D9D9" w:themeFill="background1" w:themeFillShade="D9"/>
            <w:vAlign w:val="center"/>
          </w:tcPr>
          <w:p w:rsidR="00FE0FDC" w:rsidRPr="00C328FF" w:rsidRDefault="00FE0FDC" w:rsidP="00FE0FDC">
            <w:pPr>
              <w:widowControl/>
              <w:autoSpaceDE/>
              <w:autoSpaceDN/>
              <w:adjustRightInd/>
              <w:spacing w:before="120"/>
              <w:rPr>
                <w:rFonts w:cs="Arial"/>
                <w:b/>
                <w:sz w:val="20"/>
                <w:lang w:eastAsia="en-US"/>
              </w:rPr>
            </w:pPr>
            <w:r w:rsidRPr="00C328FF">
              <w:rPr>
                <w:rFonts w:cs="Arial"/>
                <w:b/>
                <w:sz w:val="20"/>
                <w:szCs w:val="20"/>
              </w:rPr>
              <w:t>Investigate ways of reducing unit costs, whilst increasing</w:t>
            </w:r>
            <w:r>
              <w:rPr>
                <w:rFonts w:cs="Arial"/>
                <w:b/>
                <w:sz w:val="20"/>
                <w:szCs w:val="20"/>
              </w:rPr>
              <w:t xml:space="preserve"> the</w:t>
            </w:r>
            <w:r w:rsidRPr="00C328FF">
              <w:rPr>
                <w:rFonts w:cs="Arial"/>
                <w:b/>
                <w:sz w:val="20"/>
                <w:szCs w:val="20"/>
              </w:rPr>
              <w:t xml:space="preserve"> levels of quality output</w:t>
            </w:r>
            <w:r>
              <w:rPr>
                <w:rFonts w:cs="Arial"/>
                <w:b/>
                <w:sz w:val="20"/>
                <w:szCs w:val="20"/>
              </w:rPr>
              <w:t>.</w:t>
            </w:r>
          </w:p>
        </w:tc>
      </w:tr>
      <w:tr w:rsidR="00FE0FDC" w:rsidRPr="007E3C31" w:rsidTr="00D03852">
        <w:trPr>
          <w:cantSplit/>
          <w:trHeight w:val="502"/>
        </w:trPr>
        <w:tc>
          <w:tcPr>
            <w:tcW w:w="12994" w:type="dxa"/>
            <w:gridSpan w:val="3"/>
            <w:shd w:val="clear" w:color="auto" w:fill="FFFFFF" w:themeFill="background1"/>
            <w:vAlign w:val="center"/>
          </w:tcPr>
          <w:p w:rsidR="00FE0FDC" w:rsidRPr="00C328FF" w:rsidRDefault="00FE0FDC" w:rsidP="000E582F">
            <w:pPr>
              <w:widowControl/>
              <w:autoSpaceDE/>
              <w:autoSpaceDN/>
              <w:adjustRightInd/>
              <w:spacing w:before="120"/>
              <w:rPr>
                <w:rFonts w:cs="Arial"/>
                <w:b/>
                <w:sz w:val="20"/>
                <w:szCs w:val="20"/>
              </w:rPr>
            </w:pPr>
            <w:r>
              <w:rPr>
                <w:rFonts w:cs="Arial"/>
                <w:b/>
                <w:sz w:val="20"/>
                <w:szCs w:val="20"/>
              </w:rPr>
              <w:t>D</w:t>
            </w:r>
            <w:r w:rsidRPr="00616D62">
              <w:rPr>
                <w:rFonts w:cs="Arial"/>
                <w:b/>
                <w:sz w:val="20"/>
                <w:szCs w:val="20"/>
              </w:rPr>
              <w:t>FAT response</w:t>
            </w:r>
            <w:r w:rsidR="000E582F">
              <w:rPr>
                <w:rFonts w:cs="Arial"/>
                <w:sz w:val="20"/>
                <w:szCs w:val="20"/>
              </w:rPr>
              <w:t>: Agree. SfEP</w:t>
            </w:r>
            <w:r w:rsidRPr="00616D62">
              <w:rPr>
                <w:rFonts w:cs="Arial"/>
                <w:sz w:val="20"/>
                <w:szCs w:val="20"/>
              </w:rPr>
              <w:t xml:space="preserve"> will aim to reduce unit costs by increasing the levels of quality outputs. </w:t>
            </w:r>
            <w:r>
              <w:rPr>
                <w:rFonts w:cs="Arial"/>
                <w:sz w:val="20"/>
                <w:szCs w:val="20"/>
              </w:rPr>
              <w:t xml:space="preserve">The design for </w:t>
            </w:r>
            <w:r w:rsidR="000E582F">
              <w:rPr>
                <w:rFonts w:cs="Arial"/>
                <w:sz w:val="20"/>
                <w:szCs w:val="20"/>
              </w:rPr>
              <w:t>SfEP</w:t>
            </w:r>
            <w:r>
              <w:rPr>
                <w:rFonts w:cs="Arial"/>
                <w:sz w:val="20"/>
                <w:szCs w:val="20"/>
              </w:rPr>
              <w:t xml:space="preserve"> will include a new ‘</w:t>
            </w:r>
            <w:r w:rsidR="003F244C">
              <w:rPr>
                <w:rFonts w:cs="Arial"/>
                <w:sz w:val="20"/>
                <w:szCs w:val="20"/>
              </w:rPr>
              <w:t>market</w:t>
            </w:r>
            <w:r>
              <w:rPr>
                <w:rFonts w:cs="Arial"/>
                <w:sz w:val="20"/>
                <w:szCs w:val="20"/>
              </w:rPr>
              <w:t xml:space="preserve"> model’ that moves away from the delivery of all Australian qualifications, to achieving a more relevant, responsive and cost-effective course profile that is driven by the demands of domestic and international labour markets.  KIT will continue to offer some internationally-recognised qualifications where required for international employment. However, KIT will also be supported to seek registration under a regional quality and regulatory system, allowing it to deliver regionally-accredited qualifications.  It is intended that this new approach will increase cost-effectiveness in the long run, and thus support an increase in the number of places KIT is able to offer.  This will be supported by the new facilities to be completed in late 2015.  Other recommended measures to improve value for money will also be considered in the design of </w:t>
            </w:r>
            <w:r w:rsidR="000E582F">
              <w:rPr>
                <w:rFonts w:cs="Arial"/>
                <w:sz w:val="20"/>
                <w:szCs w:val="20"/>
              </w:rPr>
              <w:t>SfEP.</w:t>
            </w:r>
          </w:p>
        </w:tc>
      </w:tr>
      <w:tr w:rsidR="00FE0FDC" w:rsidRPr="007E3C31" w:rsidTr="00FE0FDC">
        <w:trPr>
          <w:cantSplit/>
          <w:trHeight w:val="502"/>
        </w:trPr>
        <w:tc>
          <w:tcPr>
            <w:tcW w:w="3450" w:type="dxa"/>
            <w:gridSpan w:val="2"/>
            <w:tcBorders>
              <w:right w:val="single" w:sz="4" w:space="0" w:color="auto"/>
            </w:tcBorders>
            <w:shd w:val="clear" w:color="auto" w:fill="D9D9D9" w:themeFill="background1" w:themeFillShade="D9"/>
            <w:vAlign w:val="center"/>
          </w:tcPr>
          <w:p w:rsidR="00FE0FDC" w:rsidRPr="007E3C31" w:rsidRDefault="00FE0FDC" w:rsidP="00FE0FDC">
            <w:pPr>
              <w:widowControl/>
              <w:autoSpaceDE/>
              <w:autoSpaceDN/>
              <w:adjustRightInd/>
              <w:spacing w:before="120"/>
              <w:rPr>
                <w:rFonts w:cs="Arial"/>
                <w:b/>
                <w:sz w:val="20"/>
                <w:lang w:eastAsia="en-US"/>
              </w:rPr>
            </w:pPr>
            <w:r>
              <w:rPr>
                <w:rFonts w:cs="Arial"/>
                <w:b/>
                <w:sz w:val="20"/>
                <w:lang w:eastAsia="en-US"/>
              </w:rPr>
              <w:t>Recommendation 3</w:t>
            </w:r>
          </w:p>
        </w:tc>
        <w:tc>
          <w:tcPr>
            <w:tcW w:w="9544" w:type="dxa"/>
            <w:tcBorders>
              <w:left w:val="single" w:sz="4" w:space="0" w:color="auto"/>
            </w:tcBorders>
            <w:shd w:val="clear" w:color="auto" w:fill="D9D9D9" w:themeFill="background1" w:themeFillShade="D9"/>
            <w:vAlign w:val="center"/>
          </w:tcPr>
          <w:p w:rsidR="00FE0FDC" w:rsidRPr="00C328FF" w:rsidRDefault="00FE0FDC" w:rsidP="00FE0FDC">
            <w:pPr>
              <w:widowControl/>
              <w:autoSpaceDE/>
              <w:autoSpaceDN/>
              <w:adjustRightInd/>
              <w:spacing w:before="120"/>
              <w:rPr>
                <w:rFonts w:cs="Arial"/>
                <w:b/>
                <w:sz w:val="20"/>
                <w:lang w:eastAsia="en-US"/>
              </w:rPr>
            </w:pPr>
            <w:r w:rsidRPr="00C328FF">
              <w:rPr>
                <w:rFonts w:cs="Arial"/>
                <w:b/>
                <w:sz w:val="20"/>
                <w:szCs w:val="20"/>
              </w:rPr>
              <w:t>Support KIT to retain and use the revenue it generates towards further investment and contribution to its operating costs</w:t>
            </w:r>
            <w:r>
              <w:rPr>
                <w:rFonts w:cs="Arial"/>
                <w:b/>
                <w:sz w:val="20"/>
                <w:szCs w:val="20"/>
              </w:rPr>
              <w:t>.</w:t>
            </w:r>
          </w:p>
        </w:tc>
      </w:tr>
      <w:tr w:rsidR="00FE0FDC" w:rsidRPr="007E3C31" w:rsidTr="00C5069D">
        <w:trPr>
          <w:cantSplit/>
          <w:trHeight w:val="502"/>
        </w:trPr>
        <w:tc>
          <w:tcPr>
            <w:tcW w:w="12994" w:type="dxa"/>
            <w:gridSpan w:val="3"/>
            <w:shd w:val="clear" w:color="auto" w:fill="FFFFFF" w:themeFill="background1"/>
            <w:vAlign w:val="center"/>
          </w:tcPr>
          <w:p w:rsidR="00FE0FDC" w:rsidRPr="00C328FF" w:rsidRDefault="00FE0FDC" w:rsidP="000E582F">
            <w:pPr>
              <w:widowControl/>
              <w:autoSpaceDE/>
              <w:autoSpaceDN/>
              <w:adjustRightInd/>
              <w:spacing w:before="120"/>
              <w:rPr>
                <w:rFonts w:cs="Arial"/>
                <w:b/>
                <w:sz w:val="20"/>
                <w:szCs w:val="20"/>
              </w:rPr>
            </w:pPr>
            <w:r w:rsidRPr="00616D62">
              <w:rPr>
                <w:rFonts w:cs="Arial"/>
                <w:b/>
                <w:sz w:val="20"/>
                <w:szCs w:val="20"/>
              </w:rPr>
              <w:t>DFAT response</w:t>
            </w:r>
            <w:r>
              <w:rPr>
                <w:rFonts w:cs="Arial"/>
                <w:b/>
                <w:sz w:val="20"/>
                <w:szCs w:val="20"/>
              </w:rPr>
              <w:t xml:space="preserve">: </w:t>
            </w:r>
            <w:r w:rsidRPr="00616D62">
              <w:rPr>
                <w:rFonts w:cs="Arial"/>
                <w:sz w:val="20"/>
                <w:szCs w:val="20"/>
              </w:rPr>
              <w:t xml:space="preserve">Agree. DFAT </w:t>
            </w:r>
            <w:r>
              <w:rPr>
                <w:rFonts w:cs="Arial"/>
                <w:sz w:val="20"/>
                <w:szCs w:val="20"/>
              </w:rPr>
              <w:t xml:space="preserve">Tarawa post </w:t>
            </w:r>
            <w:r w:rsidRPr="00616D62">
              <w:rPr>
                <w:rFonts w:cs="Arial"/>
                <w:sz w:val="20"/>
                <w:szCs w:val="20"/>
              </w:rPr>
              <w:t xml:space="preserve">has commenced dialogue on this issue with </w:t>
            </w:r>
            <w:r>
              <w:rPr>
                <w:rFonts w:cs="Arial"/>
                <w:sz w:val="20"/>
                <w:szCs w:val="20"/>
              </w:rPr>
              <w:t>senior Government of Kiribati officials</w:t>
            </w:r>
            <w:r w:rsidRPr="00616D62">
              <w:rPr>
                <w:rFonts w:cs="Arial"/>
                <w:sz w:val="20"/>
                <w:szCs w:val="20"/>
              </w:rPr>
              <w:t>.</w:t>
            </w:r>
          </w:p>
        </w:tc>
      </w:tr>
      <w:tr w:rsidR="00FE0FDC" w:rsidRPr="007E3C31" w:rsidTr="00FE0FDC">
        <w:trPr>
          <w:cantSplit/>
          <w:trHeight w:val="502"/>
        </w:trPr>
        <w:tc>
          <w:tcPr>
            <w:tcW w:w="3450" w:type="dxa"/>
            <w:gridSpan w:val="2"/>
            <w:tcBorders>
              <w:right w:val="single" w:sz="4" w:space="0" w:color="auto"/>
            </w:tcBorders>
            <w:shd w:val="clear" w:color="auto" w:fill="D9D9D9" w:themeFill="background1" w:themeFillShade="D9"/>
            <w:vAlign w:val="center"/>
          </w:tcPr>
          <w:p w:rsidR="00FE0FDC" w:rsidRPr="007E3C31" w:rsidRDefault="00FE0FDC" w:rsidP="00FE0FDC">
            <w:pPr>
              <w:widowControl/>
              <w:autoSpaceDE/>
              <w:autoSpaceDN/>
              <w:adjustRightInd/>
              <w:spacing w:before="120"/>
              <w:rPr>
                <w:rFonts w:cs="Arial"/>
                <w:b/>
                <w:sz w:val="20"/>
                <w:lang w:eastAsia="en-US"/>
              </w:rPr>
            </w:pPr>
            <w:r>
              <w:rPr>
                <w:rFonts w:cs="Arial"/>
                <w:b/>
                <w:sz w:val="20"/>
                <w:lang w:eastAsia="en-US"/>
              </w:rPr>
              <w:t>Recommendation 4</w:t>
            </w:r>
          </w:p>
        </w:tc>
        <w:tc>
          <w:tcPr>
            <w:tcW w:w="9544" w:type="dxa"/>
            <w:tcBorders>
              <w:left w:val="single" w:sz="4" w:space="0" w:color="auto"/>
            </w:tcBorders>
            <w:shd w:val="clear" w:color="auto" w:fill="D9D9D9" w:themeFill="background1" w:themeFillShade="D9"/>
            <w:vAlign w:val="center"/>
          </w:tcPr>
          <w:p w:rsidR="00FE0FDC" w:rsidRPr="00C328FF" w:rsidRDefault="00FE0FDC" w:rsidP="00FE0FDC">
            <w:pPr>
              <w:widowControl/>
              <w:autoSpaceDE/>
              <w:autoSpaceDN/>
              <w:adjustRightInd/>
              <w:spacing w:before="120"/>
              <w:rPr>
                <w:rFonts w:cs="Arial"/>
                <w:b/>
                <w:sz w:val="20"/>
                <w:lang w:eastAsia="en-US"/>
              </w:rPr>
            </w:pPr>
            <w:r w:rsidRPr="00C328FF">
              <w:rPr>
                <w:rFonts w:cs="Arial"/>
                <w:b/>
                <w:sz w:val="20"/>
                <w:szCs w:val="20"/>
              </w:rPr>
              <w:t xml:space="preserve">Consider alternatives to the current </w:t>
            </w:r>
            <w:proofErr w:type="spellStart"/>
            <w:r w:rsidRPr="00C328FF">
              <w:rPr>
                <w:rFonts w:cs="Arial"/>
                <w:b/>
                <w:sz w:val="20"/>
                <w:szCs w:val="20"/>
              </w:rPr>
              <w:t>auspicing</w:t>
            </w:r>
            <w:proofErr w:type="spellEnd"/>
            <w:r w:rsidRPr="00C328FF">
              <w:rPr>
                <w:rFonts w:cs="Arial"/>
                <w:b/>
                <w:sz w:val="20"/>
                <w:szCs w:val="20"/>
              </w:rPr>
              <w:t xml:space="preserve"> arrangement</w:t>
            </w:r>
            <w:r>
              <w:rPr>
                <w:rFonts w:cs="Arial"/>
                <w:b/>
                <w:sz w:val="20"/>
                <w:szCs w:val="20"/>
              </w:rPr>
              <w:t>.</w:t>
            </w:r>
          </w:p>
        </w:tc>
      </w:tr>
      <w:tr w:rsidR="003F244C" w:rsidRPr="007E3C31" w:rsidTr="00DF6F0C">
        <w:trPr>
          <w:cantSplit/>
          <w:trHeight w:val="502"/>
        </w:trPr>
        <w:tc>
          <w:tcPr>
            <w:tcW w:w="12994" w:type="dxa"/>
            <w:gridSpan w:val="3"/>
            <w:shd w:val="clear" w:color="auto" w:fill="FFFFFF" w:themeFill="background1"/>
            <w:vAlign w:val="center"/>
          </w:tcPr>
          <w:p w:rsidR="003F244C" w:rsidRPr="00C328FF" w:rsidRDefault="003F244C" w:rsidP="00FE0FDC">
            <w:pPr>
              <w:widowControl/>
              <w:autoSpaceDE/>
              <w:autoSpaceDN/>
              <w:adjustRightInd/>
              <w:spacing w:before="120"/>
              <w:rPr>
                <w:rFonts w:cs="Arial"/>
                <w:b/>
                <w:sz w:val="20"/>
                <w:szCs w:val="20"/>
              </w:rPr>
            </w:pPr>
            <w:r w:rsidRPr="00616D62">
              <w:rPr>
                <w:rFonts w:cs="Arial"/>
                <w:b/>
                <w:sz w:val="20"/>
                <w:szCs w:val="20"/>
              </w:rPr>
              <w:t>DFAT response</w:t>
            </w:r>
            <w:r w:rsidRPr="00616D62">
              <w:rPr>
                <w:rFonts w:cs="Arial"/>
                <w:sz w:val="20"/>
                <w:szCs w:val="20"/>
              </w:rPr>
              <w:t>:</w:t>
            </w:r>
            <w:r>
              <w:rPr>
                <w:rFonts w:cs="Arial"/>
                <w:sz w:val="20"/>
                <w:szCs w:val="20"/>
              </w:rPr>
              <w:t xml:space="preserve"> </w:t>
            </w:r>
            <w:r w:rsidRPr="00616D62">
              <w:rPr>
                <w:rFonts w:cs="Arial"/>
                <w:sz w:val="20"/>
                <w:szCs w:val="20"/>
              </w:rPr>
              <w:t xml:space="preserve">Agree. </w:t>
            </w:r>
            <w:r w:rsidR="0038645C">
              <w:rPr>
                <w:rFonts w:cs="Arial"/>
                <w:sz w:val="20"/>
                <w:szCs w:val="20"/>
              </w:rPr>
              <w:t>Under SfEP</w:t>
            </w:r>
            <w:r>
              <w:rPr>
                <w:rFonts w:cs="Arial"/>
                <w:sz w:val="20"/>
                <w:szCs w:val="20"/>
              </w:rPr>
              <w:t>, KIT</w:t>
            </w:r>
            <w:r w:rsidRPr="00616D62">
              <w:rPr>
                <w:rFonts w:cs="Arial"/>
                <w:sz w:val="20"/>
                <w:szCs w:val="20"/>
              </w:rPr>
              <w:t xml:space="preserve"> will move </w:t>
            </w:r>
            <w:r>
              <w:rPr>
                <w:rFonts w:cs="Arial"/>
                <w:sz w:val="20"/>
                <w:szCs w:val="20"/>
              </w:rPr>
              <w:t xml:space="preserve">on </w:t>
            </w:r>
            <w:r w:rsidRPr="00616D62">
              <w:rPr>
                <w:rFonts w:cs="Arial"/>
                <w:sz w:val="20"/>
                <w:szCs w:val="20"/>
              </w:rPr>
              <w:t xml:space="preserve">from the current </w:t>
            </w:r>
            <w:proofErr w:type="spellStart"/>
            <w:r w:rsidRPr="00616D62">
              <w:rPr>
                <w:rFonts w:cs="Arial"/>
                <w:sz w:val="20"/>
                <w:szCs w:val="20"/>
              </w:rPr>
              <w:t>auspicing</w:t>
            </w:r>
            <w:proofErr w:type="spellEnd"/>
            <w:r w:rsidRPr="00616D62">
              <w:rPr>
                <w:rFonts w:cs="Arial"/>
                <w:sz w:val="20"/>
                <w:szCs w:val="20"/>
              </w:rPr>
              <w:t xml:space="preserve"> </w:t>
            </w:r>
            <w:r>
              <w:rPr>
                <w:rFonts w:cs="Arial"/>
                <w:sz w:val="20"/>
                <w:szCs w:val="20"/>
              </w:rPr>
              <w:t xml:space="preserve">model.  Instead, </w:t>
            </w:r>
            <w:r w:rsidRPr="00616D62">
              <w:rPr>
                <w:rFonts w:cs="Arial"/>
                <w:sz w:val="20"/>
                <w:szCs w:val="20"/>
              </w:rPr>
              <w:t xml:space="preserve">a Skills Development Fund </w:t>
            </w:r>
            <w:r>
              <w:rPr>
                <w:rFonts w:cs="Arial"/>
                <w:sz w:val="20"/>
                <w:szCs w:val="20"/>
              </w:rPr>
              <w:t>will support KIT to annually plan to ‘</w:t>
            </w:r>
            <w:r w:rsidRPr="00616D62">
              <w:rPr>
                <w:rFonts w:cs="Arial"/>
                <w:sz w:val="20"/>
                <w:szCs w:val="20"/>
              </w:rPr>
              <w:t>purchase</w:t>
            </w:r>
            <w:r>
              <w:rPr>
                <w:rFonts w:cs="Arial"/>
                <w:sz w:val="20"/>
                <w:szCs w:val="20"/>
              </w:rPr>
              <w:t>’</w:t>
            </w:r>
            <w:r w:rsidRPr="00616D62">
              <w:rPr>
                <w:rFonts w:cs="Arial"/>
                <w:sz w:val="20"/>
                <w:szCs w:val="20"/>
              </w:rPr>
              <w:t xml:space="preserve"> courses </w:t>
            </w:r>
            <w:r>
              <w:rPr>
                <w:rFonts w:cs="Arial"/>
                <w:sz w:val="20"/>
                <w:szCs w:val="20"/>
              </w:rPr>
              <w:t>(</w:t>
            </w:r>
            <w:r w:rsidRPr="00616D62">
              <w:rPr>
                <w:rFonts w:cs="Arial"/>
                <w:sz w:val="20"/>
                <w:szCs w:val="20"/>
              </w:rPr>
              <w:t>and engage institutional strengthening services</w:t>
            </w:r>
            <w:r>
              <w:rPr>
                <w:rFonts w:cs="Arial"/>
                <w:sz w:val="20"/>
                <w:szCs w:val="20"/>
              </w:rPr>
              <w:t xml:space="preserve">) in response to current labour market demand. This new ‘market model’ is intended to be more flexible, responsive and cost-effective than the current </w:t>
            </w:r>
            <w:proofErr w:type="spellStart"/>
            <w:r>
              <w:rPr>
                <w:rFonts w:cs="Arial"/>
                <w:sz w:val="20"/>
                <w:szCs w:val="20"/>
              </w:rPr>
              <w:t>auspicing</w:t>
            </w:r>
            <w:proofErr w:type="spellEnd"/>
            <w:r>
              <w:rPr>
                <w:rFonts w:cs="Arial"/>
                <w:sz w:val="20"/>
                <w:szCs w:val="20"/>
              </w:rPr>
              <w:t xml:space="preserve"> model</w:t>
            </w:r>
            <w:r w:rsidRPr="00616D62">
              <w:rPr>
                <w:rFonts w:cs="Arial"/>
                <w:sz w:val="20"/>
                <w:szCs w:val="20"/>
              </w:rPr>
              <w:t>.</w:t>
            </w:r>
          </w:p>
        </w:tc>
      </w:tr>
      <w:tr w:rsidR="003F244C" w:rsidRPr="007E3C31" w:rsidTr="00FE0FDC">
        <w:trPr>
          <w:cantSplit/>
          <w:trHeight w:val="502"/>
        </w:trPr>
        <w:tc>
          <w:tcPr>
            <w:tcW w:w="3450" w:type="dxa"/>
            <w:gridSpan w:val="2"/>
            <w:tcBorders>
              <w:right w:val="single" w:sz="4" w:space="0" w:color="auto"/>
            </w:tcBorders>
            <w:shd w:val="clear" w:color="auto" w:fill="D9D9D9" w:themeFill="background1" w:themeFillShade="D9"/>
            <w:vAlign w:val="center"/>
          </w:tcPr>
          <w:p w:rsidR="003F244C" w:rsidRPr="007E3C31" w:rsidRDefault="003F244C" w:rsidP="003F244C">
            <w:pPr>
              <w:widowControl/>
              <w:autoSpaceDE/>
              <w:autoSpaceDN/>
              <w:adjustRightInd/>
              <w:spacing w:before="120"/>
              <w:rPr>
                <w:rFonts w:cs="Arial"/>
                <w:b/>
                <w:sz w:val="20"/>
                <w:lang w:eastAsia="en-US"/>
              </w:rPr>
            </w:pPr>
            <w:r>
              <w:rPr>
                <w:rFonts w:cs="Arial"/>
                <w:b/>
                <w:sz w:val="20"/>
                <w:lang w:eastAsia="en-US"/>
              </w:rPr>
              <w:t>Recommendation 5</w:t>
            </w:r>
          </w:p>
        </w:tc>
        <w:tc>
          <w:tcPr>
            <w:tcW w:w="9544" w:type="dxa"/>
            <w:tcBorders>
              <w:left w:val="single" w:sz="4" w:space="0" w:color="auto"/>
            </w:tcBorders>
            <w:shd w:val="clear" w:color="auto" w:fill="D9D9D9" w:themeFill="background1" w:themeFillShade="D9"/>
            <w:vAlign w:val="center"/>
          </w:tcPr>
          <w:p w:rsidR="003F244C" w:rsidRPr="00C328FF" w:rsidRDefault="003F244C" w:rsidP="003F244C">
            <w:pPr>
              <w:widowControl/>
              <w:autoSpaceDE/>
              <w:autoSpaceDN/>
              <w:adjustRightInd/>
              <w:spacing w:before="120"/>
              <w:rPr>
                <w:rFonts w:cs="Arial"/>
                <w:b/>
                <w:sz w:val="20"/>
                <w:lang w:eastAsia="en-US"/>
              </w:rPr>
            </w:pPr>
            <w:r w:rsidRPr="00C328FF">
              <w:rPr>
                <w:rFonts w:cs="Arial"/>
                <w:b/>
                <w:sz w:val="20"/>
                <w:szCs w:val="20"/>
              </w:rPr>
              <w:t>Continue demand led TVET training model for Kiribati, with an additional focus on international demand</w:t>
            </w:r>
            <w:r>
              <w:rPr>
                <w:rFonts w:cs="Arial"/>
                <w:b/>
                <w:sz w:val="20"/>
                <w:szCs w:val="20"/>
              </w:rPr>
              <w:t>.</w:t>
            </w:r>
          </w:p>
        </w:tc>
      </w:tr>
      <w:tr w:rsidR="003F244C" w:rsidRPr="007E3C31" w:rsidTr="004E6676">
        <w:trPr>
          <w:cantSplit/>
          <w:trHeight w:val="502"/>
        </w:trPr>
        <w:tc>
          <w:tcPr>
            <w:tcW w:w="12994" w:type="dxa"/>
            <w:gridSpan w:val="3"/>
            <w:shd w:val="clear" w:color="auto" w:fill="FFFFFF" w:themeFill="background1"/>
            <w:vAlign w:val="center"/>
          </w:tcPr>
          <w:p w:rsidR="003F244C" w:rsidRPr="00C328FF" w:rsidRDefault="003F244C" w:rsidP="003F244C">
            <w:pPr>
              <w:widowControl/>
              <w:autoSpaceDE/>
              <w:autoSpaceDN/>
              <w:adjustRightInd/>
              <w:spacing w:before="120"/>
              <w:rPr>
                <w:rFonts w:cs="Arial"/>
                <w:b/>
                <w:sz w:val="20"/>
                <w:szCs w:val="20"/>
              </w:rPr>
            </w:pPr>
            <w:r w:rsidRPr="00616D62">
              <w:rPr>
                <w:rFonts w:cs="Arial"/>
                <w:b/>
                <w:sz w:val="20"/>
                <w:szCs w:val="20"/>
              </w:rPr>
              <w:lastRenderedPageBreak/>
              <w:t>DFAT response</w:t>
            </w:r>
            <w:r w:rsidRPr="00616D62">
              <w:rPr>
                <w:rFonts w:cs="Arial"/>
                <w:sz w:val="20"/>
                <w:szCs w:val="20"/>
              </w:rPr>
              <w:t>:</w:t>
            </w:r>
            <w:r>
              <w:rPr>
                <w:rFonts w:cs="Arial"/>
                <w:sz w:val="20"/>
                <w:szCs w:val="20"/>
              </w:rPr>
              <w:t xml:space="preserve"> </w:t>
            </w:r>
            <w:r w:rsidR="0038645C">
              <w:rPr>
                <w:rFonts w:cs="Arial"/>
                <w:sz w:val="20"/>
                <w:szCs w:val="20"/>
              </w:rPr>
              <w:t>Agree. SfEP</w:t>
            </w:r>
            <w:r w:rsidRPr="00616D62">
              <w:rPr>
                <w:rFonts w:cs="Arial"/>
                <w:sz w:val="20"/>
                <w:szCs w:val="20"/>
              </w:rPr>
              <w:t xml:space="preserve"> </w:t>
            </w:r>
            <w:r>
              <w:rPr>
                <w:rFonts w:cs="Arial"/>
                <w:sz w:val="20"/>
                <w:szCs w:val="20"/>
              </w:rPr>
              <w:t xml:space="preserve">will continue to support existing TVET advisory mechanisms, and </w:t>
            </w:r>
            <w:r w:rsidRPr="00616D62">
              <w:rPr>
                <w:rFonts w:cs="Arial"/>
                <w:sz w:val="20"/>
                <w:szCs w:val="20"/>
              </w:rPr>
              <w:t xml:space="preserve">will </w:t>
            </w:r>
            <w:r>
              <w:rPr>
                <w:rFonts w:cs="Arial"/>
                <w:sz w:val="20"/>
                <w:szCs w:val="20"/>
              </w:rPr>
              <w:t>introduce</w:t>
            </w:r>
            <w:r w:rsidRPr="00616D62">
              <w:rPr>
                <w:rFonts w:cs="Arial"/>
                <w:sz w:val="20"/>
                <w:szCs w:val="20"/>
              </w:rPr>
              <w:t xml:space="preserve"> an annual labour market demand study to inform future course development and course offerings. This </w:t>
            </w:r>
            <w:r>
              <w:rPr>
                <w:rFonts w:cs="Arial"/>
                <w:sz w:val="20"/>
                <w:szCs w:val="20"/>
              </w:rPr>
              <w:t xml:space="preserve">study </w:t>
            </w:r>
            <w:r w:rsidRPr="00616D62">
              <w:rPr>
                <w:rFonts w:cs="Arial"/>
                <w:sz w:val="20"/>
                <w:szCs w:val="20"/>
              </w:rPr>
              <w:t>will identify demand driven skill development priorities for inclusion in the KIT annual course profile.</w:t>
            </w:r>
          </w:p>
        </w:tc>
      </w:tr>
    </w:tbl>
    <w:p w:rsidR="003F244C" w:rsidRDefault="003F244C" w:rsidP="00B41081">
      <w:pPr>
        <w:rPr>
          <w:rFonts w:cs="Arial"/>
          <w:b/>
          <w:szCs w:val="22"/>
        </w:rPr>
      </w:pPr>
    </w:p>
    <w:p w:rsidR="00B41081" w:rsidRDefault="00B41081" w:rsidP="00B41081">
      <w:pPr>
        <w:rPr>
          <w:rFonts w:cs="Arial"/>
          <w:b/>
          <w:szCs w:val="22"/>
        </w:rPr>
      </w:pPr>
      <w:r w:rsidRPr="00C328FF">
        <w:rPr>
          <w:rFonts w:cs="Arial"/>
          <w:b/>
          <w:szCs w:val="22"/>
        </w:rPr>
        <w:t>Employment Focus</w:t>
      </w:r>
    </w:p>
    <w:tbl>
      <w:tblPr>
        <w:tblpPr w:leftFromText="180" w:rightFromText="180" w:vertAnchor="text" w:tblpY="1"/>
        <w:tblOverlap w:val="never"/>
        <w:tblW w:w="1306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60"/>
        <w:gridCol w:w="20"/>
        <w:gridCol w:w="9589"/>
      </w:tblGrid>
      <w:tr w:rsidR="00C328FF" w:rsidRPr="007E3C31" w:rsidTr="000477F4">
        <w:trPr>
          <w:cantSplit/>
          <w:trHeight w:val="76"/>
          <w:tblHeader/>
        </w:trPr>
        <w:tc>
          <w:tcPr>
            <w:tcW w:w="3460" w:type="dxa"/>
            <w:shd w:val="clear" w:color="auto" w:fill="E0E0E0"/>
            <w:vAlign w:val="center"/>
          </w:tcPr>
          <w:p w:rsidR="00C328FF" w:rsidRPr="007E3C31" w:rsidRDefault="00C328FF" w:rsidP="000477F4">
            <w:pPr>
              <w:widowControl/>
              <w:autoSpaceDE/>
              <w:autoSpaceDN/>
              <w:adjustRightInd/>
              <w:spacing w:before="120"/>
              <w:rPr>
                <w:rFonts w:cs="Arial"/>
                <w:b/>
                <w:sz w:val="20"/>
                <w:lang w:eastAsia="en-US"/>
              </w:rPr>
            </w:pPr>
            <w:r>
              <w:rPr>
                <w:rFonts w:cs="Arial"/>
                <w:b/>
                <w:sz w:val="20"/>
                <w:lang w:eastAsia="en-US"/>
              </w:rPr>
              <w:t>Recommendation 6</w:t>
            </w:r>
          </w:p>
        </w:tc>
        <w:tc>
          <w:tcPr>
            <w:tcW w:w="9609" w:type="dxa"/>
            <w:gridSpan w:val="2"/>
            <w:shd w:val="clear" w:color="auto" w:fill="E0E0E0"/>
            <w:vAlign w:val="center"/>
          </w:tcPr>
          <w:p w:rsidR="00C328FF" w:rsidRPr="00C328FF" w:rsidRDefault="00C328FF" w:rsidP="0041478E">
            <w:pPr>
              <w:widowControl/>
              <w:autoSpaceDE/>
              <w:autoSpaceDN/>
              <w:adjustRightInd/>
              <w:spacing w:before="120"/>
              <w:rPr>
                <w:rFonts w:cs="Arial"/>
                <w:b/>
                <w:sz w:val="20"/>
                <w:lang w:eastAsia="en-US"/>
              </w:rPr>
            </w:pPr>
            <w:r w:rsidRPr="00C328FF">
              <w:rPr>
                <w:rFonts w:cs="Arial"/>
                <w:b/>
                <w:sz w:val="20"/>
                <w:szCs w:val="20"/>
              </w:rPr>
              <w:t xml:space="preserve">Transition to work activities should be refocused toward international employment opportunities and </w:t>
            </w:r>
            <w:r w:rsidR="0094327E">
              <w:rPr>
                <w:rFonts w:cs="Arial"/>
                <w:b/>
                <w:sz w:val="20"/>
                <w:szCs w:val="20"/>
              </w:rPr>
              <w:t xml:space="preserve">graduates’ skills </w:t>
            </w:r>
            <w:r w:rsidR="0041478E">
              <w:rPr>
                <w:rFonts w:cs="Arial"/>
                <w:b/>
                <w:sz w:val="20"/>
                <w:szCs w:val="20"/>
              </w:rPr>
              <w:t>promoted to international markets</w:t>
            </w:r>
            <w:r w:rsidR="00EC63E2">
              <w:rPr>
                <w:rFonts w:cs="Arial"/>
                <w:b/>
                <w:sz w:val="20"/>
                <w:szCs w:val="20"/>
              </w:rPr>
              <w:t>.</w:t>
            </w:r>
          </w:p>
        </w:tc>
      </w:tr>
      <w:tr w:rsidR="00C328FF" w:rsidRPr="007E3C31" w:rsidTr="000477F4">
        <w:trPr>
          <w:cantSplit/>
          <w:trHeight w:val="398"/>
        </w:trPr>
        <w:tc>
          <w:tcPr>
            <w:tcW w:w="13069" w:type="dxa"/>
            <w:gridSpan w:val="3"/>
            <w:shd w:val="clear" w:color="auto" w:fill="auto"/>
          </w:tcPr>
          <w:p w:rsidR="00C328FF" w:rsidRPr="00C328FF" w:rsidRDefault="00C328FF" w:rsidP="0038645C">
            <w:pPr>
              <w:rPr>
                <w:rFonts w:cs="Arial"/>
                <w:sz w:val="20"/>
                <w:szCs w:val="20"/>
                <w:lang w:eastAsia="en-US"/>
              </w:rPr>
            </w:pPr>
            <w:r w:rsidRPr="00616D62">
              <w:rPr>
                <w:rFonts w:cs="Arial"/>
                <w:b/>
                <w:sz w:val="20"/>
                <w:szCs w:val="20"/>
              </w:rPr>
              <w:t>DFAT response</w:t>
            </w:r>
            <w:r w:rsidRPr="00616D62">
              <w:rPr>
                <w:rFonts w:cs="Arial"/>
                <w:sz w:val="20"/>
                <w:szCs w:val="20"/>
              </w:rPr>
              <w:t>:</w:t>
            </w:r>
            <w:r>
              <w:rPr>
                <w:rFonts w:cs="Arial"/>
                <w:sz w:val="20"/>
                <w:szCs w:val="20"/>
              </w:rPr>
              <w:t xml:space="preserve"> </w:t>
            </w:r>
            <w:r w:rsidRPr="00616D62">
              <w:rPr>
                <w:rFonts w:cs="Arial"/>
                <w:sz w:val="20"/>
                <w:szCs w:val="20"/>
              </w:rPr>
              <w:t xml:space="preserve">Agree. </w:t>
            </w:r>
            <w:r w:rsidR="0038645C">
              <w:rPr>
                <w:rFonts w:cs="Arial"/>
                <w:sz w:val="20"/>
                <w:szCs w:val="20"/>
              </w:rPr>
              <w:t>SfEP</w:t>
            </w:r>
            <w:r w:rsidRPr="00616D62">
              <w:rPr>
                <w:rFonts w:cs="Arial"/>
                <w:sz w:val="20"/>
                <w:szCs w:val="20"/>
              </w:rPr>
              <w:t xml:space="preserve"> will</w:t>
            </w:r>
            <w:r w:rsidR="0094327E">
              <w:rPr>
                <w:rFonts w:cs="Arial"/>
                <w:sz w:val="20"/>
                <w:szCs w:val="20"/>
              </w:rPr>
              <w:t xml:space="preserve"> have a much stronger focus on developing graduates’ technical and soft skills through targeted transition to work activities, with a particular focus on those seeking </w:t>
            </w:r>
            <w:r w:rsidRPr="00616D62">
              <w:rPr>
                <w:rFonts w:cs="Arial"/>
                <w:sz w:val="20"/>
                <w:szCs w:val="20"/>
              </w:rPr>
              <w:t xml:space="preserve">off-shore employment. </w:t>
            </w:r>
            <w:r w:rsidR="0094327E">
              <w:rPr>
                <w:rFonts w:cs="Arial"/>
                <w:sz w:val="20"/>
                <w:szCs w:val="20"/>
              </w:rPr>
              <w:t>This will include initiatives to provide workplace training targeted to areas of international labour market demand</w:t>
            </w:r>
            <w:r w:rsidR="00E65BFC">
              <w:rPr>
                <w:rFonts w:cs="Arial"/>
                <w:sz w:val="20"/>
                <w:szCs w:val="20"/>
              </w:rPr>
              <w:t>,</w:t>
            </w:r>
            <w:r w:rsidR="0094327E">
              <w:rPr>
                <w:rFonts w:cs="Arial"/>
                <w:sz w:val="20"/>
                <w:szCs w:val="20"/>
              </w:rPr>
              <w:t xml:space="preserve"> </w:t>
            </w:r>
            <w:r w:rsidR="00E65BFC">
              <w:rPr>
                <w:rFonts w:cs="Arial"/>
                <w:sz w:val="20"/>
                <w:szCs w:val="20"/>
              </w:rPr>
              <w:t>and</w:t>
            </w:r>
            <w:r w:rsidR="0094327E">
              <w:rPr>
                <w:rFonts w:cs="Arial"/>
                <w:sz w:val="20"/>
                <w:szCs w:val="20"/>
              </w:rPr>
              <w:t xml:space="preserve"> will be complemented by marketing</w:t>
            </w:r>
            <w:r w:rsidR="00E65BFC">
              <w:rPr>
                <w:rFonts w:cs="Arial"/>
                <w:sz w:val="20"/>
                <w:szCs w:val="20"/>
              </w:rPr>
              <w:t xml:space="preserve"> activities</w:t>
            </w:r>
            <w:r w:rsidR="0094327E">
              <w:rPr>
                <w:rFonts w:cs="Arial"/>
                <w:sz w:val="20"/>
                <w:szCs w:val="20"/>
              </w:rPr>
              <w:t xml:space="preserve"> to promote the quality of KIT graduates to an international audience (see recommendation 8).</w:t>
            </w:r>
          </w:p>
        </w:tc>
      </w:tr>
      <w:tr w:rsidR="00C328FF" w:rsidRPr="007E3C31" w:rsidTr="000477F4">
        <w:trPr>
          <w:cantSplit/>
          <w:trHeight w:val="76"/>
          <w:tblHeader/>
        </w:trPr>
        <w:tc>
          <w:tcPr>
            <w:tcW w:w="3460" w:type="dxa"/>
            <w:shd w:val="clear" w:color="auto" w:fill="E0E0E0"/>
            <w:vAlign w:val="center"/>
          </w:tcPr>
          <w:p w:rsidR="00C328FF" w:rsidRPr="007E3C31" w:rsidRDefault="00C328FF" w:rsidP="000477F4">
            <w:pPr>
              <w:widowControl/>
              <w:autoSpaceDE/>
              <w:autoSpaceDN/>
              <w:adjustRightInd/>
              <w:spacing w:before="120"/>
              <w:rPr>
                <w:rFonts w:cs="Arial"/>
                <w:b/>
                <w:sz w:val="20"/>
                <w:lang w:eastAsia="en-US"/>
              </w:rPr>
            </w:pPr>
            <w:r>
              <w:rPr>
                <w:rFonts w:cs="Arial"/>
                <w:b/>
                <w:sz w:val="20"/>
                <w:lang w:eastAsia="en-US"/>
              </w:rPr>
              <w:t>Recommendation 7</w:t>
            </w:r>
          </w:p>
        </w:tc>
        <w:tc>
          <w:tcPr>
            <w:tcW w:w="9609" w:type="dxa"/>
            <w:gridSpan w:val="2"/>
            <w:shd w:val="clear" w:color="auto" w:fill="E0E0E0"/>
            <w:vAlign w:val="center"/>
          </w:tcPr>
          <w:p w:rsidR="00C328FF" w:rsidRPr="00C328FF" w:rsidRDefault="00C328FF" w:rsidP="000477F4">
            <w:pPr>
              <w:widowControl/>
              <w:autoSpaceDE/>
              <w:autoSpaceDN/>
              <w:adjustRightInd/>
              <w:spacing w:before="120"/>
              <w:rPr>
                <w:rFonts w:cs="Arial"/>
                <w:b/>
                <w:sz w:val="20"/>
                <w:lang w:eastAsia="en-US"/>
              </w:rPr>
            </w:pPr>
            <w:r w:rsidRPr="00C328FF">
              <w:rPr>
                <w:rFonts w:cs="Arial"/>
                <w:b/>
                <w:sz w:val="20"/>
                <w:szCs w:val="20"/>
              </w:rPr>
              <w:t>Pathways that build on the KIT qualification should be investigated</w:t>
            </w:r>
            <w:r w:rsidR="00EC63E2">
              <w:rPr>
                <w:rFonts w:cs="Arial"/>
                <w:b/>
                <w:sz w:val="20"/>
                <w:szCs w:val="20"/>
              </w:rPr>
              <w:t>.</w:t>
            </w:r>
          </w:p>
        </w:tc>
      </w:tr>
      <w:tr w:rsidR="00C328FF" w:rsidRPr="007E3C31" w:rsidTr="000477F4">
        <w:trPr>
          <w:cantSplit/>
          <w:trHeight w:val="398"/>
        </w:trPr>
        <w:tc>
          <w:tcPr>
            <w:tcW w:w="13069" w:type="dxa"/>
            <w:gridSpan w:val="3"/>
            <w:shd w:val="clear" w:color="auto" w:fill="auto"/>
          </w:tcPr>
          <w:p w:rsidR="00C328FF" w:rsidRPr="00C328FF" w:rsidRDefault="00C328FF" w:rsidP="00260791">
            <w:pPr>
              <w:rPr>
                <w:rFonts w:cs="Arial"/>
                <w:sz w:val="20"/>
                <w:szCs w:val="20"/>
                <w:lang w:eastAsia="en-US"/>
              </w:rPr>
            </w:pPr>
            <w:r w:rsidRPr="00616D62">
              <w:rPr>
                <w:rFonts w:cs="Arial"/>
                <w:b/>
                <w:sz w:val="20"/>
                <w:szCs w:val="20"/>
              </w:rPr>
              <w:t>DFAT response</w:t>
            </w:r>
            <w:r w:rsidRPr="00616D62">
              <w:rPr>
                <w:rFonts w:cs="Arial"/>
                <w:sz w:val="20"/>
                <w:szCs w:val="20"/>
              </w:rPr>
              <w:t>:</w:t>
            </w:r>
            <w:r>
              <w:rPr>
                <w:rFonts w:cs="Arial"/>
                <w:sz w:val="20"/>
                <w:szCs w:val="20"/>
              </w:rPr>
              <w:t xml:space="preserve"> </w:t>
            </w:r>
            <w:r w:rsidRPr="00616D62">
              <w:rPr>
                <w:rFonts w:cs="Arial"/>
                <w:sz w:val="20"/>
                <w:szCs w:val="20"/>
              </w:rPr>
              <w:t xml:space="preserve">Agree. </w:t>
            </w:r>
            <w:r w:rsidR="0038645C">
              <w:rPr>
                <w:rFonts w:cs="Arial"/>
                <w:sz w:val="20"/>
                <w:szCs w:val="20"/>
              </w:rPr>
              <w:t>SfEP</w:t>
            </w:r>
            <w:r w:rsidRPr="00616D62">
              <w:rPr>
                <w:rFonts w:cs="Arial"/>
                <w:sz w:val="20"/>
                <w:szCs w:val="20"/>
              </w:rPr>
              <w:t xml:space="preserve"> will </w:t>
            </w:r>
            <w:r w:rsidR="00E65BFC">
              <w:rPr>
                <w:rFonts w:cs="Arial"/>
                <w:sz w:val="20"/>
                <w:szCs w:val="20"/>
              </w:rPr>
              <w:t xml:space="preserve">support </w:t>
            </w:r>
            <w:r w:rsidRPr="00616D62">
              <w:rPr>
                <w:rFonts w:cs="Arial"/>
                <w:sz w:val="20"/>
                <w:szCs w:val="20"/>
              </w:rPr>
              <w:t xml:space="preserve">KIT to </w:t>
            </w:r>
            <w:r w:rsidR="00E65BFC">
              <w:rPr>
                <w:rFonts w:cs="Arial"/>
                <w:sz w:val="20"/>
                <w:szCs w:val="20"/>
              </w:rPr>
              <w:t>develop</w:t>
            </w:r>
            <w:r w:rsidRPr="00616D62">
              <w:rPr>
                <w:rFonts w:cs="Arial"/>
                <w:sz w:val="20"/>
                <w:szCs w:val="20"/>
              </w:rPr>
              <w:t xml:space="preserve"> partnership</w:t>
            </w:r>
            <w:r w:rsidR="00E65BFC">
              <w:rPr>
                <w:rFonts w:cs="Arial"/>
                <w:sz w:val="20"/>
                <w:szCs w:val="20"/>
              </w:rPr>
              <w:t>s</w:t>
            </w:r>
            <w:r w:rsidRPr="00616D62">
              <w:rPr>
                <w:rFonts w:cs="Arial"/>
                <w:sz w:val="20"/>
                <w:szCs w:val="20"/>
              </w:rPr>
              <w:t xml:space="preserve"> with Australian and</w:t>
            </w:r>
            <w:r w:rsidR="00E65BFC">
              <w:rPr>
                <w:rFonts w:cs="Arial"/>
                <w:sz w:val="20"/>
                <w:szCs w:val="20"/>
              </w:rPr>
              <w:t>/or</w:t>
            </w:r>
            <w:r w:rsidRPr="00616D62">
              <w:rPr>
                <w:rFonts w:cs="Arial"/>
                <w:sz w:val="20"/>
                <w:szCs w:val="20"/>
              </w:rPr>
              <w:t xml:space="preserve"> regional registered training organisations (RTOs) to deliver international</w:t>
            </w:r>
            <w:r w:rsidR="00E65BFC">
              <w:rPr>
                <w:rFonts w:cs="Arial"/>
                <w:sz w:val="20"/>
                <w:szCs w:val="20"/>
              </w:rPr>
              <w:t>ly-recognised</w:t>
            </w:r>
            <w:r w:rsidRPr="00616D62">
              <w:rPr>
                <w:rFonts w:cs="Arial"/>
                <w:sz w:val="20"/>
                <w:szCs w:val="20"/>
              </w:rPr>
              <w:t xml:space="preserve"> Certificate III qualifications </w:t>
            </w:r>
            <w:r w:rsidR="00E65BFC">
              <w:rPr>
                <w:rFonts w:cs="Arial"/>
                <w:sz w:val="20"/>
                <w:szCs w:val="20"/>
              </w:rPr>
              <w:t>that build on the Certificate II qualifications obtained at KIT, targeted at</w:t>
            </w:r>
            <w:r w:rsidR="00E65BFC" w:rsidRPr="00616D62">
              <w:rPr>
                <w:rFonts w:cs="Arial"/>
                <w:sz w:val="20"/>
                <w:szCs w:val="20"/>
              </w:rPr>
              <w:t xml:space="preserve"> </w:t>
            </w:r>
            <w:r w:rsidR="00E65BFC">
              <w:rPr>
                <w:rFonts w:cs="Arial"/>
                <w:sz w:val="20"/>
                <w:szCs w:val="20"/>
              </w:rPr>
              <w:t>graduates seeking</w:t>
            </w:r>
            <w:r w:rsidR="00E65BFC" w:rsidRPr="00616D62">
              <w:rPr>
                <w:rFonts w:cs="Arial"/>
                <w:sz w:val="20"/>
                <w:szCs w:val="20"/>
              </w:rPr>
              <w:t xml:space="preserve"> </w:t>
            </w:r>
            <w:r w:rsidRPr="00616D62">
              <w:rPr>
                <w:rFonts w:cs="Arial"/>
                <w:sz w:val="20"/>
                <w:szCs w:val="20"/>
              </w:rPr>
              <w:t xml:space="preserve">offshore </w:t>
            </w:r>
            <w:r w:rsidRPr="00260791">
              <w:rPr>
                <w:rFonts w:cs="Arial"/>
                <w:sz w:val="20"/>
                <w:szCs w:val="20"/>
              </w:rPr>
              <w:t>employment.</w:t>
            </w:r>
            <w:r w:rsidR="0038645C" w:rsidRPr="00260791">
              <w:rPr>
                <w:rFonts w:cs="Arial"/>
                <w:sz w:val="20"/>
                <w:szCs w:val="20"/>
              </w:rPr>
              <w:t xml:space="preserve"> </w:t>
            </w:r>
            <w:r w:rsidR="00260791">
              <w:rPr>
                <w:rFonts w:cs="Arial"/>
                <w:sz w:val="20"/>
                <w:szCs w:val="20"/>
              </w:rPr>
              <w:t>A</w:t>
            </w:r>
            <w:r w:rsidR="0038645C" w:rsidRPr="00260791">
              <w:rPr>
                <w:rFonts w:cs="Arial"/>
                <w:sz w:val="20"/>
                <w:szCs w:val="20"/>
              </w:rPr>
              <w:t>P</w:t>
            </w:r>
            <w:r w:rsidR="00260791">
              <w:rPr>
                <w:rFonts w:cs="Arial"/>
                <w:sz w:val="20"/>
                <w:szCs w:val="20"/>
              </w:rPr>
              <w:t>T</w:t>
            </w:r>
            <w:r w:rsidR="0038645C" w:rsidRPr="00260791">
              <w:rPr>
                <w:rFonts w:cs="Arial"/>
                <w:sz w:val="20"/>
                <w:szCs w:val="20"/>
              </w:rPr>
              <w:t xml:space="preserve">C will </w:t>
            </w:r>
            <w:r w:rsidR="00260791">
              <w:rPr>
                <w:rFonts w:cs="Arial"/>
                <w:sz w:val="20"/>
                <w:szCs w:val="20"/>
              </w:rPr>
              <w:t xml:space="preserve">continue to provide KIT Certificate II to APTC Certificate III pathways where appropriate. </w:t>
            </w:r>
            <w:r w:rsidR="0038645C">
              <w:rPr>
                <w:rFonts w:cs="Arial"/>
                <w:sz w:val="20"/>
                <w:szCs w:val="20"/>
              </w:rPr>
              <w:t xml:space="preserve"> </w:t>
            </w:r>
          </w:p>
        </w:tc>
      </w:tr>
      <w:tr w:rsidR="003F244C" w:rsidRPr="007E3C31" w:rsidTr="003F244C">
        <w:trPr>
          <w:cantSplit/>
          <w:trHeight w:val="398"/>
        </w:trPr>
        <w:tc>
          <w:tcPr>
            <w:tcW w:w="3480" w:type="dxa"/>
            <w:gridSpan w:val="2"/>
            <w:tcBorders>
              <w:right w:val="single" w:sz="4" w:space="0" w:color="auto"/>
            </w:tcBorders>
            <w:shd w:val="clear" w:color="auto" w:fill="D9D9D9" w:themeFill="background1" w:themeFillShade="D9"/>
          </w:tcPr>
          <w:p w:rsidR="003F244C" w:rsidRPr="00616D62" w:rsidRDefault="003F244C" w:rsidP="003F244C">
            <w:pPr>
              <w:widowControl/>
              <w:autoSpaceDE/>
              <w:autoSpaceDN/>
              <w:adjustRightInd/>
              <w:spacing w:before="120"/>
              <w:rPr>
                <w:rFonts w:cs="Arial"/>
                <w:b/>
                <w:sz w:val="20"/>
                <w:szCs w:val="20"/>
              </w:rPr>
            </w:pPr>
            <w:r>
              <w:rPr>
                <w:rFonts w:cs="Arial"/>
                <w:b/>
                <w:sz w:val="20"/>
                <w:lang w:eastAsia="en-US"/>
              </w:rPr>
              <w:t>Recommendation 8</w:t>
            </w:r>
          </w:p>
        </w:tc>
        <w:tc>
          <w:tcPr>
            <w:tcW w:w="9589" w:type="dxa"/>
            <w:tcBorders>
              <w:left w:val="single" w:sz="4" w:space="0" w:color="auto"/>
            </w:tcBorders>
            <w:shd w:val="clear" w:color="auto" w:fill="D9D9D9" w:themeFill="background1" w:themeFillShade="D9"/>
          </w:tcPr>
          <w:p w:rsidR="003F244C" w:rsidRPr="00616D62" w:rsidRDefault="003F244C" w:rsidP="003F244C">
            <w:pPr>
              <w:widowControl/>
              <w:autoSpaceDE/>
              <w:autoSpaceDN/>
              <w:adjustRightInd/>
              <w:spacing w:before="120"/>
              <w:rPr>
                <w:rFonts w:cs="Arial"/>
                <w:b/>
                <w:sz w:val="20"/>
                <w:szCs w:val="20"/>
              </w:rPr>
            </w:pPr>
            <w:r w:rsidRPr="00C328FF">
              <w:rPr>
                <w:rFonts w:cs="Arial"/>
                <w:b/>
                <w:sz w:val="20"/>
                <w:szCs w:val="20"/>
              </w:rPr>
              <w:t>KIT market</w:t>
            </w:r>
            <w:r>
              <w:rPr>
                <w:rFonts w:cs="Arial"/>
                <w:b/>
                <w:sz w:val="20"/>
                <w:szCs w:val="20"/>
              </w:rPr>
              <w:t>ing</w:t>
            </w:r>
            <w:r w:rsidRPr="00C328FF">
              <w:rPr>
                <w:rFonts w:cs="Arial"/>
                <w:b/>
                <w:sz w:val="20"/>
                <w:szCs w:val="20"/>
              </w:rPr>
              <w:t xml:space="preserve"> and communication functions need to promote the quality of KIT graduates to an international audience</w:t>
            </w:r>
            <w:r>
              <w:rPr>
                <w:rFonts w:cs="Arial"/>
                <w:b/>
                <w:sz w:val="20"/>
                <w:szCs w:val="20"/>
              </w:rPr>
              <w:t>.</w:t>
            </w:r>
          </w:p>
        </w:tc>
      </w:tr>
      <w:tr w:rsidR="003F244C" w:rsidRPr="007E3C31" w:rsidTr="00B8323D">
        <w:trPr>
          <w:cantSplit/>
          <w:trHeight w:val="398"/>
        </w:trPr>
        <w:tc>
          <w:tcPr>
            <w:tcW w:w="13069" w:type="dxa"/>
            <w:gridSpan w:val="3"/>
            <w:shd w:val="clear" w:color="auto" w:fill="FFFFFF" w:themeFill="background1"/>
          </w:tcPr>
          <w:p w:rsidR="003F244C" w:rsidRPr="00C328FF" w:rsidRDefault="003F244C" w:rsidP="0038645C">
            <w:pPr>
              <w:widowControl/>
              <w:autoSpaceDE/>
              <w:autoSpaceDN/>
              <w:adjustRightInd/>
              <w:spacing w:before="120"/>
              <w:rPr>
                <w:rFonts w:cs="Arial"/>
                <w:b/>
                <w:sz w:val="20"/>
                <w:szCs w:val="20"/>
              </w:rPr>
            </w:pPr>
            <w:r w:rsidRPr="00616D62">
              <w:rPr>
                <w:rFonts w:cs="Arial"/>
                <w:b/>
                <w:sz w:val="20"/>
                <w:szCs w:val="20"/>
              </w:rPr>
              <w:t>DFAT response</w:t>
            </w:r>
            <w:r w:rsidRPr="00616D62">
              <w:rPr>
                <w:rFonts w:cs="Arial"/>
                <w:sz w:val="20"/>
                <w:szCs w:val="20"/>
              </w:rPr>
              <w:t>:</w:t>
            </w:r>
            <w:r>
              <w:rPr>
                <w:rFonts w:cs="Arial"/>
                <w:sz w:val="20"/>
                <w:szCs w:val="20"/>
              </w:rPr>
              <w:t xml:space="preserve"> </w:t>
            </w:r>
            <w:r w:rsidRPr="00616D62">
              <w:rPr>
                <w:rFonts w:cs="Arial"/>
                <w:sz w:val="20"/>
                <w:szCs w:val="20"/>
              </w:rPr>
              <w:t xml:space="preserve">Agree. </w:t>
            </w:r>
            <w:r w:rsidR="0038645C">
              <w:rPr>
                <w:rFonts w:cs="Arial"/>
                <w:sz w:val="20"/>
                <w:szCs w:val="20"/>
              </w:rPr>
              <w:t>SfEP</w:t>
            </w:r>
            <w:r w:rsidRPr="00616D62">
              <w:rPr>
                <w:rFonts w:cs="Arial"/>
                <w:sz w:val="20"/>
                <w:szCs w:val="20"/>
              </w:rPr>
              <w:t xml:space="preserve"> will </w:t>
            </w:r>
            <w:r>
              <w:rPr>
                <w:rFonts w:cs="Arial"/>
                <w:sz w:val="20"/>
                <w:szCs w:val="20"/>
              </w:rPr>
              <w:t xml:space="preserve">support KIT to </w:t>
            </w:r>
            <w:r w:rsidRPr="00616D62">
              <w:rPr>
                <w:rFonts w:cs="Arial"/>
                <w:sz w:val="20"/>
                <w:szCs w:val="20"/>
              </w:rPr>
              <w:t>develop and implement strategies to market KIT graduates internationally</w:t>
            </w:r>
            <w:r>
              <w:rPr>
                <w:rFonts w:cs="Arial"/>
                <w:sz w:val="20"/>
                <w:szCs w:val="20"/>
              </w:rPr>
              <w:t>, as well as domestically</w:t>
            </w:r>
            <w:r w:rsidRPr="00616D62">
              <w:rPr>
                <w:rFonts w:cs="Arial"/>
                <w:sz w:val="20"/>
                <w:szCs w:val="20"/>
              </w:rPr>
              <w:t xml:space="preserve">. </w:t>
            </w:r>
            <w:r>
              <w:rPr>
                <w:rFonts w:cs="Arial"/>
                <w:sz w:val="20"/>
                <w:szCs w:val="20"/>
              </w:rPr>
              <w:t xml:space="preserve">This will help </w:t>
            </w:r>
            <w:r w:rsidRPr="00E9549A">
              <w:rPr>
                <w:rFonts w:cs="Arial"/>
                <w:sz w:val="20"/>
                <w:szCs w:val="20"/>
              </w:rPr>
              <w:t>create</w:t>
            </w:r>
            <w:r>
              <w:rPr>
                <w:rFonts w:cs="Arial"/>
                <w:sz w:val="20"/>
                <w:szCs w:val="20"/>
              </w:rPr>
              <w:t xml:space="preserve"> international labour market demand for KIT graduates.  </w:t>
            </w:r>
          </w:p>
        </w:tc>
      </w:tr>
      <w:tr w:rsidR="003F244C" w:rsidRPr="007E3C31" w:rsidTr="003F244C">
        <w:trPr>
          <w:cantSplit/>
          <w:trHeight w:val="398"/>
        </w:trPr>
        <w:tc>
          <w:tcPr>
            <w:tcW w:w="3480" w:type="dxa"/>
            <w:gridSpan w:val="2"/>
            <w:tcBorders>
              <w:right w:val="single" w:sz="4" w:space="0" w:color="auto"/>
            </w:tcBorders>
            <w:shd w:val="clear" w:color="auto" w:fill="D9D9D9" w:themeFill="background1" w:themeFillShade="D9"/>
            <w:vAlign w:val="center"/>
          </w:tcPr>
          <w:p w:rsidR="003F244C" w:rsidRPr="007E3C31" w:rsidRDefault="003F244C" w:rsidP="003F244C">
            <w:pPr>
              <w:widowControl/>
              <w:autoSpaceDE/>
              <w:autoSpaceDN/>
              <w:adjustRightInd/>
              <w:spacing w:before="120"/>
              <w:rPr>
                <w:rFonts w:cs="Arial"/>
                <w:b/>
                <w:sz w:val="20"/>
                <w:lang w:eastAsia="en-US"/>
              </w:rPr>
            </w:pPr>
            <w:r>
              <w:rPr>
                <w:rFonts w:cs="Arial"/>
                <w:b/>
                <w:sz w:val="20"/>
                <w:lang w:eastAsia="en-US"/>
              </w:rPr>
              <w:t>Recommendation 9</w:t>
            </w:r>
          </w:p>
        </w:tc>
        <w:tc>
          <w:tcPr>
            <w:tcW w:w="9589" w:type="dxa"/>
            <w:tcBorders>
              <w:left w:val="single" w:sz="4" w:space="0" w:color="auto"/>
            </w:tcBorders>
            <w:shd w:val="clear" w:color="auto" w:fill="D9D9D9" w:themeFill="background1" w:themeFillShade="D9"/>
            <w:vAlign w:val="center"/>
          </w:tcPr>
          <w:p w:rsidR="003F244C" w:rsidRPr="00C328FF" w:rsidRDefault="003F244C" w:rsidP="004F58C2">
            <w:pPr>
              <w:widowControl/>
              <w:autoSpaceDE/>
              <w:autoSpaceDN/>
              <w:adjustRightInd/>
              <w:spacing w:before="120"/>
              <w:rPr>
                <w:rFonts w:cs="Arial"/>
                <w:b/>
                <w:sz w:val="20"/>
                <w:lang w:eastAsia="en-US"/>
              </w:rPr>
            </w:pPr>
            <w:r w:rsidRPr="00C328FF">
              <w:rPr>
                <w:rFonts w:cs="Arial"/>
                <w:b/>
                <w:sz w:val="20"/>
                <w:szCs w:val="20"/>
              </w:rPr>
              <w:t xml:space="preserve">Coordination </w:t>
            </w:r>
            <w:r w:rsidR="004F58C2">
              <w:rPr>
                <w:rFonts w:cs="Arial"/>
                <w:b/>
                <w:sz w:val="20"/>
                <w:szCs w:val="20"/>
              </w:rPr>
              <w:t>within MLHRD</w:t>
            </w:r>
            <w:r w:rsidRPr="00C328FF">
              <w:rPr>
                <w:rFonts w:cs="Arial"/>
                <w:b/>
                <w:sz w:val="20"/>
                <w:szCs w:val="20"/>
              </w:rPr>
              <w:t>, in so far as supporting access to international employment opportunities need</w:t>
            </w:r>
            <w:r w:rsidR="004F58C2">
              <w:rPr>
                <w:rFonts w:cs="Arial"/>
                <w:b/>
                <w:sz w:val="20"/>
                <w:szCs w:val="20"/>
              </w:rPr>
              <w:t>s</w:t>
            </w:r>
            <w:r w:rsidRPr="00C328FF">
              <w:rPr>
                <w:rFonts w:cs="Arial"/>
                <w:b/>
                <w:sz w:val="20"/>
                <w:szCs w:val="20"/>
              </w:rPr>
              <w:t xml:space="preserve"> to be strengthened</w:t>
            </w:r>
            <w:r>
              <w:rPr>
                <w:rFonts w:cs="Arial"/>
                <w:b/>
                <w:sz w:val="20"/>
                <w:szCs w:val="20"/>
              </w:rPr>
              <w:t>.</w:t>
            </w:r>
          </w:p>
        </w:tc>
      </w:tr>
      <w:tr w:rsidR="003F244C" w:rsidRPr="007E3C31" w:rsidTr="00401B9B">
        <w:trPr>
          <w:cantSplit/>
          <w:trHeight w:val="398"/>
        </w:trPr>
        <w:tc>
          <w:tcPr>
            <w:tcW w:w="13069" w:type="dxa"/>
            <w:gridSpan w:val="3"/>
            <w:shd w:val="clear" w:color="auto" w:fill="FFFFFF" w:themeFill="background1"/>
            <w:vAlign w:val="center"/>
          </w:tcPr>
          <w:p w:rsidR="003F244C" w:rsidRPr="00616D62" w:rsidRDefault="003F244C" w:rsidP="003F244C">
            <w:pPr>
              <w:rPr>
                <w:rFonts w:cs="Arial"/>
                <w:sz w:val="20"/>
                <w:szCs w:val="20"/>
              </w:rPr>
            </w:pPr>
            <w:r w:rsidRPr="00616D62">
              <w:rPr>
                <w:rFonts w:cs="Arial"/>
                <w:b/>
                <w:sz w:val="20"/>
                <w:szCs w:val="20"/>
              </w:rPr>
              <w:t>DFAT response</w:t>
            </w:r>
            <w:r w:rsidRPr="00616D62">
              <w:rPr>
                <w:rFonts w:cs="Arial"/>
                <w:sz w:val="20"/>
                <w:szCs w:val="20"/>
              </w:rPr>
              <w:t>:</w:t>
            </w:r>
            <w:r>
              <w:rPr>
                <w:rFonts w:cs="Arial"/>
                <w:sz w:val="20"/>
                <w:szCs w:val="20"/>
              </w:rPr>
              <w:t xml:space="preserve"> </w:t>
            </w:r>
            <w:r w:rsidRPr="00616D62">
              <w:rPr>
                <w:rFonts w:cs="Arial"/>
                <w:sz w:val="20"/>
                <w:szCs w:val="20"/>
              </w:rPr>
              <w:t xml:space="preserve">Agree. </w:t>
            </w:r>
            <w:r w:rsidR="0038645C">
              <w:rPr>
                <w:rFonts w:cs="Arial"/>
                <w:sz w:val="20"/>
                <w:szCs w:val="20"/>
              </w:rPr>
              <w:t>SfEP</w:t>
            </w:r>
            <w:r w:rsidRPr="00616D62">
              <w:rPr>
                <w:rFonts w:cs="Arial"/>
                <w:sz w:val="20"/>
                <w:szCs w:val="20"/>
              </w:rPr>
              <w:t xml:space="preserve"> will support MLHRD to improve the management and coordination of the skills sector. This will include:</w:t>
            </w:r>
          </w:p>
          <w:p w:rsidR="003F244C" w:rsidRPr="00616D62" w:rsidRDefault="003F244C" w:rsidP="003F244C">
            <w:pPr>
              <w:pStyle w:val="ListParagraph"/>
              <w:numPr>
                <w:ilvl w:val="0"/>
                <w:numId w:val="3"/>
              </w:numPr>
              <w:rPr>
                <w:rFonts w:ascii="Arial" w:hAnsi="Arial" w:cs="Arial"/>
                <w:sz w:val="20"/>
                <w:szCs w:val="20"/>
              </w:rPr>
            </w:pPr>
            <w:r w:rsidRPr="00616D62">
              <w:rPr>
                <w:rFonts w:ascii="Arial" w:hAnsi="Arial" w:cs="Arial"/>
                <w:sz w:val="20"/>
                <w:szCs w:val="20"/>
              </w:rPr>
              <w:t xml:space="preserve">Supporting the </w:t>
            </w:r>
            <w:r>
              <w:rPr>
                <w:rFonts w:ascii="Arial" w:hAnsi="Arial" w:cs="Arial"/>
                <w:sz w:val="20"/>
                <w:szCs w:val="20"/>
              </w:rPr>
              <w:t>M</w:t>
            </w:r>
            <w:r w:rsidRPr="00616D62">
              <w:rPr>
                <w:rFonts w:ascii="Arial" w:hAnsi="Arial" w:cs="Arial"/>
                <w:sz w:val="20"/>
                <w:szCs w:val="20"/>
              </w:rPr>
              <w:t>inistry</w:t>
            </w:r>
            <w:r>
              <w:rPr>
                <w:rFonts w:ascii="Arial" w:hAnsi="Arial" w:cs="Arial"/>
                <w:sz w:val="20"/>
                <w:szCs w:val="20"/>
              </w:rPr>
              <w:t xml:space="preserve"> to</w:t>
            </w:r>
            <w:r w:rsidRPr="00616D62">
              <w:rPr>
                <w:rFonts w:ascii="Arial" w:hAnsi="Arial" w:cs="Arial"/>
                <w:sz w:val="20"/>
                <w:szCs w:val="20"/>
              </w:rPr>
              <w:t xml:space="preserve"> improve worker mobilisation systems and</w:t>
            </w:r>
            <w:r w:rsidR="0038645C">
              <w:rPr>
                <w:rFonts w:ascii="Arial" w:hAnsi="Arial" w:cs="Arial"/>
                <w:sz w:val="20"/>
                <w:szCs w:val="20"/>
              </w:rPr>
              <w:t xml:space="preserve"> procedures and</w:t>
            </w:r>
            <w:r w:rsidRPr="00616D62">
              <w:rPr>
                <w:rFonts w:ascii="Arial" w:hAnsi="Arial" w:cs="Arial"/>
                <w:sz w:val="20"/>
                <w:szCs w:val="20"/>
              </w:rPr>
              <w:t xml:space="preserve"> liaison with employers;</w:t>
            </w:r>
          </w:p>
          <w:p w:rsidR="003F244C" w:rsidRPr="00C328FF" w:rsidRDefault="003F244C" w:rsidP="0038645C">
            <w:pPr>
              <w:pStyle w:val="ListParagraph"/>
              <w:numPr>
                <w:ilvl w:val="0"/>
                <w:numId w:val="3"/>
              </w:numPr>
              <w:rPr>
                <w:rFonts w:cs="Arial"/>
                <w:b/>
                <w:sz w:val="20"/>
                <w:szCs w:val="20"/>
              </w:rPr>
            </w:pPr>
            <w:r w:rsidRPr="00616D62">
              <w:rPr>
                <w:rFonts w:ascii="Arial" w:hAnsi="Arial" w:cs="Arial"/>
                <w:sz w:val="20"/>
                <w:szCs w:val="20"/>
              </w:rPr>
              <w:t xml:space="preserve">DFAT and the </w:t>
            </w:r>
            <w:r>
              <w:rPr>
                <w:rFonts w:ascii="Arial" w:hAnsi="Arial" w:cs="Arial"/>
                <w:sz w:val="20"/>
                <w:szCs w:val="20"/>
              </w:rPr>
              <w:t>M</w:t>
            </w:r>
            <w:r w:rsidRPr="00616D62">
              <w:rPr>
                <w:rFonts w:ascii="Arial" w:hAnsi="Arial" w:cs="Arial"/>
                <w:sz w:val="20"/>
                <w:szCs w:val="20"/>
              </w:rPr>
              <w:t xml:space="preserve">inistry working together to support the implementation of the </w:t>
            </w:r>
            <w:r w:rsidRPr="00990FC7">
              <w:rPr>
                <w:rFonts w:ascii="Arial" w:hAnsi="Arial" w:cs="Arial"/>
                <w:sz w:val="20"/>
                <w:szCs w:val="20"/>
              </w:rPr>
              <w:t>Pacific Microstates - Northern Australian Worker Pilot  Program</w:t>
            </w:r>
            <w:r w:rsidRPr="00616D62">
              <w:rPr>
                <w:rFonts w:ascii="Arial" w:hAnsi="Arial" w:cs="Arial"/>
                <w:sz w:val="20"/>
                <w:szCs w:val="20"/>
              </w:rPr>
              <w:t xml:space="preserve"> for workers from </w:t>
            </w:r>
            <w:r>
              <w:rPr>
                <w:rFonts w:ascii="Arial" w:hAnsi="Arial" w:cs="Arial"/>
                <w:sz w:val="20"/>
                <w:szCs w:val="20"/>
              </w:rPr>
              <w:t>P</w:t>
            </w:r>
            <w:r w:rsidRPr="00616D62">
              <w:rPr>
                <w:rFonts w:ascii="Arial" w:hAnsi="Arial" w:cs="Arial"/>
                <w:sz w:val="20"/>
                <w:szCs w:val="20"/>
              </w:rPr>
              <w:t xml:space="preserve">acific microstates and the </w:t>
            </w:r>
            <w:r w:rsidR="0038645C">
              <w:rPr>
                <w:rFonts w:ascii="Arial" w:hAnsi="Arial" w:cs="Arial"/>
                <w:sz w:val="20"/>
                <w:szCs w:val="20"/>
              </w:rPr>
              <w:t>expanded</w:t>
            </w:r>
            <w:r w:rsidRPr="00616D62">
              <w:rPr>
                <w:rFonts w:ascii="Arial" w:hAnsi="Arial" w:cs="Arial"/>
                <w:sz w:val="20"/>
                <w:szCs w:val="20"/>
              </w:rPr>
              <w:t xml:space="preserve"> Seasonal Worker Program.</w:t>
            </w:r>
          </w:p>
        </w:tc>
      </w:tr>
    </w:tbl>
    <w:p w:rsidR="00C328FF" w:rsidRDefault="00B41081" w:rsidP="00B41081">
      <w:pPr>
        <w:rPr>
          <w:rFonts w:cs="Arial"/>
          <w:b/>
          <w:sz w:val="20"/>
          <w:szCs w:val="20"/>
          <w:u w:val="single"/>
        </w:rPr>
      </w:pPr>
      <w:r w:rsidRPr="00C328FF">
        <w:rPr>
          <w:rFonts w:cs="Arial"/>
          <w:b/>
          <w:szCs w:val="22"/>
        </w:rPr>
        <w:lastRenderedPageBreak/>
        <w:t xml:space="preserve">Capacity Strengthening </w:t>
      </w:r>
    </w:p>
    <w:tbl>
      <w:tblPr>
        <w:tblpPr w:leftFromText="180" w:rightFromText="180" w:vertAnchor="text" w:tblpY="1"/>
        <w:tblOverlap w:val="never"/>
        <w:tblW w:w="1306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64"/>
        <w:gridCol w:w="9605"/>
      </w:tblGrid>
      <w:tr w:rsidR="00C328FF" w:rsidRPr="007E3C31" w:rsidTr="00321BCF">
        <w:trPr>
          <w:cantSplit/>
          <w:trHeight w:val="76"/>
          <w:tblHeader/>
        </w:trPr>
        <w:tc>
          <w:tcPr>
            <w:tcW w:w="3464" w:type="dxa"/>
            <w:shd w:val="clear" w:color="auto" w:fill="E0E0E0"/>
            <w:vAlign w:val="center"/>
          </w:tcPr>
          <w:p w:rsidR="00C328FF" w:rsidRPr="007E3C31" w:rsidRDefault="00C328FF" w:rsidP="000477F4">
            <w:pPr>
              <w:widowControl/>
              <w:autoSpaceDE/>
              <w:autoSpaceDN/>
              <w:adjustRightInd/>
              <w:spacing w:before="120"/>
              <w:rPr>
                <w:rFonts w:cs="Arial"/>
                <w:b/>
                <w:sz w:val="20"/>
                <w:lang w:eastAsia="en-US"/>
              </w:rPr>
            </w:pPr>
            <w:r>
              <w:rPr>
                <w:rFonts w:cs="Arial"/>
                <w:b/>
                <w:sz w:val="20"/>
                <w:lang w:eastAsia="en-US"/>
              </w:rPr>
              <w:t>Recommendation 10</w:t>
            </w:r>
          </w:p>
        </w:tc>
        <w:tc>
          <w:tcPr>
            <w:tcW w:w="9605" w:type="dxa"/>
            <w:shd w:val="clear" w:color="auto" w:fill="E0E0E0"/>
            <w:vAlign w:val="center"/>
          </w:tcPr>
          <w:p w:rsidR="00C328FF" w:rsidRPr="00C328FF" w:rsidRDefault="00C328FF" w:rsidP="004F58C2">
            <w:pPr>
              <w:widowControl/>
              <w:autoSpaceDE/>
              <w:autoSpaceDN/>
              <w:adjustRightInd/>
              <w:spacing w:before="120"/>
              <w:rPr>
                <w:rFonts w:cs="Arial"/>
                <w:b/>
                <w:sz w:val="20"/>
                <w:lang w:eastAsia="en-US"/>
              </w:rPr>
            </w:pPr>
            <w:r w:rsidRPr="00C328FF">
              <w:rPr>
                <w:rFonts w:cs="Arial"/>
                <w:b/>
                <w:sz w:val="20"/>
                <w:szCs w:val="20"/>
              </w:rPr>
              <w:t>The delivery of capacity strengthening support needs to be flexible. Targets set against this need to focus on capacity building outcomes rather than the delivery of outputs</w:t>
            </w:r>
            <w:r w:rsidR="00EC63E2">
              <w:rPr>
                <w:rFonts w:cs="Arial"/>
                <w:b/>
                <w:sz w:val="20"/>
                <w:szCs w:val="20"/>
              </w:rPr>
              <w:t>.</w:t>
            </w:r>
          </w:p>
        </w:tc>
      </w:tr>
      <w:tr w:rsidR="00C328FF" w:rsidRPr="007E3C31" w:rsidTr="000477F4">
        <w:trPr>
          <w:cantSplit/>
          <w:trHeight w:val="398"/>
        </w:trPr>
        <w:tc>
          <w:tcPr>
            <w:tcW w:w="13069" w:type="dxa"/>
            <w:gridSpan w:val="2"/>
            <w:shd w:val="clear" w:color="auto" w:fill="auto"/>
          </w:tcPr>
          <w:p w:rsidR="00C328FF" w:rsidRPr="00C328FF" w:rsidRDefault="00C328FF" w:rsidP="00320626">
            <w:pPr>
              <w:rPr>
                <w:rFonts w:cs="Arial"/>
                <w:sz w:val="20"/>
                <w:szCs w:val="20"/>
                <w:lang w:eastAsia="en-US"/>
              </w:rPr>
            </w:pPr>
            <w:r w:rsidRPr="00616D62">
              <w:rPr>
                <w:rFonts w:cs="Arial"/>
                <w:b/>
                <w:sz w:val="20"/>
                <w:szCs w:val="20"/>
              </w:rPr>
              <w:t>DFAT response</w:t>
            </w:r>
            <w:r w:rsidRPr="00616D62">
              <w:rPr>
                <w:rFonts w:cs="Arial"/>
                <w:sz w:val="20"/>
                <w:szCs w:val="20"/>
              </w:rPr>
              <w:t>:</w:t>
            </w:r>
            <w:r>
              <w:rPr>
                <w:rFonts w:cs="Arial"/>
                <w:sz w:val="20"/>
                <w:szCs w:val="20"/>
              </w:rPr>
              <w:t xml:space="preserve"> </w:t>
            </w:r>
            <w:r w:rsidRPr="00616D62">
              <w:rPr>
                <w:rFonts w:cs="Arial"/>
                <w:sz w:val="20"/>
                <w:szCs w:val="20"/>
              </w:rPr>
              <w:t xml:space="preserve">Agree. </w:t>
            </w:r>
            <w:r w:rsidR="00543091">
              <w:rPr>
                <w:rFonts w:cs="Arial"/>
                <w:sz w:val="20"/>
                <w:szCs w:val="20"/>
              </w:rPr>
              <w:t>SfEP</w:t>
            </w:r>
            <w:r w:rsidRPr="00616D62">
              <w:rPr>
                <w:rFonts w:cs="Arial"/>
                <w:sz w:val="20"/>
                <w:szCs w:val="20"/>
              </w:rPr>
              <w:t xml:space="preserve"> will deliver flexible capacity strengthening support</w:t>
            </w:r>
            <w:r w:rsidR="00D82348">
              <w:rPr>
                <w:rFonts w:cs="Arial"/>
                <w:sz w:val="20"/>
                <w:szCs w:val="20"/>
              </w:rPr>
              <w:t xml:space="preserve"> to MLHRD</w:t>
            </w:r>
            <w:r w:rsidR="00790F47">
              <w:rPr>
                <w:rFonts w:cs="Arial"/>
                <w:sz w:val="20"/>
                <w:szCs w:val="20"/>
              </w:rPr>
              <w:t xml:space="preserve"> through a </w:t>
            </w:r>
            <w:r w:rsidR="004F58C2">
              <w:rPr>
                <w:rFonts w:cs="Arial"/>
                <w:sz w:val="20"/>
                <w:szCs w:val="20"/>
              </w:rPr>
              <w:t>range of activities</w:t>
            </w:r>
            <w:r w:rsidR="00B85417">
              <w:rPr>
                <w:rFonts w:cs="Arial"/>
                <w:sz w:val="20"/>
                <w:szCs w:val="20"/>
              </w:rPr>
              <w:t>. The targets set by these activities will</w:t>
            </w:r>
            <w:r w:rsidR="004F58C2">
              <w:rPr>
                <w:rFonts w:cs="Arial"/>
                <w:sz w:val="20"/>
                <w:szCs w:val="20"/>
              </w:rPr>
              <w:t xml:space="preserve"> focus on</w:t>
            </w:r>
            <w:r w:rsidR="006438FB">
              <w:rPr>
                <w:rFonts w:cs="Arial"/>
                <w:sz w:val="20"/>
                <w:szCs w:val="20"/>
              </w:rPr>
              <w:t xml:space="preserve"> building</w:t>
            </w:r>
            <w:r w:rsidR="004F58C2">
              <w:rPr>
                <w:rFonts w:cs="Arial"/>
                <w:sz w:val="20"/>
                <w:szCs w:val="20"/>
              </w:rPr>
              <w:t xml:space="preserve"> outcomes</w:t>
            </w:r>
            <w:r w:rsidR="006438FB">
              <w:rPr>
                <w:rFonts w:cs="Arial"/>
                <w:sz w:val="20"/>
                <w:szCs w:val="20"/>
              </w:rPr>
              <w:t xml:space="preserve">. This includes supporting MLHRD to realise regional and international labour mobility </w:t>
            </w:r>
            <w:r w:rsidR="00B85417">
              <w:rPr>
                <w:rFonts w:cs="Arial"/>
                <w:sz w:val="20"/>
                <w:szCs w:val="20"/>
              </w:rPr>
              <w:t>o</w:t>
            </w:r>
            <w:r w:rsidR="006438FB">
              <w:rPr>
                <w:rFonts w:cs="Arial"/>
                <w:sz w:val="20"/>
                <w:szCs w:val="20"/>
              </w:rPr>
              <w:t>pportunities</w:t>
            </w:r>
            <w:r w:rsidR="00B85417">
              <w:rPr>
                <w:rFonts w:cs="Arial"/>
                <w:sz w:val="20"/>
                <w:szCs w:val="20"/>
              </w:rPr>
              <w:t xml:space="preserve"> </w:t>
            </w:r>
            <w:r w:rsidR="00320626">
              <w:rPr>
                <w:rFonts w:cs="Arial"/>
                <w:sz w:val="20"/>
                <w:szCs w:val="20"/>
              </w:rPr>
              <w:t>and</w:t>
            </w:r>
            <w:r w:rsidR="00B85417">
              <w:rPr>
                <w:rFonts w:cs="Arial"/>
                <w:sz w:val="20"/>
                <w:szCs w:val="20"/>
              </w:rPr>
              <w:t xml:space="preserve"> assist in the development of policy, systems and processes that will help develop the national TVET system.  </w:t>
            </w:r>
          </w:p>
        </w:tc>
      </w:tr>
      <w:tr w:rsidR="00321BCF" w:rsidRPr="007E3C31" w:rsidTr="00321BCF">
        <w:trPr>
          <w:cantSplit/>
          <w:trHeight w:val="398"/>
        </w:trPr>
        <w:tc>
          <w:tcPr>
            <w:tcW w:w="3464" w:type="dxa"/>
            <w:tcBorders>
              <w:right w:val="single" w:sz="4" w:space="0" w:color="auto"/>
            </w:tcBorders>
            <w:shd w:val="clear" w:color="auto" w:fill="D9D9D9" w:themeFill="background1" w:themeFillShade="D9"/>
            <w:vAlign w:val="center"/>
          </w:tcPr>
          <w:p w:rsidR="00321BCF" w:rsidRPr="007E3C31" w:rsidRDefault="00321BCF" w:rsidP="00321BCF">
            <w:pPr>
              <w:widowControl/>
              <w:autoSpaceDE/>
              <w:autoSpaceDN/>
              <w:adjustRightInd/>
              <w:spacing w:before="120"/>
              <w:rPr>
                <w:rFonts w:cs="Arial"/>
                <w:b/>
                <w:sz w:val="20"/>
                <w:lang w:eastAsia="en-US"/>
              </w:rPr>
            </w:pPr>
            <w:r>
              <w:rPr>
                <w:rFonts w:cs="Arial"/>
                <w:b/>
                <w:sz w:val="20"/>
                <w:lang w:eastAsia="en-US"/>
              </w:rPr>
              <w:t>Recommendation 11</w:t>
            </w:r>
          </w:p>
        </w:tc>
        <w:tc>
          <w:tcPr>
            <w:tcW w:w="9605" w:type="dxa"/>
            <w:tcBorders>
              <w:left w:val="single" w:sz="4" w:space="0" w:color="auto"/>
            </w:tcBorders>
            <w:shd w:val="clear" w:color="auto" w:fill="D9D9D9" w:themeFill="background1" w:themeFillShade="D9"/>
            <w:vAlign w:val="center"/>
          </w:tcPr>
          <w:p w:rsidR="00321BCF" w:rsidRPr="00C328FF" w:rsidRDefault="00321BCF" w:rsidP="00B2166F">
            <w:pPr>
              <w:widowControl/>
              <w:autoSpaceDE/>
              <w:autoSpaceDN/>
              <w:adjustRightInd/>
              <w:spacing w:before="120"/>
              <w:rPr>
                <w:rFonts w:cs="Arial"/>
                <w:b/>
                <w:sz w:val="20"/>
                <w:lang w:eastAsia="en-US"/>
              </w:rPr>
            </w:pPr>
            <w:r w:rsidRPr="00C328FF">
              <w:rPr>
                <w:rFonts w:cs="Arial"/>
                <w:b/>
                <w:sz w:val="20"/>
                <w:szCs w:val="20"/>
              </w:rPr>
              <w:t>The mechanism of short term assistance</w:t>
            </w:r>
            <w:r w:rsidR="00B65E7B">
              <w:rPr>
                <w:rFonts w:cs="Arial"/>
                <w:b/>
                <w:sz w:val="20"/>
                <w:szCs w:val="20"/>
              </w:rPr>
              <w:t xml:space="preserve"> (STA)</w:t>
            </w:r>
            <w:r w:rsidRPr="00C328FF">
              <w:rPr>
                <w:rFonts w:cs="Arial"/>
                <w:b/>
                <w:sz w:val="20"/>
                <w:szCs w:val="20"/>
              </w:rPr>
              <w:t xml:space="preserve"> </w:t>
            </w:r>
            <w:r w:rsidR="00434EA1">
              <w:rPr>
                <w:rFonts w:cs="Arial"/>
                <w:b/>
                <w:sz w:val="20"/>
                <w:szCs w:val="20"/>
              </w:rPr>
              <w:t xml:space="preserve">needs to be carefully planned and described </w:t>
            </w:r>
            <w:r w:rsidR="00B65E7B">
              <w:rPr>
                <w:rFonts w:cs="Arial"/>
                <w:b/>
                <w:sz w:val="20"/>
                <w:szCs w:val="20"/>
              </w:rPr>
              <w:t xml:space="preserve">in the terms of reference, </w:t>
            </w:r>
            <w:r w:rsidR="00434EA1">
              <w:rPr>
                <w:rFonts w:cs="Arial"/>
                <w:b/>
                <w:sz w:val="20"/>
                <w:szCs w:val="20"/>
              </w:rPr>
              <w:t xml:space="preserve">so there is a sustainable capacity building process </w:t>
            </w:r>
            <w:r w:rsidR="00B2166F">
              <w:rPr>
                <w:rFonts w:cs="Arial"/>
                <w:b/>
                <w:sz w:val="20"/>
                <w:szCs w:val="20"/>
              </w:rPr>
              <w:t xml:space="preserve">supported by KIT beyond the STA input. </w:t>
            </w:r>
            <w:r w:rsidR="00B65E7B">
              <w:rPr>
                <w:rFonts w:cs="Arial"/>
                <w:b/>
                <w:sz w:val="20"/>
                <w:szCs w:val="20"/>
              </w:rPr>
              <w:t xml:space="preserve">  </w:t>
            </w:r>
            <w:r w:rsidR="00434EA1">
              <w:rPr>
                <w:rFonts w:cs="Arial"/>
                <w:b/>
                <w:sz w:val="20"/>
                <w:szCs w:val="20"/>
              </w:rPr>
              <w:t xml:space="preserve"> </w:t>
            </w:r>
          </w:p>
        </w:tc>
      </w:tr>
      <w:tr w:rsidR="00321BCF" w:rsidRPr="007E3C31" w:rsidTr="00A566FB">
        <w:trPr>
          <w:cantSplit/>
          <w:trHeight w:val="398"/>
        </w:trPr>
        <w:tc>
          <w:tcPr>
            <w:tcW w:w="13069" w:type="dxa"/>
            <w:gridSpan w:val="2"/>
            <w:shd w:val="clear" w:color="auto" w:fill="auto"/>
            <w:vAlign w:val="center"/>
          </w:tcPr>
          <w:p w:rsidR="00321BCF" w:rsidRPr="00C328FF" w:rsidRDefault="00321BCF" w:rsidP="00B2166F">
            <w:pPr>
              <w:widowControl/>
              <w:autoSpaceDE/>
              <w:autoSpaceDN/>
              <w:adjustRightInd/>
              <w:spacing w:before="120"/>
              <w:rPr>
                <w:rFonts w:cs="Arial"/>
                <w:b/>
                <w:sz w:val="20"/>
                <w:szCs w:val="20"/>
              </w:rPr>
            </w:pPr>
            <w:r w:rsidRPr="00616D62">
              <w:rPr>
                <w:rFonts w:cs="Arial"/>
                <w:b/>
                <w:sz w:val="20"/>
                <w:szCs w:val="20"/>
              </w:rPr>
              <w:t>DFAT response</w:t>
            </w:r>
            <w:r w:rsidRPr="00616D62">
              <w:rPr>
                <w:rFonts w:cs="Arial"/>
                <w:sz w:val="20"/>
                <w:szCs w:val="20"/>
              </w:rPr>
              <w:t>:</w:t>
            </w:r>
            <w:r>
              <w:rPr>
                <w:rFonts w:cs="Arial"/>
                <w:sz w:val="20"/>
                <w:szCs w:val="20"/>
              </w:rPr>
              <w:t xml:space="preserve"> </w:t>
            </w:r>
            <w:r w:rsidR="00543091">
              <w:rPr>
                <w:rFonts w:cs="Arial"/>
                <w:sz w:val="20"/>
                <w:szCs w:val="20"/>
              </w:rPr>
              <w:t>Agree</w:t>
            </w:r>
            <w:r w:rsidRPr="00616D62">
              <w:rPr>
                <w:rFonts w:cs="Arial"/>
                <w:sz w:val="20"/>
                <w:szCs w:val="20"/>
              </w:rPr>
              <w:t xml:space="preserve">. </w:t>
            </w:r>
            <w:r w:rsidR="00543091">
              <w:rPr>
                <w:rFonts w:cs="Arial"/>
                <w:sz w:val="20"/>
                <w:szCs w:val="20"/>
              </w:rPr>
              <w:t>SfEP</w:t>
            </w:r>
            <w:r w:rsidRPr="00616D62">
              <w:rPr>
                <w:rFonts w:cs="Arial"/>
                <w:sz w:val="20"/>
                <w:szCs w:val="20"/>
              </w:rPr>
              <w:t xml:space="preserve"> will engage short term advisors</w:t>
            </w:r>
            <w:r>
              <w:rPr>
                <w:rFonts w:cs="Arial"/>
                <w:sz w:val="20"/>
                <w:szCs w:val="20"/>
              </w:rPr>
              <w:t xml:space="preserve"> (as appropriate)</w:t>
            </w:r>
            <w:r w:rsidRPr="00616D62">
              <w:rPr>
                <w:rFonts w:cs="Arial"/>
                <w:sz w:val="20"/>
                <w:szCs w:val="20"/>
              </w:rPr>
              <w:t xml:space="preserve"> to work collaboratively with the MLHRD to strengthen their capacity to deliver certain</w:t>
            </w:r>
            <w:r>
              <w:rPr>
                <w:rFonts w:cs="Arial"/>
                <w:sz w:val="20"/>
                <w:szCs w:val="20"/>
              </w:rPr>
              <w:t xml:space="preserve"> program</w:t>
            </w:r>
            <w:r w:rsidRPr="00616D62">
              <w:rPr>
                <w:rFonts w:cs="Arial"/>
                <w:sz w:val="20"/>
                <w:szCs w:val="20"/>
              </w:rPr>
              <w:t xml:space="preserve"> activities.</w:t>
            </w:r>
            <w:r w:rsidR="00B65E7B">
              <w:rPr>
                <w:rFonts w:cs="Arial"/>
                <w:sz w:val="20"/>
                <w:szCs w:val="20"/>
              </w:rPr>
              <w:t xml:space="preserve"> Their engagement will be carefully planned and </w:t>
            </w:r>
            <w:r w:rsidR="00B2166F">
              <w:rPr>
                <w:rFonts w:cs="Arial"/>
                <w:sz w:val="20"/>
                <w:szCs w:val="20"/>
              </w:rPr>
              <w:t>described so</w:t>
            </w:r>
            <w:r w:rsidR="00B65E7B">
              <w:rPr>
                <w:rFonts w:cs="Arial"/>
                <w:sz w:val="20"/>
                <w:szCs w:val="20"/>
              </w:rPr>
              <w:t xml:space="preserve"> there is a sustainable capacity building process supported by KIT</w:t>
            </w:r>
            <w:r w:rsidR="00B2166F">
              <w:rPr>
                <w:rFonts w:cs="Arial"/>
                <w:sz w:val="20"/>
                <w:szCs w:val="20"/>
              </w:rPr>
              <w:t xml:space="preserve"> beyond the STA input. </w:t>
            </w:r>
          </w:p>
        </w:tc>
      </w:tr>
      <w:tr w:rsidR="00321BCF" w:rsidRPr="007E3C31" w:rsidTr="00321BCF">
        <w:trPr>
          <w:cantSplit/>
          <w:trHeight w:val="398"/>
        </w:trPr>
        <w:tc>
          <w:tcPr>
            <w:tcW w:w="3464" w:type="dxa"/>
            <w:tcBorders>
              <w:right w:val="single" w:sz="4" w:space="0" w:color="auto"/>
            </w:tcBorders>
            <w:shd w:val="clear" w:color="auto" w:fill="D9D9D9" w:themeFill="background1" w:themeFillShade="D9"/>
            <w:vAlign w:val="center"/>
          </w:tcPr>
          <w:p w:rsidR="00321BCF" w:rsidRPr="007E3C31" w:rsidRDefault="00321BCF" w:rsidP="00321BCF">
            <w:pPr>
              <w:widowControl/>
              <w:autoSpaceDE/>
              <w:autoSpaceDN/>
              <w:adjustRightInd/>
              <w:spacing w:before="120"/>
              <w:rPr>
                <w:rFonts w:cs="Arial"/>
                <w:b/>
                <w:sz w:val="20"/>
                <w:lang w:eastAsia="en-US"/>
              </w:rPr>
            </w:pPr>
            <w:r>
              <w:rPr>
                <w:rFonts w:cs="Arial"/>
                <w:b/>
                <w:sz w:val="20"/>
                <w:lang w:eastAsia="en-US"/>
              </w:rPr>
              <w:t>Recommendation 12</w:t>
            </w:r>
          </w:p>
        </w:tc>
        <w:tc>
          <w:tcPr>
            <w:tcW w:w="9605" w:type="dxa"/>
            <w:tcBorders>
              <w:left w:val="single" w:sz="4" w:space="0" w:color="auto"/>
            </w:tcBorders>
            <w:shd w:val="clear" w:color="auto" w:fill="D9D9D9" w:themeFill="background1" w:themeFillShade="D9"/>
            <w:vAlign w:val="center"/>
          </w:tcPr>
          <w:p w:rsidR="00321BCF" w:rsidRPr="00C328FF" w:rsidRDefault="00321BCF" w:rsidP="00B65E7B">
            <w:pPr>
              <w:widowControl/>
              <w:autoSpaceDE/>
              <w:autoSpaceDN/>
              <w:adjustRightInd/>
              <w:spacing w:before="120"/>
              <w:rPr>
                <w:rFonts w:cs="Arial"/>
                <w:b/>
                <w:sz w:val="20"/>
                <w:lang w:eastAsia="en-US"/>
              </w:rPr>
            </w:pPr>
            <w:r w:rsidRPr="00C328FF">
              <w:rPr>
                <w:rFonts w:cs="Arial"/>
                <w:b/>
                <w:sz w:val="20"/>
                <w:szCs w:val="20"/>
              </w:rPr>
              <w:t xml:space="preserve">Options to support the </w:t>
            </w:r>
            <w:r w:rsidR="00B65E7B">
              <w:rPr>
                <w:rFonts w:cs="Arial"/>
                <w:b/>
                <w:sz w:val="20"/>
                <w:szCs w:val="20"/>
              </w:rPr>
              <w:t xml:space="preserve">creation of two </w:t>
            </w:r>
            <w:r w:rsidRPr="00C328FF">
              <w:rPr>
                <w:rFonts w:cs="Arial"/>
                <w:b/>
                <w:sz w:val="20"/>
                <w:szCs w:val="20"/>
              </w:rPr>
              <w:t>MLHRD data system</w:t>
            </w:r>
            <w:r w:rsidR="00B65E7B">
              <w:rPr>
                <w:rFonts w:cs="Arial"/>
                <w:b/>
                <w:sz w:val="20"/>
                <w:szCs w:val="20"/>
              </w:rPr>
              <w:t>s</w:t>
            </w:r>
            <w:r w:rsidRPr="00C328FF">
              <w:rPr>
                <w:rFonts w:cs="Arial"/>
                <w:b/>
                <w:sz w:val="20"/>
                <w:szCs w:val="20"/>
              </w:rPr>
              <w:t xml:space="preserve"> (</w:t>
            </w:r>
            <w:r w:rsidR="00B65E7B">
              <w:rPr>
                <w:rFonts w:cs="Arial"/>
                <w:b/>
                <w:sz w:val="20"/>
                <w:szCs w:val="20"/>
              </w:rPr>
              <w:t xml:space="preserve">one to </w:t>
            </w:r>
            <w:r w:rsidRPr="00C328FF">
              <w:rPr>
                <w:rFonts w:cs="Arial"/>
                <w:b/>
                <w:sz w:val="20"/>
                <w:szCs w:val="20"/>
              </w:rPr>
              <w:t xml:space="preserve">track labour supply and </w:t>
            </w:r>
            <w:r w:rsidR="00B65E7B">
              <w:rPr>
                <w:rFonts w:cs="Arial"/>
                <w:b/>
                <w:sz w:val="20"/>
                <w:szCs w:val="20"/>
              </w:rPr>
              <w:t>another to track</w:t>
            </w:r>
            <w:r w:rsidRPr="00C328FF">
              <w:rPr>
                <w:rFonts w:cs="Arial"/>
                <w:b/>
                <w:sz w:val="20"/>
                <w:szCs w:val="20"/>
              </w:rPr>
              <w:t xml:space="preserve"> employment data) should be investigated</w:t>
            </w:r>
            <w:r>
              <w:rPr>
                <w:rFonts w:cs="Arial"/>
                <w:b/>
                <w:sz w:val="20"/>
                <w:szCs w:val="20"/>
              </w:rPr>
              <w:t>.</w:t>
            </w:r>
          </w:p>
        </w:tc>
      </w:tr>
      <w:tr w:rsidR="00321BCF" w:rsidRPr="007E3C31" w:rsidTr="0074048D">
        <w:trPr>
          <w:cantSplit/>
          <w:trHeight w:val="428"/>
        </w:trPr>
        <w:tc>
          <w:tcPr>
            <w:tcW w:w="13069" w:type="dxa"/>
            <w:gridSpan w:val="2"/>
            <w:shd w:val="clear" w:color="auto" w:fill="FFFFFF" w:themeFill="background1"/>
            <w:vAlign w:val="center"/>
          </w:tcPr>
          <w:p w:rsidR="00321BCF" w:rsidRPr="00C328FF" w:rsidRDefault="00321BCF" w:rsidP="00E9549A">
            <w:pPr>
              <w:widowControl/>
              <w:autoSpaceDE/>
              <w:autoSpaceDN/>
              <w:adjustRightInd/>
              <w:spacing w:before="120"/>
              <w:rPr>
                <w:rFonts w:cs="Arial"/>
                <w:b/>
                <w:sz w:val="20"/>
                <w:szCs w:val="20"/>
              </w:rPr>
            </w:pPr>
            <w:r w:rsidRPr="00616D62">
              <w:rPr>
                <w:rFonts w:cs="Arial"/>
                <w:b/>
                <w:sz w:val="20"/>
                <w:szCs w:val="20"/>
              </w:rPr>
              <w:t>DFAT response</w:t>
            </w:r>
            <w:r w:rsidRPr="00616D62">
              <w:rPr>
                <w:rFonts w:cs="Arial"/>
                <w:sz w:val="20"/>
                <w:szCs w:val="20"/>
              </w:rPr>
              <w:t>:</w:t>
            </w:r>
            <w:r>
              <w:rPr>
                <w:rFonts w:cs="Arial"/>
                <w:sz w:val="20"/>
                <w:szCs w:val="20"/>
              </w:rPr>
              <w:t xml:space="preserve"> </w:t>
            </w:r>
            <w:r w:rsidRPr="00616D62">
              <w:rPr>
                <w:rFonts w:cs="Arial"/>
                <w:sz w:val="20"/>
                <w:szCs w:val="20"/>
              </w:rPr>
              <w:t xml:space="preserve"> Agree. </w:t>
            </w:r>
            <w:r w:rsidR="00543091">
              <w:rPr>
                <w:rFonts w:cs="Arial"/>
                <w:sz w:val="20"/>
                <w:szCs w:val="20"/>
              </w:rPr>
              <w:t>SfEP</w:t>
            </w:r>
            <w:r w:rsidRPr="00616D62">
              <w:rPr>
                <w:rFonts w:cs="Arial"/>
                <w:sz w:val="20"/>
                <w:szCs w:val="20"/>
              </w:rPr>
              <w:t xml:space="preserve"> wi</w:t>
            </w:r>
            <w:r w:rsidR="001668F1">
              <w:rPr>
                <w:rFonts w:cs="Arial"/>
                <w:sz w:val="20"/>
                <w:szCs w:val="20"/>
              </w:rPr>
              <w:t>ll scope the functionality for the two</w:t>
            </w:r>
            <w:r w:rsidRPr="00616D62">
              <w:rPr>
                <w:rFonts w:cs="Arial"/>
                <w:sz w:val="20"/>
                <w:szCs w:val="20"/>
              </w:rPr>
              <w:t xml:space="preserve"> new system</w:t>
            </w:r>
            <w:r w:rsidR="001668F1">
              <w:rPr>
                <w:rFonts w:cs="Arial"/>
                <w:sz w:val="20"/>
                <w:szCs w:val="20"/>
              </w:rPr>
              <w:t>s</w:t>
            </w:r>
            <w:r w:rsidRPr="00616D62">
              <w:rPr>
                <w:rFonts w:cs="Arial"/>
                <w:sz w:val="20"/>
                <w:szCs w:val="20"/>
              </w:rPr>
              <w:t xml:space="preserve"> for </w:t>
            </w:r>
            <w:r w:rsidR="001668F1">
              <w:rPr>
                <w:rFonts w:cs="Arial"/>
                <w:sz w:val="20"/>
                <w:szCs w:val="20"/>
              </w:rPr>
              <w:t>data collection and analysis. They</w:t>
            </w:r>
            <w:r w:rsidRPr="00616D62">
              <w:rPr>
                <w:rFonts w:cs="Arial"/>
                <w:sz w:val="20"/>
                <w:szCs w:val="20"/>
              </w:rPr>
              <w:t xml:space="preserve"> will be implemented through MLHRD’s </w:t>
            </w:r>
            <w:r w:rsidR="00E9549A">
              <w:rPr>
                <w:rFonts w:cs="Arial"/>
                <w:sz w:val="20"/>
                <w:szCs w:val="20"/>
              </w:rPr>
              <w:t xml:space="preserve">National Career Counselling and Employment Centre </w:t>
            </w:r>
            <w:r w:rsidR="001668F1">
              <w:rPr>
                <w:rFonts w:cs="Arial"/>
                <w:sz w:val="20"/>
                <w:szCs w:val="20"/>
              </w:rPr>
              <w:t>and KIT</w:t>
            </w:r>
            <w:r w:rsidRPr="00616D62">
              <w:rPr>
                <w:rFonts w:cs="Arial"/>
                <w:sz w:val="20"/>
                <w:szCs w:val="20"/>
              </w:rPr>
              <w:t xml:space="preserve">.  </w:t>
            </w:r>
          </w:p>
        </w:tc>
      </w:tr>
    </w:tbl>
    <w:p w:rsidR="00C328FF" w:rsidRDefault="00C328FF" w:rsidP="00B41081">
      <w:pPr>
        <w:rPr>
          <w:rFonts w:cs="Arial"/>
          <w:b/>
          <w:sz w:val="20"/>
          <w:szCs w:val="20"/>
          <w:u w:val="single"/>
        </w:rPr>
      </w:pPr>
    </w:p>
    <w:p w:rsidR="00B41081" w:rsidRDefault="00B41081" w:rsidP="00321BCF">
      <w:pPr>
        <w:widowControl/>
        <w:autoSpaceDE/>
        <w:autoSpaceDN/>
        <w:adjustRightInd/>
        <w:spacing w:after="0"/>
        <w:rPr>
          <w:rFonts w:cs="Arial"/>
          <w:b/>
          <w:szCs w:val="22"/>
        </w:rPr>
      </w:pPr>
      <w:r w:rsidRPr="00C328FF">
        <w:rPr>
          <w:rFonts w:cs="Arial"/>
          <w:b/>
          <w:szCs w:val="22"/>
        </w:rPr>
        <w:t>Monitoring and Evaluation</w:t>
      </w:r>
      <w:r w:rsidR="003366EE">
        <w:rPr>
          <w:rFonts w:cs="Arial"/>
          <w:b/>
          <w:szCs w:val="22"/>
        </w:rPr>
        <w:t xml:space="preserve"> (M&amp;E)</w:t>
      </w:r>
    </w:p>
    <w:p w:rsidR="00321BCF" w:rsidRDefault="00321BCF" w:rsidP="00321BCF">
      <w:pPr>
        <w:widowControl/>
        <w:autoSpaceDE/>
        <w:autoSpaceDN/>
        <w:adjustRightInd/>
        <w:spacing w:after="0"/>
        <w:rPr>
          <w:rFonts w:cs="Arial"/>
          <w:b/>
          <w:szCs w:val="22"/>
        </w:rPr>
      </w:pPr>
    </w:p>
    <w:tbl>
      <w:tblPr>
        <w:tblpPr w:leftFromText="180" w:rightFromText="180" w:vertAnchor="text" w:tblpY="1"/>
        <w:tblOverlap w:val="never"/>
        <w:tblW w:w="1306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50"/>
        <w:gridCol w:w="10"/>
        <w:gridCol w:w="9609"/>
      </w:tblGrid>
      <w:tr w:rsidR="00EC63E2" w:rsidRPr="007E3C31" w:rsidTr="000477F4">
        <w:trPr>
          <w:cantSplit/>
          <w:trHeight w:val="76"/>
          <w:tblHeader/>
        </w:trPr>
        <w:tc>
          <w:tcPr>
            <w:tcW w:w="3460" w:type="dxa"/>
            <w:gridSpan w:val="2"/>
            <w:shd w:val="clear" w:color="auto" w:fill="E0E0E0"/>
            <w:vAlign w:val="center"/>
          </w:tcPr>
          <w:p w:rsidR="00EC63E2" w:rsidRPr="007E3C31" w:rsidRDefault="00EC63E2" w:rsidP="000477F4">
            <w:pPr>
              <w:widowControl/>
              <w:autoSpaceDE/>
              <w:autoSpaceDN/>
              <w:adjustRightInd/>
              <w:spacing w:before="120"/>
              <w:rPr>
                <w:rFonts w:cs="Arial"/>
                <w:b/>
                <w:sz w:val="20"/>
                <w:lang w:eastAsia="en-US"/>
              </w:rPr>
            </w:pPr>
            <w:r>
              <w:rPr>
                <w:rFonts w:cs="Arial"/>
                <w:b/>
                <w:sz w:val="20"/>
                <w:lang w:eastAsia="en-US"/>
              </w:rPr>
              <w:t>Recommendation 13</w:t>
            </w:r>
          </w:p>
        </w:tc>
        <w:tc>
          <w:tcPr>
            <w:tcW w:w="9609" w:type="dxa"/>
            <w:shd w:val="clear" w:color="auto" w:fill="E0E0E0"/>
            <w:vAlign w:val="center"/>
          </w:tcPr>
          <w:p w:rsidR="00EC63E2" w:rsidRPr="00EC63E2" w:rsidRDefault="00EC63E2" w:rsidP="000477F4">
            <w:pPr>
              <w:widowControl/>
              <w:autoSpaceDE/>
              <w:autoSpaceDN/>
              <w:adjustRightInd/>
              <w:spacing w:before="120"/>
              <w:rPr>
                <w:rFonts w:cs="Arial"/>
                <w:b/>
                <w:sz w:val="20"/>
                <w:lang w:eastAsia="en-US"/>
              </w:rPr>
            </w:pPr>
            <w:r w:rsidRPr="00EC63E2">
              <w:rPr>
                <w:rFonts w:cs="Arial"/>
                <w:b/>
                <w:sz w:val="20"/>
                <w:szCs w:val="20"/>
              </w:rPr>
              <w:t>The M&amp;E system for Phase III should be simple and fit for purpose. This means it should focus on core data required to monitor performance</w:t>
            </w:r>
            <w:r>
              <w:rPr>
                <w:rFonts w:cs="Arial"/>
                <w:b/>
                <w:sz w:val="20"/>
                <w:szCs w:val="20"/>
              </w:rPr>
              <w:t>.</w:t>
            </w:r>
          </w:p>
        </w:tc>
      </w:tr>
      <w:tr w:rsidR="00EC63E2" w:rsidRPr="007E3C31" w:rsidTr="000477F4">
        <w:trPr>
          <w:cantSplit/>
          <w:trHeight w:val="398"/>
        </w:trPr>
        <w:tc>
          <w:tcPr>
            <w:tcW w:w="13069" w:type="dxa"/>
            <w:gridSpan w:val="3"/>
            <w:shd w:val="clear" w:color="auto" w:fill="auto"/>
          </w:tcPr>
          <w:p w:rsidR="00EC63E2" w:rsidRPr="00C328FF" w:rsidRDefault="00EC63E2" w:rsidP="005D155D">
            <w:pPr>
              <w:rPr>
                <w:rFonts w:cs="Arial"/>
                <w:sz w:val="20"/>
                <w:szCs w:val="20"/>
                <w:lang w:eastAsia="en-US"/>
              </w:rPr>
            </w:pPr>
            <w:r w:rsidRPr="00616D62">
              <w:rPr>
                <w:rFonts w:cs="Arial"/>
                <w:b/>
                <w:sz w:val="20"/>
                <w:szCs w:val="20"/>
              </w:rPr>
              <w:t>DFAT response</w:t>
            </w:r>
            <w:r w:rsidRPr="00616D62">
              <w:rPr>
                <w:rFonts w:cs="Arial"/>
                <w:sz w:val="20"/>
                <w:szCs w:val="20"/>
              </w:rPr>
              <w:t>:</w:t>
            </w:r>
            <w:r>
              <w:rPr>
                <w:rFonts w:cs="Arial"/>
                <w:sz w:val="20"/>
                <w:szCs w:val="20"/>
              </w:rPr>
              <w:t xml:space="preserve"> </w:t>
            </w:r>
            <w:r w:rsidRPr="00616D62">
              <w:rPr>
                <w:rFonts w:cs="Arial"/>
                <w:sz w:val="20"/>
                <w:szCs w:val="20"/>
              </w:rPr>
              <w:t xml:space="preserve"> Agree. </w:t>
            </w:r>
            <w:r w:rsidR="00543091">
              <w:rPr>
                <w:rFonts w:cs="Arial"/>
                <w:sz w:val="20"/>
                <w:szCs w:val="20"/>
              </w:rPr>
              <w:t xml:space="preserve">Paucity of data </w:t>
            </w:r>
            <w:r w:rsidR="00C2596A">
              <w:rPr>
                <w:rFonts w:cs="Arial"/>
                <w:sz w:val="20"/>
                <w:szCs w:val="20"/>
              </w:rPr>
              <w:t>has limited the scope for evidence-based decision making.  M</w:t>
            </w:r>
            <w:r w:rsidR="00543091">
              <w:rPr>
                <w:rFonts w:cs="Arial"/>
                <w:sz w:val="20"/>
                <w:szCs w:val="20"/>
              </w:rPr>
              <w:t>&amp;E during SfEP</w:t>
            </w:r>
            <w:r w:rsidR="00D82348">
              <w:rPr>
                <w:rFonts w:cs="Arial"/>
                <w:sz w:val="20"/>
                <w:szCs w:val="20"/>
              </w:rPr>
              <w:t xml:space="preserve"> </w:t>
            </w:r>
            <w:r w:rsidRPr="00616D62">
              <w:rPr>
                <w:rFonts w:cs="Arial"/>
                <w:sz w:val="20"/>
                <w:szCs w:val="20"/>
              </w:rPr>
              <w:t>will focus on gathering and analysing the core data required to monitor program performance. The des</w:t>
            </w:r>
            <w:r w:rsidR="00DB7789">
              <w:rPr>
                <w:rFonts w:cs="Arial"/>
                <w:sz w:val="20"/>
                <w:szCs w:val="20"/>
              </w:rPr>
              <w:t xml:space="preserve">ign for </w:t>
            </w:r>
            <w:r w:rsidR="00543091">
              <w:rPr>
                <w:rFonts w:cs="Arial"/>
                <w:sz w:val="20"/>
                <w:szCs w:val="20"/>
              </w:rPr>
              <w:t>SfEP</w:t>
            </w:r>
            <w:r w:rsidR="00DB7789">
              <w:rPr>
                <w:rFonts w:cs="Arial"/>
                <w:sz w:val="20"/>
                <w:szCs w:val="20"/>
              </w:rPr>
              <w:t xml:space="preserve"> recommends this</w:t>
            </w:r>
            <w:r w:rsidRPr="00616D62">
              <w:rPr>
                <w:rFonts w:cs="Arial"/>
                <w:sz w:val="20"/>
                <w:szCs w:val="20"/>
              </w:rPr>
              <w:t xml:space="preserve"> approach to M&amp;E and sets out indicative tools, processes and </w:t>
            </w:r>
            <w:r w:rsidR="00DB7789">
              <w:rPr>
                <w:rFonts w:cs="Arial"/>
                <w:sz w:val="20"/>
                <w:szCs w:val="20"/>
              </w:rPr>
              <w:t>requirements for the M&amp;E system</w:t>
            </w:r>
            <w:r w:rsidR="005D155D">
              <w:rPr>
                <w:rFonts w:cs="Arial"/>
                <w:sz w:val="20"/>
                <w:szCs w:val="20"/>
              </w:rPr>
              <w:t xml:space="preserve">. </w:t>
            </w:r>
            <w:r w:rsidR="00D82348">
              <w:rPr>
                <w:rFonts w:cs="Arial"/>
                <w:sz w:val="20"/>
                <w:szCs w:val="20"/>
              </w:rPr>
              <w:t xml:space="preserve">These will be further reviewed and—where necessary—adjusted on commencement of </w:t>
            </w:r>
            <w:r w:rsidR="005D155D">
              <w:rPr>
                <w:rFonts w:cs="Arial"/>
                <w:sz w:val="20"/>
                <w:szCs w:val="20"/>
              </w:rPr>
              <w:t>SfEP</w:t>
            </w:r>
            <w:r w:rsidR="00C2596A">
              <w:rPr>
                <w:rFonts w:cs="Arial"/>
                <w:sz w:val="20"/>
                <w:szCs w:val="20"/>
              </w:rPr>
              <w:t>,</w:t>
            </w:r>
            <w:r w:rsidR="00D82348">
              <w:rPr>
                <w:rFonts w:cs="Arial"/>
                <w:sz w:val="20"/>
                <w:szCs w:val="20"/>
              </w:rPr>
              <w:t xml:space="preserve"> and throughout its implementation.</w:t>
            </w:r>
            <w:r w:rsidRPr="00616D62">
              <w:rPr>
                <w:rFonts w:cs="Arial"/>
                <w:sz w:val="20"/>
                <w:szCs w:val="20"/>
              </w:rPr>
              <w:t xml:space="preserve"> </w:t>
            </w:r>
          </w:p>
        </w:tc>
      </w:tr>
      <w:tr w:rsidR="00321BCF" w:rsidRPr="007E3C31" w:rsidTr="00321BCF">
        <w:trPr>
          <w:cantSplit/>
          <w:trHeight w:val="398"/>
        </w:trPr>
        <w:tc>
          <w:tcPr>
            <w:tcW w:w="3450" w:type="dxa"/>
            <w:tcBorders>
              <w:right w:val="single" w:sz="4" w:space="0" w:color="auto"/>
            </w:tcBorders>
            <w:shd w:val="clear" w:color="auto" w:fill="D9D9D9" w:themeFill="background1" w:themeFillShade="D9"/>
            <w:vAlign w:val="center"/>
          </w:tcPr>
          <w:p w:rsidR="00321BCF" w:rsidRPr="007E3C31" w:rsidRDefault="00321BCF" w:rsidP="00321BCF">
            <w:pPr>
              <w:widowControl/>
              <w:autoSpaceDE/>
              <w:autoSpaceDN/>
              <w:adjustRightInd/>
              <w:spacing w:before="120"/>
              <w:rPr>
                <w:rFonts w:cs="Arial"/>
                <w:b/>
                <w:sz w:val="20"/>
                <w:lang w:eastAsia="en-US"/>
              </w:rPr>
            </w:pPr>
            <w:r>
              <w:rPr>
                <w:rFonts w:cs="Arial"/>
                <w:b/>
                <w:sz w:val="20"/>
                <w:lang w:eastAsia="en-US"/>
              </w:rPr>
              <w:lastRenderedPageBreak/>
              <w:t>Recommendation 14</w:t>
            </w:r>
          </w:p>
        </w:tc>
        <w:tc>
          <w:tcPr>
            <w:tcW w:w="9619" w:type="dxa"/>
            <w:gridSpan w:val="2"/>
            <w:tcBorders>
              <w:left w:val="single" w:sz="4" w:space="0" w:color="auto"/>
            </w:tcBorders>
            <w:shd w:val="clear" w:color="auto" w:fill="D9D9D9" w:themeFill="background1" w:themeFillShade="D9"/>
            <w:vAlign w:val="center"/>
          </w:tcPr>
          <w:p w:rsidR="00321BCF" w:rsidRPr="00EC63E2" w:rsidRDefault="00321BCF" w:rsidP="00321BCF">
            <w:pPr>
              <w:widowControl/>
              <w:autoSpaceDE/>
              <w:autoSpaceDN/>
              <w:adjustRightInd/>
              <w:spacing w:before="120"/>
              <w:rPr>
                <w:rFonts w:cs="Arial"/>
                <w:b/>
                <w:sz w:val="20"/>
                <w:lang w:eastAsia="en-US"/>
              </w:rPr>
            </w:pPr>
            <w:r w:rsidRPr="00EC63E2">
              <w:rPr>
                <w:rFonts w:cs="Arial"/>
                <w:b/>
                <w:sz w:val="20"/>
                <w:szCs w:val="20"/>
              </w:rPr>
              <w:t>Data demand and use in M&amp;E will need to take cognizance of the difficulty in maintaining quality and useful databases</w:t>
            </w:r>
            <w:r>
              <w:rPr>
                <w:rFonts w:cs="Arial"/>
                <w:b/>
                <w:sz w:val="20"/>
                <w:szCs w:val="20"/>
              </w:rPr>
              <w:t>.</w:t>
            </w:r>
          </w:p>
        </w:tc>
      </w:tr>
      <w:tr w:rsidR="00321BCF" w:rsidRPr="007E3C31" w:rsidTr="00443CAC">
        <w:trPr>
          <w:cantSplit/>
          <w:trHeight w:val="398"/>
        </w:trPr>
        <w:tc>
          <w:tcPr>
            <w:tcW w:w="13069" w:type="dxa"/>
            <w:gridSpan w:val="3"/>
            <w:shd w:val="clear" w:color="auto" w:fill="FFFFFF" w:themeFill="background1"/>
            <w:vAlign w:val="center"/>
          </w:tcPr>
          <w:p w:rsidR="00321BCF" w:rsidRPr="00EC63E2" w:rsidRDefault="00321BCF" w:rsidP="005D155D">
            <w:pPr>
              <w:widowControl/>
              <w:autoSpaceDE/>
              <w:autoSpaceDN/>
              <w:adjustRightInd/>
              <w:spacing w:before="120"/>
              <w:rPr>
                <w:rFonts w:cs="Arial"/>
                <w:b/>
                <w:sz w:val="20"/>
                <w:szCs w:val="20"/>
              </w:rPr>
            </w:pPr>
            <w:r w:rsidRPr="00616D62">
              <w:rPr>
                <w:rFonts w:cs="Arial"/>
                <w:b/>
                <w:sz w:val="20"/>
                <w:szCs w:val="20"/>
              </w:rPr>
              <w:t>DFAT response</w:t>
            </w:r>
            <w:r>
              <w:rPr>
                <w:rFonts w:cs="Arial"/>
                <w:sz w:val="20"/>
                <w:szCs w:val="20"/>
              </w:rPr>
              <w:t xml:space="preserve"> Agree.</w:t>
            </w:r>
            <w:r w:rsidRPr="00616D62">
              <w:rPr>
                <w:rFonts w:cs="Arial"/>
                <w:sz w:val="20"/>
                <w:szCs w:val="20"/>
              </w:rPr>
              <w:t xml:space="preserve"> </w:t>
            </w:r>
            <w:r w:rsidR="005D155D">
              <w:rPr>
                <w:rFonts w:cs="Arial"/>
                <w:sz w:val="20"/>
                <w:szCs w:val="20"/>
              </w:rPr>
              <w:t>SfEP</w:t>
            </w:r>
            <w:r w:rsidRPr="00616D62">
              <w:rPr>
                <w:rFonts w:cs="Arial"/>
                <w:sz w:val="20"/>
                <w:szCs w:val="20"/>
              </w:rPr>
              <w:t xml:space="preserve"> will take cognizance of the difficulty in maintaining quality and useful databases in Kiribati – not just in terms of administrative capacity, but also in terms of enabling </w:t>
            </w:r>
            <w:r w:rsidR="001668F1">
              <w:rPr>
                <w:rFonts w:cs="Arial"/>
                <w:sz w:val="20"/>
                <w:szCs w:val="20"/>
              </w:rPr>
              <w:t xml:space="preserve">data </w:t>
            </w:r>
            <w:r w:rsidRPr="00616D62">
              <w:rPr>
                <w:rFonts w:cs="Arial"/>
                <w:sz w:val="20"/>
                <w:szCs w:val="20"/>
              </w:rPr>
              <w:t>systems and IT. The managing contractor</w:t>
            </w:r>
            <w:r>
              <w:rPr>
                <w:rFonts w:cs="Arial"/>
                <w:sz w:val="20"/>
                <w:szCs w:val="20"/>
              </w:rPr>
              <w:t xml:space="preserve"> for </w:t>
            </w:r>
            <w:r w:rsidR="005D155D">
              <w:rPr>
                <w:rFonts w:cs="Arial"/>
                <w:sz w:val="20"/>
                <w:szCs w:val="20"/>
              </w:rPr>
              <w:t>SfEP</w:t>
            </w:r>
            <w:r w:rsidRPr="00616D62">
              <w:rPr>
                <w:rFonts w:cs="Arial"/>
                <w:sz w:val="20"/>
                <w:szCs w:val="20"/>
              </w:rPr>
              <w:t xml:space="preserve"> will need to establish, as part of the M&amp;E plan, a quality assurance process for data collection and storage.</w:t>
            </w:r>
            <w:r w:rsidR="001668F1">
              <w:rPr>
                <w:rFonts w:cs="Arial"/>
                <w:sz w:val="20"/>
                <w:szCs w:val="20"/>
              </w:rPr>
              <w:t xml:space="preserve"> This should provide consistent and reliable data to inform management decision making. </w:t>
            </w:r>
          </w:p>
        </w:tc>
      </w:tr>
    </w:tbl>
    <w:p w:rsidR="00EC63E2" w:rsidRDefault="00EC63E2" w:rsidP="00B41081">
      <w:pPr>
        <w:rPr>
          <w:rFonts w:cs="Arial"/>
          <w:b/>
          <w:sz w:val="20"/>
          <w:szCs w:val="20"/>
        </w:rPr>
      </w:pPr>
    </w:p>
    <w:p w:rsidR="00B41081" w:rsidRDefault="00B41081" w:rsidP="00321BCF">
      <w:pPr>
        <w:widowControl/>
        <w:autoSpaceDE/>
        <w:autoSpaceDN/>
        <w:adjustRightInd/>
        <w:spacing w:after="0"/>
        <w:rPr>
          <w:rFonts w:cs="Arial"/>
          <w:b/>
          <w:szCs w:val="22"/>
        </w:rPr>
      </w:pPr>
      <w:r w:rsidRPr="00EC63E2">
        <w:rPr>
          <w:rFonts w:cs="Arial"/>
          <w:b/>
          <w:szCs w:val="22"/>
        </w:rPr>
        <w:t>Gender and Social Inclusion</w:t>
      </w:r>
    </w:p>
    <w:p w:rsidR="00321BCF" w:rsidRPr="00EC63E2" w:rsidRDefault="00321BCF" w:rsidP="00321BCF">
      <w:pPr>
        <w:widowControl/>
        <w:autoSpaceDE/>
        <w:autoSpaceDN/>
        <w:adjustRightInd/>
        <w:spacing w:after="0"/>
        <w:rPr>
          <w:rFonts w:cs="Arial"/>
          <w:b/>
          <w:szCs w:val="22"/>
        </w:rPr>
      </w:pPr>
    </w:p>
    <w:tbl>
      <w:tblPr>
        <w:tblpPr w:leftFromText="180" w:rightFromText="180" w:vertAnchor="text" w:tblpY="1"/>
        <w:tblOverlap w:val="never"/>
        <w:tblW w:w="1306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60"/>
        <w:gridCol w:w="95"/>
        <w:gridCol w:w="9514"/>
      </w:tblGrid>
      <w:tr w:rsidR="00EC63E2" w:rsidRPr="007E3C31" w:rsidTr="000477F4">
        <w:trPr>
          <w:cantSplit/>
          <w:trHeight w:val="76"/>
          <w:tblHeader/>
        </w:trPr>
        <w:tc>
          <w:tcPr>
            <w:tcW w:w="3460" w:type="dxa"/>
            <w:shd w:val="clear" w:color="auto" w:fill="E0E0E0"/>
            <w:vAlign w:val="center"/>
          </w:tcPr>
          <w:p w:rsidR="00EC63E2" w:rsidRPr="007E3C31" w:rsidRDefault="00EC63E2" w:rsidP="000477F4">
            <w:pPr>
              <w:widowControl/>
              <w:autoSpaceDE/>
              <w:autoSpaceDN/>
              <w:adjustRightInd/>
              <w:spacing w:before="120"/>
              <w:rPr>
                <w:rFonts w:cs="Arial"/>
                <w:b/>
                <w:sz w:val="20"/>
                <w:lang w:eastAsia="en-US"/>
              </w:rPr>
            </w:pPr>
            <w:r>
              <w:rPr>
                <w:rFonts w:cs="Arial"/>
                <w:b/>
                <w:sz w:val="20"/>
                <w:lang w:eastAsia="en-US"/>
              </w:rPr>
              <w:t>Recommendation 15</w:t>
            </w:r>
          </w:p>
        </w:tc>
        <w:tc>
          <w:tcPr>
            <w:tcW w:w="9609" w:type="dxa"/>
            <w:gridSpan w:val="2"/>
            <w:shd w:val="clear" w:color="auto" w:fill="E0E0E0"/>
            <w:vAlign w:val="center"/>
          </w:tcPr>
          <w:p w:rsidR="00EC63E2" w:rsidRPr="00EC63E2" w:rsidRDefault="00EC63E2" w:rsidP="000477F4">
            <w:pPr>
              <w:widowControl/>
              <w:autoSpaceDE/>
              <w:autoSpaceDN/>
              <w:adjustRightInd/>
              <w:spacing w:before="120"/>
              <w:rPr>
                <w:rFonts w:cs="Arial"/>
                <w:b/>
                <w:sz w:val="20"/>
                <w:lang w:eastAsia="en-US"/>
              </w:rPr>
            </w:pPr>
            <w:r w:rsidRPr="00EC63E2">
              <w:rPr>
                <w:rFonts w:cs="Arial"/>
                <w:b/>
                <w:sz w:val="20"/>
                <w:szCs w:val="20"/>
              </w:rPr>
              <w:t xml:space="preserve">Gender inclusion needs to be more fully addressed through Phase </w:t>
            </w:r>
            <w:r w:rsidR="00E9549A">
              <w:rPr>
                <w:rFonts w:cs="Arial"/>
                <w:b/>
                <w:sz w:val="20"/>
                <w:szCs w:val="20"/>
              </w:rPr>
              <w:t>I</w:t>
            </w:r>
            <w:r w:rsidRPr="00EC63E2">
              <w:rPr>
                <w:rFonts w:cs="Arial"/>
                <w:b/>
                <w:sz w:val="20"/>
                <w:szCs w:val="20"/>
              </w:rPr>
              <w:t>II. This will require an evolution in approach from one that meets targets to an approach that emphasises gender and social inclusion as a core strategic development issue</w:t>
            </w:r>
            <w:r>
              <w:rPr>
                <w:rFonts w:cs="Arial"/>
                <w:b/>
                <w:sz w:val="20"/>
                <w:szCs w:val="20"/>
              </w:rPr>
              <w:t>.</w:t>
            </w:r>
          </w:p>
        </w:tc>
      </w:tr>
      <w:tr w:rsidR="00EC63E2" w:rsidRPr="007E3C31" w:rsidTr="000477F4">
        <w:trPr>
          <w:cantSplit/>
          <w:trHeight w:val="398"/>
        </w:trPr>
        <w:tc>
          <w:tcPr>
            <w:tcW w:w="13069" w:type="dxa"/>
            <w:gridSpan w:val="3"/>
            <w:shd w:val="clear" w:color="auto" w:fill="auto"/>
          </w:tcPr>
          <w:p w:rsidR="00EC63E2" w:rsidRPr="00616D62" w:rsidRDefault="00EC63E2" w:rsidP="00EC63E2">
            <w:pPr>
              <w:rPr>
                <w:rFonts w:cs="Arial"/>
                <w:sz w:val="20"/>
                <w:szCs w:val="20"/>
              </w:rPr>
            </w:pPr>
            <w:r w:rsidRPr="00616D62">
              <w:rPr>
                <w:rFonts w:cs="Arial"/>
                <w:b/>
                <w:sz w:val="20"/>
                <w:szCs w:val="20"/>
              </w:rPr>
              <w:t>DFAT response</w:t>
            </w:r>
            <w:r w:rsidRPr="00616D62">
              <w:rPr>
                <w:rFonts w:cs="Arial"/>
                <w:sz w:val="20"/>
                <w:szCs w:val="20"/>
              </w:rPr>
              <w:t>:</w:t>
            </w:r>
            <w:r>
              <w:rPr>
                <w:rFonts w:cs="Arial"/>
                <w:sz w:val="20"/>
                <w:szCs w:val="20"/>
              </w:rPr>
              <w:t xml:space="preserve"> </w:t>
            </w:r>
            <w:r w:rsidRPr="00616D62">
              <w:rPr>
                <w:rFonts w:cs="Arial"/>
                <w:sz w:val="20"/>
                <w:szCs w:val="20"/>
              </w:rPr>
              <w:t xml:space="preserve"> Agree. </w:t>
            </w:r>
            <w:r w:rsidR="005D155D">
              <w:rPr>
                <w:rFonts w:cs="Arial"/>
                <w:sz w:val="20"/>
                <w:szCs w:val="20"/>
              </w:rPr>
              <w:t>SfEP</w:t>
            </w:r>
            <w:r w:rsidRPr="00616D62">
              <w:rPr>
                <w:rFonts w:cs="Arial"/>
                <w:sz w:val="20"/>
                <w:szCs w:val="20"/>
              </w:rPr>
              <w:t xml:space="preserve"> will advance gender equality and promote the empowerment of women and girls, through applying the following principles to planning and implementation:</w:t>
            </w:r>
          </w:p>
          <w:p w:rsidR="00EC63E2" w:rsidRPr="00616D62" w:rsidRDefault="00EC63E2" w:rsidP="00EC63E2">
            <w:pPr>
              <w:pStyle w:val="ListParagraph"/>
              <w:numPr>
                <w:ilvl w:val="0"/>
                <w:numId w:val="3"/>
              </w:numPr>
              <w:rPr>
                <w:rFonts w:ascii="Arial" w:hAnsi="Arial" w:cs="Arial"/>
                <w:sz w:val="20"/>
                <w:szCs w:val="20"/>
              </w:rPr>
            </w:pPr>
            <w:r w:rsidRPr="00616D62">
              <w:rPr>
                <w:rFonts w:ascii="Arial" w:hAnsi="Arial" w:cs="Arial"/>
                <w:sz w:val="20"/>
                <w:szCs w:val="20"/>
              </w:rPr>
              <w:t>Data collection in a form which can be readily analysed to inform planning, analysis and reporting of gender impacts;</w:t>
            </w:r>
          </w:p>
          <w:p w:rsidR="00EC63E2" w:rsidRPr="00616D62" w:rsidRDefault="00EC63E2" w:rsidP="00EC63E2">
            <w:pPr>
              <w:pStyle w:val="ListParagraph"/>
              <w:numPr>
                <w:ilvl w:val="0"/>
                <w:numId w:val="3"/>
              </w:numPr>
              <w:rPr>
                <w:rFonts w:ascii="Arial" w:hAnsi="Arial" w:cs="Arial"/>
                <w:sz w:val="20"/>
                <w:szCs w:val="20"/>
              </w:rPr>
            </w:pPr>
            <w:r w:rsidRPr="00616D62">
              <w:rPr>
                <w:rFonts w:ascii="Arial" w:hAnsi="Arial" w:cs="Arial"/>
                <w:sz w:val="20"/>
                <w:szCs w:val="20"/>
              </w:rPr>
              <w:t>Personnel and consultants understanding the importance of</w:t>
            </w:r>
            <w:r w:rsidR="003366EE">
              <w:rPr>
                <w:rFonts w:ascii="Arial" w:hAnsi="Arial" w:cs="Arial"/>
                <w:sz w:val="20"/>
                <w:szCs w:val="20"/>
              </w:rPr>
              <w:t>,</w:t>
            </w:r>
            <w:r w:rsidRPr="00616D62">
              <w:rPr>
                <w:rFonts w:ascii="Arial" w:hAnsi="Arial" w:cs="Arial"/>
                <w:sz w:val="20"/>
                <w:szCs w:val="20"/>
              </w:rPr>
              <w:t xml:space="preserve"> and having the capacity to address</w:t>
            </w:r>
            <w:r w:rsidR="003366EE">
              <w:rPr>
                <w:rFonts w:ascii="Arial" w:hAnsi="Arial" w:cs="Arial"/>
                <w:sz w:val="20"/>
                <w:szCs w:val="20"/>
              </w:rPr>
              <w:t>,</w:t>
            </w:r>
            <w:r w:rsidRPr="00616D62">
              <w:rPr>
                <w:rFonts w:ascii="Arial" w:hAnsi="Arial" w:cs="Arial"/>
                <w:sz w:val="20"/>
                <w:szCs w:val="20"/>
              </w:rPr>
              <w:t xml:space="preserve"> gender equality;</w:t>
            </w:r>
          </w:p>
          <w:p w:rsidR="00EC63E2" w:rsidRPr="00616D62" w:rsidRDefault="00EC63E2" w:rsidP="00EC63E2">
            <w:pPr>
              <w:pStyle w:val="ListParagraph"/>
              <w:numPr>
                <w:ilvl w:val="0"/>
                <w:numId w:val="3"/>
              </w:numPr>
              <w:rPr>
                <w:rFonts w:ascii="Arial" w:hAnsi="Arial" w:cs="Arial"/>
                <w:sz w:val="20"/>
                <w:szCs w:val="20"/>
              </w:rPr>
            </w:pPr>
            <w:r w:rsidRPr="00616D62">
              <w:rPr>
                <w:rFonts w:ascii="Arial" w:hAnsi="Arial" w:cs="Arial"/>
                <w:sz w:val="20"/>
                <w:szCs w:val="20"/>
              </w:rPr>
              <w:t>Promoting gender equality, and the importance of gender equality for program activities, through communication to a wider audience;</w:t>
            </w:r>
          </w:p>
          <w:p w:rsidR="00EC63E2" w:rsidRPr="00616D62" w:rsidRDefault="00EC63E2" w:rsidP="00EC63E2">
            <w:pPr>
              <w:pStyle w:val="ListParagraph"/>
              <w:numPr>
                <w:ilvl w:val="0"/>
                <w:numId w:val="3"/>
              </w:numPr>
              <w:rPr>
                <w:rFonts w:ascii="Arial" w:hAnsi="Arial" w:cs="Arial"/>
                <w:sz w:val="20"/>
                <w:szCs w:val="20"/>
              </w:rPr>
            </w:pPr>
            <w:r w:rsidRPr="00616D62">
              <w:rPr>
                <w:rFonts w:ascii="Arial" w:hAnsi="Arial" w:cs="Arial"/>
                <w:sz w:val="20"/>
                <w:szCs w:val="20"/>
              </w:rPr>
              <w:t>Needs and priorities of women as well as those of men, identified and addressed in the program’s training and employment support activities;</w:t>
            </w:r>
          </w:p>
          <w:p w:rsidR="00EC63E2" w:rsidRPr="00616D62" w:rsidRDefault="00EC63E2" w:rsidP="00EC63E2">
            <w:pPr>
              <w:pStyle w:val="ListParagraph"/>
              <w:numPr>
                <w:ilvl w:val="0"/>
                <w:numId w:val="3"/>
              </w:numPr>
              <w:rPr>
                <w:rFonts w:ascii="Arial" w:hAnsi="Arial" w:cs="Arial"/>
                <w:sz w:val="20"/>
                <w:szCs w:val="20"/>
              </w:rPr>
            </w:pPr>
            <w:r w:rsidRPr="00616D62">
              <w:rPr>
                <w:rFonts w:ascii="Arial" w:hAnsi="Arial" w:cs="Arial"/>
                <w:sz w:val="20"/>
                <w:szCs w:val="20"/>
              </w:rPr>
              <w:t xml:space="preserve">Information and communication undertaken as part </w:t>
            </w:r>
            <w:r w:rsidR="005D155D">
              <w:rPr>
                <w:rFonts w:ascii="Arial" w:hAnsi="Arial" w:cs="Arial"/>
                <w:sz w:val="20"/>
                <w:szCs w:val="20"/>
              </w:rPr>
              <w:t>of program activities indicate</w:t>
            </w:r>
            <w:r w:rsidRPr="00616D62">
              <w:rPr>
                <w:rFonts w:ascii="Arial" w:hAnsi="Arial" w:cs="Arial"/>
                <w:sz w:val="20"/>
                <w:szCs w:val="20"/>
              </w:rPr>
              <w:t xml:space="preserve"> that opportunities are open to both women and men;</w:t>
            </w:r>
          </w:p>
          <w:p w:rsidR="00EC63E2" w:rsidRPr="00616D62" w:rsidRDefault="00EC63E2" w:rsidP="00EC63E2">
            <w:pPr>
              <w:pStyle w:val="ListParagraph"/>
              <w:numPr>
                <w:ilvl w:val="0"/>
                <w:numId w:val="3"/>
              </w:numPr>
              <w:rPr>
                <w:rFonts w:ascii="Arial" w:hAnsi="Arial" w:cs="Arial"/>
                <w:sz w:val="20"/>
                <w:szCs w:val="20"/>
              </w:rPr>
            </w:pPr>
            <w:r w:rsidRPr="00616D62">
              <w:rPr>
                <w:rFonts w:ascii="Arial" w:hAnsi="Arial" w:cs="Arial"/>
                <w:sz w:val="20"/>
                <w:szCs w:val="20"/>
              </w:rPr>
              <w:t>Commitment to building the knowledge, understanding and practical capacity of both women and men, in traditional and non-traditional roles by giving equal opportunity for their participation, including in leadership roles;</w:t>
            </w:r>
          </w:p>
          <w:p w:rsidR="00EC63E2" w:rsidRPr="00C328FF" w:rsidRDefault="00EC63E2" w:rsidP="00E9549A">
            <w:pPr>
              <w:pStyle w:val="ListParagraph"/>
              <w:numPr>
                <w:ilvl w:val="0"/>
                <w:numId w:val="3"/>
              </w:numPr>
              <w:rPr>
                <w:rFonts w:cs="Arial"/>
                <w:sz w:val="20"/>
                <w:szCs w:val="20"/>
              </w:rPr>
            </w:pPr>
            <w:r w:rsidRPr="00616D62">
              <w:rPr>
                <w:rFonts w:ascii="Arial" w:hAnsi="Arial" w:cs="Arial"/>
                <w:sz w:val="20"/>
                <w:szCs w:val="20"/>
              </w:rPr>
              <w:t xml:space="preserve">Providing and promoting equal opportunities for women to participate in </w:t>
            </w:r>
            <w:proofErr w:type="spellStart"/>
            <w:r w:rsidR="00E9549A">
              <w:rPr>
                <w:rFonts w:ascii="Arial" w:hAnsi="Arial" w:cs="Arial"/>
                <w:sz w:val="20"/>
                <w:szCs w:val="20"/>
              </w:rPr>
              <w:t>SfEP</w:t>
            </w:r>
            <w:proofErr w:type="spellEnd"/>
            <w:r w:rsidR="00E9549A">
              <w:rPr>
                <w:rFonts w:ascii="Arial" w:hAnsi="Arial" w:cs="Arial"/>
                <w:sz w:val="20"/>
                <w:szCs w:val="20"/>
              </w:rPr>
              <w:t xml:space="preserve"> </w:t>
            </w:r>
            <w:r w:rsidR="00F84829">
              <w:rPr>
                <w:rFonts w:ascii="Arial" w:hAnsi="Arial" w:cs="Arial"/>
                <w:sz w:val="20"/>
                <w:szCs w:val="20"/>
              </w:rPr>
              <w:t>program</w:t>
            </w:r>
            <w:r w:rsidR="00F84829" w:rsidRPr="00616D62">
              <w:rPr>
                <w:rFonts w:ascii="Arial" w:hAnsi="Arial" w:cs="Arial"/>
                <w:sz w:val="20"/>
                <w:szCs w:val="20"/>
              </w:rPr>
              <w:t xml:space="preserve"> </w:t>
            </w:r>
            <w:r w:rsidRPr="00616D62">
              <w:rPr>
                <w:rFonts w:ascii="Arial" w:hAnsi="Arial" w:cs="Arial"/>
                <w:sz w:val="20"/>
                <w:szCs w:val="20"/>
              </w:rPr>
              <w:t xml:space="preserve">committees, planning groups and course review activities. </w:t>
            </w:r>
          </w:p>
        </w:tc>
      </w:tr>
      <w:tr w:rsidR="00321BCF" w:rsidRPr="007E3C31" w:rsidTr="00321BCF">
        <w:trPr>
          <w:cantSplit/>
          <w:trHeight w:val="398"/>
        </w:trPr>
        <w:tc>
          <w:tcPr>
            <w:tcW w:w="3555" w:type="dxa"/>
            <w:gridSpan w:val="2"/>
            <w:tcBorders>
              <w:right w:val="single" w:sz="4" w:space="0" w:color="auto"/>
            </w:tcBorders>
            <w:shd w:val="clear" w:color="auto" w:fill="D9D9D9" w:themeFill="background1" w:themeFillShade="D9"/>
            <w:vAlign w:val="center"/>
          </w:tcPr>
          <w:p w:rsidR="00321BCF" w:rsidRPr="00321BCF" w:rsidRDefault="00321BCF" w:rsidP="00321BCF">
            <w:pPr>
              <w:widowControl/>
              <w:autoSpaceDE/>
              <w:autoSpaceDN/>
              <w:adjustRightInd/>
              <w:spacing w:before="120"/>
              <w:rPr>
                <w:rFonts w:cs="Arial"/>
                <w:b/>
                <w:sz w:val="20"/>
                <w:lang w:eastAsia="en-US"/>
              </w:rPr>
            </w:pPr>
            <w:r w:rsidRPr="00321BCF">
              <w:rPr>
                <w:rFonts w:cs="Arial"/>
                <w:b/>
                <w:sz w:val="20"/>
                <w:lang w:eastAsia="en-US"/>
              </w:rPr>
              <w:t>Recommendation 16</w:t>
            </w:r>
          </w:p>
        </w:tc>
        <w:tc>
          <w:tcPr>
            <w:tcW w:w="9514" w:type="dxa"/>
            <w:tcBorders>
              <w:left w:val="single" w:sz="4" w:space="0" w:color="auto"/>
            </w:tcBorders>
            <w:shd w:val="clear" w:color="auto" w:fill="D9D9D9" w:themeFill="background1" w:themeFillShade="D9"/>
            <w:vAlign w:val="center"/>
          </w:tcPr>
          <w:p w:rsidR="00321BCF" w:rsidRPr="00321BCF" w:rsidRDefault="00321BCF" w:rsidP="00321BCF">
            <w:pPr>
              <w:widowControl/>
              <w:autoSpaceDE/>
              <w:autoSpaceDN/>
              <w:adjustRightInd/>
              <w:spacing w:before="120"/>
              <w:rPr>
                <w:rFonts w:cs="Arial"/>
                <w:b/>
                <w:sz w:val="20"/>
                <w:lang w:eastAsia="en-US"/>
              </w:rPr>
            </w:pPr>
            <w:r w:rsidRPr="00321BCF">
              <w:rPr>
                <w:rFonts w:cs="Arial"/>
                <w:b/>
                <w:sz w:val="20"/>
                <w:szCs w:val="20"/>
              </w:rPr>
              <w:t xml:space="preserve">Phase III should consider lessons learned from the existing focus on supporting people with disability during Phase II, so that </w:t>
            </w:r>
            <w:r w:rsidR="001668F1">
              <w:rPr>
                <w:rFonts w:cs="Arial"/>
                <w:b/>
                <w:sz w:val="20"/>
                <w:szCs w:val="20"/>
              </w:rPr>
              <w:t xml:space="preserve">inclusion </w:t>
            </w:r>
            <w:r w:rsidRPr="00321BCF">
              <w:rPr>
                <w:rFonts w:cs="Arial"/>
                <w:b/>
                <w:sz w:val="20"/>
                <w:szCs w:val="20"/>
              </w:rPr>
              <w:t>targets and targeting strategies can be set for inclusion at KIT.</w:t>
            </w:r>
          </w:p>
        </w:tc>
      </w:tr>
      <w:tr w:rsidR="00321BCF" w:rsidRPr="007E3C31" w:rsidTr="00D03212">
        <w:trPr>
          <w:cantSplit/>
          <w:trHeight w:val="398"/>
        </w:trPr>
        <w:tc>
          <w:tcPr>
            <w:tcW w:w="13069" w:type="dxa"/>
            <w:gridSpan w:val="3"/>
            <w:shd w:val="clear" w:color="auto" w:fill="FFFFFF" w:themeFill="background1"/>
            <w:vAlign w:val="center"/>
          </w:tcPr>
          <w:p w:rsidR="00321BCF" w:rsidRPr="00321BCF" w:rsidRDefault="00321BCF" w:rsidP="00E9549A">
            <w:pPr>
              <w:widowControl/>
              <w:autoSpaceDE/>
              <w:autoSpaceDN/>
              <w:adjustRightInd/>
              <w:spacing w:before="120"/>
              <w:rPr>
                <w:rFonts w:cs="Arial"/>
                <w:b/>
                <w:sz w:val="20"/>
                <w:szCs w:val="20"/>
              </w:rPr>
            </w:pPr>
            <w:r w:rsidRPr="00616D62">
              <w:rPr>
                <w:rFonts w:cs="Arial"/>
                <w:b/>
                <w:sz w:val="20"/>
                <w:szCs w:val="20"/>
              </w:rPr>
              <w:lastRenderedPageBreak/>
              <w:t>DFAT response</w:t>
            </w:r>
            <w:r w:rsidRPr="00616D62">
              <w:rPr>
                <w:rFonts w:cs="Arial"/>
                <w:sz w:val="20"/>
                <w:szCs w:val="20"/>
              </w:rPr>
              <w:t xml:space="preserve"> Agree. </w:t>
            </w:r>
            <w:r w:rsidR="005D155D">
              <w:rPr>
                <w:rFonts w:cs="Arial"/>
                <w:sz w:val="20"/>
                <w:szCs w:val="20"/>
              </w:rPr>
              <w:t>SfEP</w:t>
            </w:r>
            <w:r w:rsidRPr="00616D62">
              <w:rPr>
                <w:rFonts w:cs="Arial"/>
                <w:sz w:val="20"/>
                <w:szCs w:val="20"/>
              </w:rPr>
              <w:t xml:space="preserve"> will continue to maintain the commitment of both the Governments of Australia and Kiribati to supporting people with disabilities access opportunities for training at KIT</w:t>
            </w:r>
            <w:r>
              <w:rPr>
                <w:rFonts w:cs="Arial"/>
                <w:sz w:val="20"/>
                <w:szCs w:val="20"/>
              </w:rPr>
              <w:t xml:space="preserve"> </w:t>
            </w:r>
            <w:r w:rsidRPr="00616D62">
              <w:rPr>
                <w:rFonts w:cs="Arial"/>
                <w:sz w:val="20"/>
                <w:szCs w:val="20"/>
              </w:rPr>
              <w:t>and subsequent employment through the</w:t>
            </w:r>
            <w:r w:rsidR="00E9549A">
              <w:rPr>
                <w:rFonts w:cs="Arial"/>
                <w:sz w:val="20"/>
                <w:szCs w:val="20"/>
              </w:rPr>
              <w:t xml:space="preserve"> Job Search Centre</w:t>
            </w:r>
            <w:r w:rsidRPr="00616D62">
              <w:rPr>
                <w:rFonts w:cs="Arial"/>
                <w:sz w:val="20"/>
                <w:szCs w:val="20"/>
              </w:rPr>
              <w:t xml:space="preserve">. </w:t>
            </w:r>
            <w:r>
              <w:rPr>
                <w:rFonts w:cs="Arial"/>
                <w:sz w:val="20"/>
                <w:szCs w:val="20"/>
              </w:rPr>
              <w:t xml:space="preserve">DFAT will work with the </w:t>
            </w:r>
            <w:r w:rsidR="005D155D">
              <w:rPr>
                <w:rFonts w:cs="Arial"/>
                <w:sz w:val="20"/>
                <w:szCs w:val="20"/>
              </w:rPr>
              <w:t>SfEP</w:t>
            </w:r>
            <w:r>
              <w:rPr>
                <w:rFonts w:cs="Arial"/>
                <w:sz w:val="20"/>
                <w:szCs w:val="20"/>
              </w:rPr>
              <w:t xml:space="preserve"> managing contractor to develop appropriate targets and targeting strategies to promote the inclusion of people with disabilities from enrolment through to graduation and beyond.</w:t>
            </w:r>
          </w:p>
        </w:tc>
      </w:tr>
    </w:tbl>
    <w:p w:rsidR="00EC63E2" w:rsidRPr="00616D62" w:rsidRDefault="00EC63E2" w:rsidP="00B41081">
      <w:pPr>
        <w:rPr>
          <w:rFonts w:cs="Arial"/>
          <w:b/>
          <w:sz w:val="20"/>
          <w:szCs w:val="20"/>
          <w:u w:val="single"/>
        </w:rPr>
      </w:pPr>
    </w:p>
    <w:p w:rsidR="00B41081" w:rsidRPr="00221C82" w:rsidRDefault="00B41081" w:rsidP="00850022">
      <w:pPr>
        <w:keepNext/>
        <w:spacing w:before="120" w:after="0"/>
        <w:outlineLvl w:val="1"/>
        <w:rPr>
          <w:rFonts w:cs="Arial"/>
          <w:b/>
          <w:iCs/>
          <w:sz w:val="24"/>
          <w:szCs w:val="22"/>
        </w:rPr>
      </w:pPr>
    </w:p>
    <w:sectPr w:rsidR="00B41081" w:rsidRPr="00221C82" w:rsidSect="00C328FF">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noEndnote/>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3D" w:rsidRDefault="00E9283D" w:rsidP="00840AC2">
      <w:pPr>
        <w:spacing w:after="0"/>
      </w:pPr>
      <w:r>
        <w:separator/>
      </w:r>
    </w:p>
  </w:endnote>
  <w:endnote w:type="continuationSeparator" w:id="0">
    <w:p w:rsidR="00E9283D" w:rsidRDefault="00E9283D" w:rsidP="00840A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62" w:rsidRDefault="008B7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62" w:rsidRDefault="008B7D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62" w:rsidRDefault="008B7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3D" w:rsidRDefault="00E9283D" w:rsidP="00840AC2">
      <w:pPr>
        <w:spacing w:after="0"/>
      </w:pPr>
      <w:r>
        <w:separator/>
      </w:r>
    </w:p>
  </w:footnote>
  <w:footnote w:type="continuationSeparator" w:id="0">
    <w:p w:rsidR="00E9283D" w:rsidRDefault="00E9283D" w:rsidP="00840A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62" w:rsidRDefault="008B7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62" w:rsidRDefault="008B7D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62" w:rsidRDefault="008B7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25AD8"/>
    <w:multiLevelType w:val="hybridMultilevel"/>
    <w:tmpl w:val="9B30ECA8"/>
    <w:lvl w:ilvl="0" w:tplc="A6BE44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CC70B9"/>
    <w:multiLevelType w:val="hybridMultilevel"/>
    <w:tmpl w:val="78FA6FAA"/>
    <w:lvl w:ilvl="0" w:tplc="6F9C49D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2FD2573"/>
    <w:multiLevelType w:val="hybridMultilevel"/>
    <w:tmpl w:val="0D48F172"/>
    <w:lvl w:ilvl="0" w:tplc="6F9C49D6">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22"/>
    <w:rsid w:val="00045A9F"/>
    <w:rsid w:val="000531BF"/>
    <w:rsid w:val="0006767D"/>
    <w:rsid w:val="000E582F"/>
    <w:rsid w:val="000E7AD0"/>
    <w:rsid w:val="00116E4B"/>
    <w:rsid w:val="00143A3D"/>
    <w:rsid w:val="001668F1"/>
    <w:rsid w:val="001D4433"/>
    <w:rsid w:val="001F1FB9"/>
    <w:rsid w:val="00240B5C"/>
    <w:rsid w:val="00260791"/>
    <w:rsid w:val="002C13B3"/>
    <w:rsid w:val="00320626"/>
    <w:rsid w:val="00321BCF"/>
    <w:rsid w:val="003235D1"/>
    <w:rsid w:val="003366EE"/>
    <w:rsid w:val="00344A74"/>
    <w:rsid w:val="00350A5D"/>
    <w:rsid w:val="00356524"/>
    <w:rsid w:val="0038645C"/>
    <w:rsid w:val="003C2EDF"/>
    <w:rsid w:val="003F244C"/>
    <w:rsid w:val="0041478E"/>
    <w:rsid w:val="004213DA"/>
    <w:rsid w:val="00434EA1"/>
    <w:rsid w:val="00436DFF"/>
    <w:rsid w:val="004D33B2"/>
    <w:rsid w:val="004F121D"/>
    <w:rsid w:val="004F58C2"/>
    <w:rsid w:val="00536998"/>
    <w:rsid w:val="00543091"/>
    <w:rsid w:val="005C3D38"/>
    <w:rsid w:val="005D155D"/>
    <w:rsid w:val="00614E2E"/>
    <w:rsid w:val="006438FB"/>
    <w:rsid w:val="006B480F"/>
    <w:rsid w:val="006D00A1"/>
    <w:rsid w:val="0073612C"/>
    <w:rsid w:val="00790F47"/>
    <w:rsid w:val="007F5ADA"/>
    <w:rsid w:val="00824BFB"/>
    <w:rsid w:val="008306B3"/>
    <w:rsid w:val="00840AC2"/>
    <w:rsid w:val="00850022"/>
    <w:rsid w:val="00867168"/>
    <w:rsid w:val="008803E1"/>
    <w:rsid w:val="00894A46"/>
    <w:rsid w:val="008B7D62"/>
    <w:rsid w:val="008D2BE7"/>
    <w:rsid w:val="008F0823"/>
    <w:rsid w:val="00907A92"/>
    <w:rsid w:val="00911D03"/>
    <w:rsid w:val="00913F38"/>
    <w:rsid w:val="0094327E"/>
    <w:rsid w:val="00952ED4"/>
    <w:rsid w:val="00983E53"/>
    <w:rsid w:val="00990FC7"/>
    <w:rsid w:val="009A1FF9"/>
    <w:rsid w:val="009C456B"/>
    <w:rsid w:val="00A14383"/>
    <w:rsid w:val="00A514D2"/>
    <w:rsid w:val="00A63BFB"/>
    <w:rsid w:val="00A97EE1"/>
    <w:rsid w:val="00AA162E"/>
    <w:rsid w:val="00AF2AC3"/>
    <w:rsid w:val="00B07EEB"/>
    <w:rsid w:val="00B2166F"/>
    <w:rsid w:val="00B41081"/>
    <w:rsid w:val="00B62778"/>
    <w:rsid w:val="00B65E7B"/>
    <w:rsid w:val="00B7752A"/>
    <w:rsid w:val="00B85417"/>
    <w:rsid w:val="00C17DEB"/>
    <w:rsid w:val="00C2596A"/>
    <w:rsid w:val="00C328FF"/>
    <w:rsid w:val="00C5592D"/>
    <w:rsid w:val="00C63A5F"/>
    <w:rsid w:val="00CC778D"/>
    <w:rsid w:val="00D03DA8"/>
    <w:rsid w:val="00D17CF2"/>
    <w:rsid w:val="00D44F75"/>
    <w:rsid w:val="00D601D9"/>
    <w:rsid w:val="00D64185"/>
    <w:rsid w:val="00D80149"/>
    <w:rsid w:val="00D82348"/>
    <w:rsid w:val="00D8436A"/>
    <w:rsid w:val="00DB066B"/>
    <w:rsid w:val="00DB7789"/>
    <w:rsid w:val="00DF68C3"/>
    <w:rsid w:val="00E65BFC"/>
    <w:rsid w:val="00E9283D"/>
    <w:rsid w:val="00E9549A"/>
    <w:rsid w:val="00EA7EE8"/>
    <w:rsid w:val="00EC63E2"/>
    <w:rsid w:val="00EC7B79"/>
    <w:rsid w:val="00F46D07"/>
    <w:rsid w:val="00F84829"/>
    <w:rsid w:val="00F86E1F"/>
    <w:rsid w:val="00FC1B73"/>
    <w:rsid w:val="00FE0FDC"/>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022"/>
    <w:pPr>
      <w:widowControl w:val="0"/>
      <w:autoSpaceDE w:val="0"/>
      <w:autoSpaceDN w:val="0"/>
      <w:adjustRightInd w:val="0"/>
      <w:spacing w:after="12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081"/>
    <w:pPr>
      <w:widowControl/>
      <w:autoSpaceDE/>
      <w:autoSpaceDN/>
      <w:adjustRightInd/>
      <w:spacing w:after="200" w:line="276" w:lineRule="auto"/>
      <w:ind w:left="720"/>
      <w:contextualSpacing/>
    </w:pPr>
    <w:rPr>
      <w:rFonts w:asciiTheme="minorHAnsi" w:eastAsiaTheme="minorHAnsi" w:hAnsiTheme="minorHAnsi" w:cstheme="minorBidi"/>
      <w:szCs w:val="22"/>
      <w:lang w:eastAsia="en-US"/>
    </w:rPr>
  </w:style>
  <w:style w:type="paragraph" w:styleId="BalloonText">
    <w:name w:val="Balloon Text"/>
    <w:basedOn w:val="Normal"/>
    <w:link w:val="BalloonTextChar"/>
    <w:rsid w:val="009C456B"/>
    <w:pPr>
      <w:spacing w:after="0"/>
    </w:pPr>
    <w:rPr>
      <w:rFonts w:ascii="Tahoma" w:hAnsi="Tahoma" w:cs="Tahoma"/>
      <w:sz w:val="16"/>
      <w:szCs w:val="16"/>
    </w:rPr>
  </w:style>
  <w:style w:type="character" w:customStyle="1" w:styleId="BalloonTextChar">
    <w:name w:val="Balloon Text Char"/>
    <w:basedOn w:val="DefaultParagraphFont"/>
    <w:link w:val="BalloonText"/>
    <w:rsid w:val="009C456B"/>
    <w:rPr>
      <w:rFonts w:ascii="Tahoma" w:hAnsi="Tahoma" w:cs="Tahoma"/>
      <w:sz w:val="16"/>
      <w:szCs w:val="16"/>
    </w:rPr>
  </w:style>
  <w:style w:type="paragraph" w:styleId="FootnoteText">
    <w:name w:val="footnote text"/>
    <w:basedOn w:val="Normal"/>
    <w:link w:val="FootnoteTextChar"/>
    <w:rsid w:val="00840AC2"/>
    <w:pPr>
      <w:spacing w:after="0"/>
    </w:pPr>
    <w:rPr>
      <w:sz w:val="20"/>
      <w:szCs w:val="20"/>
    </w:rPr>
  </w:style>
  <w:style w:type="character" w:customStyle="1" w:styleId="FootnoteTextChar">
    <w:name w:val="Footnote Text Char"/>
    <w:basedOn w:val="DefaultParagraphFont"/>
    <w:link w:val="FootnoteText"/>
    <w:rsid w:val="00840AC2"/>
    <w:rPr>
      <w:rFonts w:ascii="Arial" w:hAnsi="Arial"/>
    </w:rPr>
  </w:style>
  <w:style w:type="character" w:styleId="FootnoteReference">
    <w:name w:val="footnote reference"/>
    <w:basedOn w:val="DefaultParagraphFont"/>
    <w:rsid w:val="00840AC2"/>
    <w:rPr>
      <w:vertAlign w:val="superscript"/>
    </w:rPr>
  </w:style>
  <w:style w:type="character" w:styleId="CommentReference">
    <w:name w:val="annotation reference"/>
    <w:basedOn w:val="DefaultParagraphFont"/>
    <w:rsid w:val="00DF68C3"/>
    <w:rPr>
      <w:sz w:val="16"/>
      <w:szCs w:val="16"/>
    </w:rPr>
  </w:style>
  <w:style w:type="paragraph" w:styleId="CommentText">
    <w:name w:val="annotation text"/>
    <w:basedOn w:val="Normal"/>
    <w:link w:val="CommentTextChar"/>
    <w:rsid w:val="00DF68C3"/>
    <w:rPr>
      <w:sz w:val="20"/>
      <w:szCs w:val="20"/>
    </w:rPr>
  </w:style>
  <w:style w:type="character" w:customStyle="1" w:styleId="CommentTextChar">
    <w:name w:val="Comment Text Char"/>
    <w:basedOn w:val="DefaultParagraphFont"/>
    <w:link w:val="CommentText"/>
    <w:rsid w:val="00DF68C3"/>
    <w:rPr>
      <w:rFonts w:ascii="Arial" w:hAnsi="Arial"/>
    </w:rPr>
  </w:style>
  <w:style w:type="paragraph" w:styleId="CommentSubject">
    <w:name w:val="annotation subject"/>
    <w:basedOn w:val="CommentText"/>
    <w:next w:val="CommentText"/>
    <w:link w:val="CommentSubjectChar"/>
    <w:rsid w:val="00DF68C3"/>
    <w:rPr>
      <w:b/>
      <w:bCs/>
    </w:rPr>
  </w:style>
  <w:style w:type="character" w:customStyle="1" w:styleId="CommentSubjectChar">
    <w:name w:val="Comment Subject Char"/>
    <w:basedOn w:val="CommentTextChar"/>
    <w:link w:val="CommentSubject"/>
    <w:rsid w:val="00DF68C3"/>
    <w:rPr>
      <w:rFonts w:ascii="Arial" w:hAnsi="Arial"/>
      <w:b/>
      <w:bCs/>
    </w:rPr>
  </w:style>
  <w:style w:type="paragraph" w:styleId="Header">
    <w:name w:val="header"/>
    <w:basedOn w:val="Normal"/>
    <w:link w:val="HeaderChar"/>
    <w:rsid w:val="008B7D62"/>
    <w:pPr>
      <w:tabs>
        <w:tab w:val="center" w:pos="4513"/>
        <w:tab w:val="right" w:pos="9026"/>
      </w:tabs>
      <w:spacing w:after="0"/>
    </w:pPr>
  </w:style>
  <w:style w:type="character" w:customStyle="1" w:styleId="HeaderChar">
    <w:name w:val="Header Char"/>
    <w:basedOn w:val="DefaultParagraphFont"/>
    <w:link w:val="Header"/>
    <w:rsid w:val="008B7D62"/>
    <w:rPr>
      <w:rFonts w:ascii="Arial" w:hAnsi="Arial"/>
      <w:sz w:val="22"/>
      <w:szCs w:val="24"/>
    </w:rPr>
  </w:style>
  <w:style w:type="paragraph" w:styleId="Footer">
    <w:name w:val="footer"/>
    <w:basedOn w:val="Normal"/>
    <w:link w:val="FooterChar"/>
    <w:rsid w:val="008B7D62"/>
    <w:pPr>
      <w:tabs>
        <w:tab w:val="center" w:pos="4513"/>
        <w:tab w:val="right" w:pos="9026"/>
      </w:tabs>
      <w:spacing w:after="0"/>
    </w:pPr>
  </w:style>
  <w:style w:type="character" w:customStyle="1" w:styleId="FooterChar">
    <w:name w:val="Footer Char"/>
    <w:basedOn w:val="DefaultParagraphFont"/>
    <w:link w:val="Footer"/>
    <w:rsid w:val="008B7D6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022"/>
    <w:pPr>
      <w:widowControl w:val="0"/>
      <w:autoSpaceDE w:val="0"/>
      <w:autoSpaceDN w:val="0"/>
      <w:adjustRightInd w:val="0"/>
      <w:spacing w:after="12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081"/>
    <w:pPr>
      <w:widowControl/>
      <w:autoSpaceDE/>
      <w:autoSpaceDN/>
      <w:adjustRightInd/>
      <w:spacing w:after="200" w:line="276" w:lineRule="auto"/>
      <w:ind w:left="720"/>
      <w:contextualSpacing/>
    </w:pPr>
    <w:rPr>
      <w:rFonts w:asciiTheme="minorHAnsi" w:eastAsiaTheme="minorHAnsi" w:hAnsiTheme="minorHAnsi" w:cstheme="minorBidi"/>
      <w:szCs w:val="22"/>
      <w:lang w:eastAsia="en-US"/>
    </w:rPr>
  </w:style>
  <w:style w:type="paragraph" w:styleId="BalloonText">
    <w:name w:val="Balloon Text"/>
    <w:basedOn w:val="Normal"/>
    <w:link w:val="BalloonTextChar"/>
    <w:rsid w:val="009C456B"/>
    <w:pPr>
      <w:spacing w:after="0"/>
    </w:pPr>
    <w:rPr>
      <w:rFonts w:ascii="Tahoma" w:hAnsi="Tahoma" w:cs="Tahoma"/>
      <w:sz w:val="16"/>
      <w:szCs w:val="16"/>
    </w:rPr>
  </w:style>
  <w:style w:type="character" w:customStyle="1" w:styleId="BalloonTextChar">
    <w:name w:val="Balloon Text Char"/>
    <w:basedOn w:val="DefaultParagraphFont"/>
    <w:link w:val="BalloonText"/>
    <w:rsid w:val="009C456B"/>
    <w:rPr>
      <w:rFonts w:ascii="Tahoma" w:hAnsi="Tahoma" w:cs="Tahoma"/>
      <w:sz w:val="16"/>
      <w:szCs w:val="16"/>
    </w:rPr>
  </w:style>
  <w:style w:type="paragraph" w:styleId="FootnoteText">
    <w:name w:val="footnote text"/>
    <w:basedOn w:val="Normal"/>
    <w:link w:val="FootnoteTextChar"/>
    <w:rsid w:val="00840AC2"/>
    <w:pPr>
      <w:spacing w:after="0"/>
    </w:pPr>
    <w:rPr>
      <w:sz w:val="20"/>
      <w:szCs w:val="20"/>
    </w:rPr>
  </w:style>
  <w:style w:type="character" w:customStyle="1" w:styleId="FootnoteTextChar">
    <w:name w:val="Footnote Text Char"/>
    <w:basedOn w:val="DefaultParagraphFont"/>
    <w:link w:val="FootnoteText"/>
    <w:rsid w:val="00840AC2"/>
    <w:rPr>
      <w:rFonts w:ascii="Arial" w:hAnsi="Arial"/>
    </w:rPr>
  </w:style>
  <w:style w:type="character" w:styleId="FootnoteReference">
    <w:name w:val="footnote reference"/>
    <w:basedOn w:val="DefaultParagraphFont"/>
    <w:rsid w:val="00840AC2"/>
    <w:rPr>
      <w:vertAlign w:val="superscript"/>
    </w:rPr>
  </w:style>
  <w:style w:type="character" w:styleId="CommentReference">
    <w:name w:val="annotation reference"/>
    <w:basedOn w:val="DefaultParagraphFont"/>
    <w:rsid w:val="00DF68C3"/>
    <w:rPr>
      <w:sz w:val="16"/>
      <w:szCs w:val="16"/>
    </w:rPr>
  </w:style>
  <w:style w:type="paragraph" w:styleId="CommentText">
    <w:name w:val="annotation text"/>
    <w:basedOn w:val="Normal"/>
    <w:link w:val="CommentTextChar"/>
    <w:rsid w:val="00DF68C3"/>
    <w:rPr>
      <w:sz w:val="20"/>
      <w:szCs w:val="20"/>
    </w:rPr>
  </w:style>
  <w:style w:type="character" w:customStyle="1" w:styleId="CommentTextChar">
    <w:name w:val="Comment Text Char"/>
    <w:basedOn w:val="DefaultParagraphFont"/>
    <w:link w:val="CommentText"/>
    <w:rsid w:val="00DF68C3"/>
    <w:rPr>
      <w:rFonts w:ascii="Arial" w:hAnsi="Arial"/>
    </w:rPr>
  </w:style>
  <w:style w:type="paragraph" w:styleId="CommentSubject">
    <w:name w:val="annotation subject"/>
    <w:basedOn w:val="CommentText"/>
    <w:next w:val="CommentText"/>
    <w:link w:val="CommentSubjectChar"/>
    <w:rsid w:val="00DF68C3"/>
    <w:rPr>
      <w:b/>
      <w:bCs/>
    </w:rPr>
  </w:style>
  <w:style w:type="character" w:customStyle="1" w:styleId="CommentSubjectChar">
    <w:name w:val="Comment Subject Char"/>
    <w:basedOn w:val="CommentTextChar"/>
    <w:link w:val="CommentSubject"/>
    <w:rsid w:val="00DF68C3"/>
    <w:rPr>
      <w:rFonts w:ascii="Arial" w:hAnsi="Arial"/>
      <w:b/>
      <w:bCs/>
    </w:rPr>
  </w:style>
  <w:style w:type="paragraph" w:styleId="Header">
    <w:name w:val="header"/>
    <w:basedOn w:val="Normal"/>
    <w:link w:val="HeaderChar"/>
    <w:rsid w:val="008B7D62"/>
    <w:pPr>
      <w:tabs>
        <w:tab w:val="center" w:pos="4513"/>
        <w:tab w:val="right" w:pos="9026"/>
      </w:tabs>
      <w:spacing w:after="0"/>
    </w:pPr>
  </w:style>
  <w:style w:type="character" w:customStyle="1" w:styleId="HeaderChar">
    <w:name w:val="Header Char"/>
    <w:basedOn w:val="DefaultParagraphFont"/>
    <w:link w:val="Header"/>
    <w:rsid w:val="008B7D62"/>
    <w:rPr>
      <w:rFonts w:ascii="Arial" w:hAnsi="Arial"/>
      <w:sz w:val="22"/>
      <w:szCs w:val="24"/>
    </w:rPr>
  </w:style>
  <w:style w:type="paragraph" w:styleId="Footer">
    <w:name w:val="footer"/>
    <w:basedOn w:val="Normal"/>
    <w:link w:val="FooterChar"/>
    <w:rsid w:val="008B7D62"/>
    <w:pPr>
      <w:tabs>
        <w:tab w:val="center" w:pos="4513"/>
        <w:tab w:val="right" w:pos="9026"/>
      </w:tabs>
      <w:spacing w:after="0"/>
    </w:pPr>
  </w:style>
  <w:style w:type="character" w:customStyle="1" w:styleId="FooterChar">
    <w:name w:val="Footer Char"/>
    <w:basedOn w:val="DefaultParagraphFont"/>
    <w:link w:val="Footer"/>
    <w:rsid w:val="008B7D6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16F6A-F3F7-45A1-8169-FD69D1A0C62A}"/>
</file>

<file path=customXml/itemProps2.xml><?xml version="1.0" encoding="utf-8"?>
<ds:datastoreItem xmlns:ds="http://schemas.openxmlformats.org/officeDocument/2006/customXml" ds:itemID="{EFA81EBD-E10C-49C1-B8F7-E3F7E0128C17}"/>
</file>

<file path=customXml/itemProps3.xml><?xml version="1.0" encoding="utf-8"?>
<ds:datastoreItem xmlns:ds="http://schemas.openxmlformats.org/officeDocument/2006/customXml" ds:itemID="{8D289EE1-492B-4671-AF76-383DF56249AD}"/>
</file>

<file path=customXml/itemProps4.xml><?xml version="1.0" encoding="utf-8"?>
<ds:datastoreItem xmlns:ds="http://schemas.openxmlformats.org/officeDocument/2006/customXml" ds:itemID="{EE3E908C-1460-4F82-8027-C9D2AD095123}"/>
</file>

<file path=docProps/app.xml><?xml version="1.0" encoding="utf-8"?>
<Properties xmlns="http://schemas.openxmlformats.org/officeDocument/2006/extended-properties" xmlns:vt="http://schemas.openxmlformats.org/officeDocument/2006/docPropsVTypes">
  <Template>88FCB546</Template>
  <TotalTime>0</TotalTime>
  <Pages>8</Pages>
  <Words>2290</Words>
  <Characters>13331</Characters>
  <Application>Microsoft Office Word</Application>
  <DocSecurity>0</DocSecurity>
  <Lines>302</Lines>
  <Paragraphs>154</Paragraphs>
  <ScaleCrop>false</ScaleCrop>
  <Company/>
  <LinksUpToDate>false</LinksUpToDate>
  <CharactersWithSpaces>15467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2016-02-04T04:04:00Z</dcterms:created>
  <dcterms:modified xsi:type="dcterms:W3CDTF">2016-02-04T04:04:00Z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6fcfad31-77f4-49a4-b963-3db4a2956bad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1013500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