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5D3AC" w14:textId="3AE0831F" w:rsidR="00EB398C" w:rsidRDefault="00494F98" w:rsidP="00BF4AB5">
      <w:pPr>
        <w:pStyle w:val="Title"/>
        <w:spacing w:before="120" w:line="240" w:lineRule="auto"/>
        <w:rPr>
          <w:sz w:val="36"/>
          <w:szCs w:val="36"/>
        </w:rPr>
      </w:pPr>
      <w:r>
        <w:rPr>
          <w:sz w:val="36"/>
          <w:szCs w:val="36"/>
        </w:rPr>
        <w:t xml:space="preserve">2019-20 </w:t>
      </w:r>
      <w:r w:rsidR="00D762BD">
        <w:rPr>
          <w:sz w:val="36"/>
          <w:szCs w:val="36"/>
        </w:rPr>
        <w:t>kiribati</w:t>
      </w:r>
      <w:r w:rsidR="00235EAB">
        <w:rPr>
          <w:sz w:val="36"/>
          <w:szCs w:val="36"/>
        </w:rPr>
        <w:t xml:space="preserve"> </w:t>
      </w:r>
      <w:r w:rsidR="004C5598">
        <w:rPr>
          <w:sz w:val="36"/>
          <w:szCs w:val="36"/>
        </w:rPr>
        <w:t>development program progress report</w:t>
      </w:r>
      <w:r w:rsidR="00660121">
        <w:rPr>
          <w:sz w:val="36"/>
          <w:szCs w:val="36"/>
        </w:rPr>
        <w:t xml:space="preserve">  </w:t>
      </w:r>
    </w:p>
    <w:p w14:paraId="13A6496D" w14:textId="77777777" w:rsidR="00452298" w:rsidRDefault="00230777" w:rsidP="00EB398C">
      <w:pPr>
        <w:pStyle w:val="Title"/>
        <w:rPr>
          <w:noProof/>
          <w:sz w:val="36"/>
          <w:szCs w:val="36"/>
          <w:lang w:val="en-AU" w:eastAsia="en-AU"/>
        </w:rPr>
        <w:sectPr w:rsidR="00452298" w:rsidSect="0090092E">
          <w:headerReference w:type="even" r:id="rId11"/>
          <w:headerReference w:type="default" r:id="rId12"/>
          <w:footerReference w:type="even" r:id="rId13"/>
          <w:footerReference w:type="default" r:id="rId14"/>
          <w:headerReference w:type="first" r:id="rId15"/>
          <w:footerReference w:type="first" r:id="rId16"/>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20.2&#10;Regional – 5.4&#10;Global – 1.5&#10;Other Government Departments – 0.3&#10;Total Australian ODA – 27.3&#10;Note. Actual expenditure is expected to be available in December 2020&#10;"/>
      </w:tblPr>
      <w:tblGrid>
        <w:gridCol w:w="3715"/>
        <w:gridCol w:w="1551"/>
      </w:tblGrid>
      <w:tr w:rsidR="00057839" w14:paraId="1D98D259" w14:textId="77777777" w:rsidTr="00F857E7">
        <w:trPr>
          <w:trHeight w:hRule="exact" w:val="851"/>
        </w:trPr>
        <w:tc>
          <w:tcPr>
            <w:tcW w:w="3715" w:type="dxa"/>
            <w:shd w:val="clear" w:color="auto" w:fill="C1E7E0" w:themeFill="accent1" w:themeFillTint="66"/>
            <w:vAlign w:val="center"/>
          </w:tcPr>
          <w:p w14:paraId="6B2A836F" w14:textId="77777777" w:rsidR="00057839" w:rsidRPr="00E63928" w:rsidRDefault="00057839" w:rsidP="00F857E7">
            <w:pPr>
              <w:pStyle w:val="NormalWeb"/>
              <w:spacing w:before="120" w:beforeAutospacing="0" w:after="60" w:afterAutospacing="0" w:line="200" w:lineRule="exact"/>
              <w:jc w:val="center"/>
              <w:rPr>
                <w:rFonts w:asciiTheme="minorHAnsi" w:hAnsiTheme="minorHAnsi" w:cs="Calibri"/>
                <w:b/>
                <w:bCs/>
                <w:kern w:val="24"/>
                <w:sz w:val="22"/>
                <w:szCs w:val="20"/>
              </w:rPr>
            </w:pPr>
            <w:r w:rsidRPr="00E63928">
              <w:rPr>
                <w:rFonts w:asciiTheme="minorHAnsi" w:hAnsiTheme="minorHAnsi"/>
                <w:b/>
                <w:sz w:val="22"/>
              </w:rPr>
              <w:t>Program Budget</w:t>
            </w:r>
          </w:p>
        </w:tc>
        <w:tc>
          <w:tcPr>
            <w:tcW w:w="1551" w:type="dxa"/>
            <w:shd w:val="clear" w:color="auto" w:fill="C1E7E0" w:themeFill="accent1" w:themeFillTint="66"/>
            <w:vAlign w:val="bottom"/>
          </w:tcPr>
          <w:p w14:paraId="59012FEF" w14:textId="77777777" w:rsidR="00057839" w:rsidRPr="000C2E4F" w:rsidRDefault="00057839" w:rsidP="00F857E7">
            <w:pPr>
              <w:pStyle w:val="NormalWeb"/>
              <w:spacing w:before="120" w:beforeAutospacing="0" w:after="60" w:afterAutospacing="0" w:line="200" w:lineRule="exact"/>
              <w:jc w:val="center"/>
              <w:rPr>
                <w:rFonts w:ascii="Calibri" w:hAnsi="Calibri" w:cs="Calibri"/>
                <w:b/>
                <w:bCs/>
                <w:kern w:val="24"/>
                <w:sz w:val="20"/>
                <w:szCs w:val="20"/>
              </w:rPr>
            </w:pPr>
            <w:r w:rsidRPr="000C2E4F">
              <w:rPr>
                <w:rFonts w:ascii="Calibri" w:hAnsi="Calibri" w:cs="Calibri"/>
                <w:b/>
                <w:bCs/>
                <w:kern w:val="24"/>
                <w:sz w:val="20"/>
                <w:szCs w:val="20"/>
              </w:rPr>
              <w:t>2019-20 Budget Estimate ($m)</w:t>
            </w:r>
            <w:r w:rsidRPr="00057839">
              <w:rPr>
                <w:rFonts w:ascii="Calibri" w:hAnsi="Calibri" w:cs="Calibri"/>
                <w:b/>
                <w:bCs/>
                <w:kern w:val="24"/>
                <w:sz w:val="20"/>
                <w:szCs w:val="20"/>
                <w:vertAlign w:val="superscript"/>
              </w:rPr>
              <w:t>*</w:t>
            </w:r>
          </w:p>
        </w:tc>
      </w:tr>
      <w:tr w:rsidR="00057839" w14:paraId="17BA37E3" w14:textId="77777777" w:rsidTr="00F857E7">
        <w:trPr>
          <w:trHeight w:hRule="exact" w:val="454"/>
        </w:trPr>
        <w:tc>
          <w:tcPr>
            <w:tcW w:w="3715" w:type="dxa"/>
            <w:shd w:val="clear" w:color="auto" w:fill="auto"/>
            <w:vAlign w:val="bottom"/>
          </w:tcPr>
          <w:p w14:paraId="0ACA50BD" w14:textId="77777777" w:rsidR="00057839" w:rsidRPr="009D00E3" w:rsidRDefault="00057839" w:rsidP="00F857E7">
            <w:pPr>
              <w:pStyle w:val="NormalWeb"/>
              <w:spacing w:before="20" w:beforeAutospacing="0" w:after="20" w:afterAutospacing="0"/>
              <w:rPr>
                <w:rFonts w:ascii="Calibri Light" w:eastAsia="Calibri Light" w:hAnsi="Calibri Light"/>
                <w:color w:val="495965" w:themeColor="text2"/>
                <w:kern w:val="24"/>
                <w:sz w:val="20"/>
                <w:szCs w:val="20"/>
              </w:rPr>
            </w:pPr>
            <w:r>
              <w:rPr>
                <w:rFonts w:ascii="Calibri" w:hAnsi="Calibri" w:cs="Calibri"/>
                <w:color w:val="000000" w:themeColor="dark1"/>
                <w:kern w:val="24"/>
                <w:sz w:val="20"/>
                <w:szCs w:val="20"/>
              </w:rPr>
              <w:t>Bilateral</w:t>
            </w:r>
          </w:p>
        </w:tc>
        <w:tc>
          <w:tcPr>
            <w:tcW w:w="1551" w:type="dxa"/>
            <w:vAlign w:val="bottom"/>
          </w:tcPr>
          <w:p w14:paraId="0E88232D" w14:textId="77777777" w:rsidR="00057839" w:rsidRPr="009D00E3" w:rsidRDefault="00057839" w:rsidP="00F857E7">
            <w:pPr>
              <w:pStyle w:val="NormalWeb"/>
              <w:spacing w:before="20" w:beforeAutospacing="0" w:after="20" w:afterAutospacing="0"/>
              <w:jc w:val="right"/>
              <w:rPr>
                <w:rFonts w:ascii="Calibri Light" w:eastAsia="Calibri Light" w:hAnsi="Calibri Light"/>
                <w:color w:val="495965" w:themeColor="text2"/>
                <w:kern w:val="24"/>
                <w:sz w:val="20"/>
                <w:szCs w:val="20"/>
              </w:rPr>
            </w:pPr>
            <w:r>
              <w:rPr>
                <w:rFonts w:ascii="Calibri Light" w:eastAsia="Calibri Light" w:hAnsi="Calibri Light"/>
                <w:color w:val="495965" w:themeColor="text2"/>
                <w:kern w:val="24"/>
                <w:sz w:val="20"/>
                <w:szCs w:val="20"/>
              </w:rPr>
              <w:t>20.2</w:t>
            </w:r>
          </w:p>
        </w:tc>
      </w:tr>
      <w:tr w:rsidR="00057839" w14:paraId="5D88D87A" w14:textId="77777777" w:rsidTr="00F857E7">
        <w:trPr>
          <w:trHeight w:hRule="exact" w:val="454"/>
        </w:trPr>
        <w:tc>
          <w:tcPr>
            <w:tcW w:w="3715" w:type="dxa"/>
            <w:shd w:val="clear" w:color="auto" w:fill="auto"/>
            <w:vAlign w:val="bottom"/>
          </w:tcPr>
          <w:p w14:paraId="5DFEBE54" w14:textId="77777777" w:rsidR="00057839" w:rsidRPr="009D00E3" w:rsidRDefault="00057839" w:rsidP="00F857E7">
            <w:pPr>
              <w:pStyle w:val="NormalWeb"/>
              <w:spacing w:before="20" w:beforeAutospacing="0" w:after="20" w:afterAutospacing="0"/>
              <w:rPr>
                <w:rFonts w:ascii="Calibri Light" w:eastAsia="Calibri Light" w:hAnsi="Calibri Light"/>
                <w:color w:val="495965" w:themeColor="text2"/>
                <w:kern w:val="24"/>
                <w:sz w:val="20"/>
                <w:szCs w:val="20"/>
              </w:rPr>
            </w:pPr>
            <w:r>
              <w:rPr>
                <w:rFonts w:ascii="Calibri" w:hAnsi="Calibri" w:cs="Calibri"/>
                <w:color w:val="000000" w:themeColor="dark1"/>
                <w:kern w:val="24"/>
                <w:sz w:val="20"/>
                <w:szCs w:val="20"/>
              </w:rPr>
              <w:t>Regional</w:t>
            </w:r>
          </w:p>
        </w:tc>
        <w:tc>
          <w:tcPr>
            <w:tcW w:w="1551" w:type="dxa"/>
            <w:vAlign w:val="bottom"/>
          </w:tcPr>
          <w:p w14:paraId="10D88591" w14:textId="77777777" w:rsidR="00057839" w:rsidRPr="009D00E3" w:rsidRDefault="00057839" w:rsidP="00F857E7">
            <w:pPr>
              <w:pStyle w:val="NormalWeb"/>
              <w:spacing w:before="20" w:beforeAutospacing="0" w:after="20" w:afterAutospacing="0"/>
              <w:jc w:val="right"/>
              <w:rPr>
                <w:rFonts w:ascii="Calibri Light" w:eastAsia="Calibri Light" w:hAnsi="Calibri Light"/>
                <w:color w:val="495965" w:themeColor="text2"/>
                <w:kern w:val="24"/>
                <w:sz w:val="20"/>
                <w:szCs w:val="20"/>
              </w:rPr>
            </w:pPr>
            <w:r>
              <w:rPr>
                <w:rFonts w:ascii="Calibri Light" w:eastAsia="Calibri Light" w:hAnsi="Calibri Light"/>
                <w:color w:val="495965" w:themeColor="text2"/>
                <w:kern w:val="24"/>
                <w:sz w:val="20"/>
                <w:szCs w:val="20"/>
              </w:rPr>
              <w:t>5.4</w:t>
            </w:r>
          </w:p>
        </w:tc>
      </w:tr>
      <w:tr w:rsidR="00057839" w14:paraId="3B1653E6" w14:textId="77777777" w:rsidTr="00F857E7">
        <w:trPr>
          <w:trHeight w:hRule="exact" w:val="454"/>
        </w:trPr>
        <w:tc>
          <w:tcPr>
            <w:tcW w:w="3715" w:type="dxa"/>
            <w:shd w:val="clear" w:color="auto" w:fill="auto"/>
            <w:vAlign w:val="bottom"/>
          </w:tcPr>
          <w:p w14:paraId="65E5A120" w14:textId="77777777" w:rsidR="00057839" w:rsidRPr="009D00E3" w:rsidRDefault="00057839" w:rsidP="00F857E7">
            <w:pPr>
              <w:pStyle w:val="NormalWeb"/>
              <w:spacing w:before="20" w:beforeAutospacing="0" w:after="20" w:afterAutospacing="0"/>
              <w:rPr>
                <w:rFonts w:ascii="Calibri Light" w:eastAsia="Calibri Light" w:hAnsi="Calibri Light"/>
                <w:color w:val="495965" w:themeColor="text2"/>
                <w:kern w:val="24"/>
                <w:sz w:val="20"/>
                <w:szCs w:val="20"/>
              </w:rPr>
            </w:pPr>
            <w:r>
              <w:rPr>
                <w:rFonts w:ascii="Calibri" w:hAnsi="Calibri" w:cs="Calibri"/>
                <w:color w:val="000000" w:themeColor="dark1"/>
                <w:kern w:val="24"/>
                <w:sz w:val="20"/>
                <w:szCs w:val="20"/>
              </w:rPr>
              <w:t>Global</w:t>
            </w:r>
          </w:p>
        </w:tc>
        <w:tc>
          <w:tcPr>
            <w:tcW w:w="1551" w:type="dxa"/>
            <w:vAlign w:val="bottom"/>
          </w:tcPr>
          <w:p w14:paraId="35633C8A" w14:textId="77777777" w:rsidR="00057839" w:rsidRPr="009D00E3" w:rsidRDefault="00057839" w:rsidP="00F857E7">
            <w:pPr>
              <w:pStyle w:val="NormalWeb"/>
              <w:spacing w:before="20" w:beforeAutospacing="0" w:after="20" w:afterAutospacing="0"/>
              <w:jc w:val="right"/>
              <w:rPr>
                <w:rFonts w:ascii="Calibri Light" w:eastAsia="Calibri Light" w:hAnsi="Calibri Light"/>
                <w:color w:val="495965" w:themeColor="text2"/>
                <w:kern w:val="24"/>
                <w:sz w:val="20"/>
                <w:szCs w:val="20"/>
              </w:rPr>
            </w:pPr>
            <w:r>
              <w:rPr>
                <w:rFonts w:ascii="Calibri Light" w:eastAsia="Calibri Light" w:hAnsi="Calibri Light"/>
                <w:color w:val="495965" w:themeColor="text2"/>
                <w:kern w:val="24"/>
                <w:sz w:val="20"/>
                <w:szCs w:val="20"/>
              </w:rPr>
              <w:t>1.5</w:t>
            </w:r>
          </w:p>
        </w:tc>
      </w:tr>
      <w:tr w:rsidR="00057839" w14:paraId="4E261743" w14:textId="77777777" w:rsidTr="00F857E7">
        <w:trPr>
          <w:trHeight w:hRule="exact" w:val="454"/>
        </w:trPr>
        <w:tc>
          <w:tcPr>
            <w:tcW w:w="3715" w:type="dxa"/>
            <w:shd w:val="clear" w:color="auto" w:fill="auto"/>
            <w:vAlign w:val="bottom"/>
          </w:tcPr>
          <w:p w14:paraId="629D6942" w14:textId="77777777" w:rsidR="00057839" w:rsidRPr="009D00E3" w:rsidRDefault="00057839" w:rsidP="00F857E7">
            <w:pPr>
              <w:pStyle w:val="NormalWeb"/>
              <w:spacing w:before="20" w:beforeAutospacing="0" w:after="20" w:afterAutospacing="0"/>
              <w:rPr>
                <w:rFonts w:ascii="Calibri Light" w:eastAsia="Calibri Light" w:hAnsi="Calibri Light"/>
                <w:color w:val="495965" w:themeColor="text2"/>
                <w:kern w:val="24"/>
                <w:sz w:val="20"/>
                <w:szCs w:val="20"/>
              </w:rPr>
            </w:pPr>
            <w:r>
              <w:rPr>
                <w:rFonts w:ascii="Calibri" w:hAnsi="Calibri" w:cs="Calibri"/>
                <w:color w:val="000000" w:themeColor="dark1"/>
                <w:kern w:val="24"/>
                <w:sz w:val="20"/>
                <w:szCs w:val="20"/>
              </w:rPr>
              <w:t>Other Government Departments</w:t>
            </w:r>
          </w:p>
        </w:tc>
        <w:tc>
          <w:tcPr>
            <w:tcW w:w="1551" w:type="dxa"/>
            <w:vAlign w:val="bottom"/>
          </w:tcPr>
          <w:p w14:paraId="4BDBE67D" w14:textId="77777777" w:rsidR="00057839" w:rsidRPr="009D00E3" w:rsidRDefault="00057839" w:rsidP="00F857E7">
            <w:pPr>
              <w:pStyle w:val="NormalWeb"/>
              <w:spacing w:before="20" w:beforeAutospacing="0" w:after="20" w:afterAutospacing="0"/>
              <w:jc w:val="right"/>
              <w:rPr>
                <w:rFonts w:ascii="Calibri Light" w:eastAsia="Calibri Light" w:hAnsi="Calibri Light"/>
                <w:color w:val="495965" w:themeColor="text2"/>
                <w:kern w:val="24"/>
                <w:sz w:val="20"/>
                <w:szCs w:val="20"/>
              </w:rPr>
            </w:pPr>
            <w:r>
              <w:rPr>
                <w:rFonts w:ascii="Calibri Light" w:eastAsia="Calibri Light" w:hAnsi="Calibri Light"/>
                <w:color w:val="495965" w:themeColor="text2"/>
                <w:kern w:val="24"/>
                <w:sz w:val="20"/>
                <w:szCs w:val="20"/>
              </w:rPr>
              <w:t>0.3</w:t>
            </w:r>
          </w:p>
        </w:tc>
      </w:tr>
      <w:tr w:rsidR="00057839" w14:paraId="2683CB69" w14:textId="77777777" w:rsidTr="00F857E7">
        <w:trPr>
          <w:trHeight w:hRule="exact" w:val="454"/>
        </w:trPr>
        <w:tc>
          <w:tcPr>
            <w:tcW w:w="3715" w:type="dxa"/>
            <w:tcBorders>
              <w:bottom w:val="single" w:sz="2" w:space="0" w:color="65C5B4" w:themeColor="accent1"/>
            </w:tcBorders>
            <w:shd w:val="clear" w:color="auto" w:fill="auto"/>
            <w:vAlign w:val="bottom"/>
          </w:tcPr>
          <w:p w14:paraId="2657349E" w14:textId="77777777" w:rsidR="00057839" w:rsidRPr="009D00E3" w:rsidRDefault="00057839" w:rsidP="00F857E7">
            <w:pPr>
              <w:pStyle w:val="NormalWeb"/>
              <w:spacing w:before="20" w:beforeAutospacing="0" w:after="20" w:afterAutospacing="0"/>
              <w:rPr>
                <w:rFonts w:ascii="Calibri Light" w:eastAsia="Calibri Light" w:hAnsi="Calibri Light"/>
                <w:b/>
                <w:bCs/>
                <w:color w:val="495965" w:themeColor="text2"/>
                <w:kern w:val="24"/>
                <w:sz w:val="20"/>
                <w:szCs w:val="20"/>
              </w:rPr>
            </w:pPr>
            <w:r>
              <w:rPr>
                <w:rFonts w:ascii="Calibri" w:hAnsi="Calibri" w:cs="Calibri"/>
                <w:b/>
                <w:bCs/>
                <w:color w:val="000000" w:themeColor="dark1"/>
                <w:kern w:val="24"/>
                <w:sz w:val="20"/>
                <w:szCs w:val="20"/>
              </w:rPr>
              <w:t>Total Australian ODA to Kiribati</w:t>
            </w:r>
          </w:p>
        </w:tc>
        <w:tc>
          <w:tcPr>
            <w:tcW w:w="1551" w:type="dxa"/>
            <w:tcBorders>
              <w:bottom w:val="single" w:sz="2" w:space="0" w:color="65C5B4" w:themeColor="accent1"/>
            </w:tcBorders>
            <w:vAlign w:val="bottom"/>
          </w:tcPr>
          <w:p w14:paraId="7A8A4B9D" w14:textId="77777777" w:rsidR="00057839" w:rsidRPr="009D00E3" w:rsidRDefault="00057839" w:rsidP="00F857E7">
            <w:pPr>
              <w:pStyle w:val="NormalWeb"/>
              <w:spacing w:before="20" w:beforeAutospacing="0" w:after="20" w:afterAutospacing="0"/>
              <w:jc w:val="right"/>
              <w:rPr>
                <w:rFonts w:ascii="Calibri Light" w:eastAsia="Calibri Light" w:hAnsi="Calibri Light"/>
                <w:b/>
                <w:bCs/>
                <w:color w:val="495965" w:themeColor="text2"/>
                <w:kern w:val="24"/>
                <w:sz w:val="20"/>
                <w:szCs w:val="20"/>
              </w:rPr>
            </w:pPr>
            <w:r>
              <w:rPr>
                <w:rFonts w:ascii="Calibri Light" w:eastAsia="Calibri Light" w:hAnsi="Calibri Light"/>
                <w:b/>
                <w:bCs/>
                <w:color w:val="495965" w:themeColor="text2"/>
                <w:kern w:val="24"/>
                <w:sz w:val="20"/>
                <w:szCs w:val="20"/>
              </w:rPr>
              <w:t>27.3</w:t>
            </w:r>
          </w:p>
        </w:tc>
      </w:tr>
    </w:tbl>
    <w:p w14:paraId="5C3C2D64" w14:textId="77777777" w:rsidR="00057839" w:rsidRPr="00913461" w:rsidRDefault="00057839" w:rsidP="00057839">
      <w:pPr>
        <w:spacing w:before="0" w:line="240" w:lineRule="auto"/>
        <w:rPr>
          <w:sz w:val="20"/>
        </w:rPr>
      </w:pPr>
      <w:r w:rsidRPr="00913461">
        <w:rPr>
          <w:rFonts w:ascii="Calibri Light" w:eastAsia="Calibri Light" w:hAnsi="Calibri Light"/>
          <w:bCs/>
          <w:kern w:val="24"/>
          <w:sz w:val="16"/>
          <w:szCs w:val="20"/>
        </w:rPr>
        <w:t>*Actual expenditure is expected to be available in December 2020</w:t>
      </w:r>
    </w:p>
    <w:p w14:paraId="2967F9CC" w14:textId="0C4B3779" w:rsidR="00452298" w:rsidRDefault="00057839" w:rsidP="00494F98">
      <w:pPr>
        <w:spacing w:before="0" w:after="0"/>
      </w:pPr>
      <w:r>
        <w:rPr>
          <w:noProof/>
          <w:lang w:val="en-AU" w:eastAsia="en-AU"/>
        </w:rPr>
        <w:drawing>
          <wp:inline distT="0" distB="0" distL="0" distR="0" wp14:anchorId="3C9BD2FB" wp14:editId="4322F74B">
            <wp:extent cx="3309620" cy="2059368"/>
            <wp:effectExtent l="0" t="0" r="5080" b="0"/>
            <wp:docPr id="1" name="Picture 1" descr="Infrastructure and trade – 1%&#10;Agriculture, fisheries and water – 5%&#10;Governance – 30%&#10;Education – 47%&#10;Health – 10%&#10;Building resilience – 4%&#10;General development support – 3%&#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2691" cy="2061279"/>
                    </a:xfrm>
                    <a:prstGeom prst="rect">
                      <a:avLst/>
                    </a:prstGeom>
                    <a:noFill/>
                  </pic:spPr>
                </pic:pic>
              </a:graphicData>
            </a:graphic>
          </wp:inline>
        </w:drawing>
      </w:r>
    </w:p>
    <w:p w14:paraId="7099728F" w14:textId="4C322329" w:rsidR="00057839" w:rsidRDefault="00057839" w:rsidP="00494F98">
      <w:pPr>
        <w:spacing w:before="0" w:after="0"/>
      </w:pPr>
    </w:p>
    <w:p w14:paraId="3A7BC0F9" w14:textId="77777777" w:rsidR="00057839" w:rsidRPr="00452298" w:rsidRDefault="00057839" w:rsidP="00494F98">
      <w:pPr>
        <w:spacing w:before="0" w:after="0"/>
        <w:sectPr w:rsidR="00057839" w:rsidRPr="00452298" w:rsidSect="00057839">
          <w:type w:val="continuous"/>
          <w:pgSz w:w="11906" w:h="16838" w:code="9"/>
          <w:pgMar w:top="1701" w:right="140" w:bottom="1418" w:left="709" w:header="142" w:footer="493" w:gutter="0"/>
          <w:cols w:num="2" w:space="397"/>
          <w:titlePg/>
          <w:docGrid w:linePitch="360"/>
        </w:sectPr>
      </w:pPr>
    </w:p>
    <w:p w14:paraId="0D73138B" w14:textId="77777777" w:rsidR="00D762BD" w:rsidRDefault="00D762BD" w:rsidP="00D762BD">
      <w:pPr>
        <w:rPr>
          <w:b/>
        </w:rPr>
      </w:pPr>
      <w:r>
        <w:rPr>
          <w:b/>
          <w:sz w:val="24"/>
        </w:rPr>
        <w:t>COVID-19 development response</w:t>
      </w:r>
    </w:p>
    <w:p w14:paraId="12C16E60" w14:textId="77777777" w:rsidR="00D762BD" w:rsidRPr="0071116F" w:rsidRDefault="00D762BD" w:rsidP="00D762BD">
      <w:pPr>
        <w:pStyle w:val="ListParagraph"/>
        <w:numPr>
          <w:ilvl w:val="0"/>
          <w:numId w:val="41"/>
        </w:numPr>
        <w:rPr>
          <w:lang w:val="en-AU"/>
        </w:rPr>
      </w:pPr>
      <w:r w:rsidRPr="0071116F">
        <w:t>Australia provided $4.7 million to support Kiribati’s COVID-19 response</w:t>
      </w:r>
      <w:r w:rsidRPr="0071116F">
        <w:rPr>
          <w:lang w:val="en-AU"/>
        </w:rPr>
        <w:t xml:space="preserve">. Australia’s package included $3.6 million in </w:t>
      </w:r>
      <w:r w:rsidRPr="0071116F">
        <w:rPr>
          <w:rFonts w:cstheme="minorHAnsi"/>
        </w:rPr>
        <w:t>budget support, health assistance and grants to Kiribati civil society organisations [via their Australian partners].</w:t>
      </w:r>
    </w:p>
    <w:p w14:paraId="21B4192A" w14:textId="79463445" w:rsidR="00D762BD" w:rsidRPr="0071116F" w:rsidRDefault="00D762BD" w:rsidP="00D762BD">
      <w:pPr>
        <w:pStyle w:val="ListParagraph"/>
        <w:numPr>
          <w:ilvl w:val="0"/>
          <w:numId w:val="41"/>
        </w:numPr>
        <w:rPr>
          <w:lang w:val="en-AU"/>
        </w:rPr>
      </w:pPr>
      <w:r w:rsidRPr="0071116F">
        <w:rPr>
          <w:lang w:val="en-AU"/>
        </w:rPr>
        <w:t xml:space="preserve">Our in-country infection prevention and control adviser </w:t>
      </w:r>
      <w:r w:rsidR="00185A8B">
        <w:rPr>
          <w:lang w:val="en-AU"/>
        </w:rPr>
        <w:t>worked with</w:t>
      </w:r>
      <w:r w:rsidRPr="0071116F">
        <w:rPr>
          <w:lang w:val="en-AU"/>
        </w:rPr>
        <w:t xml:space="preserve"> the Ministry of Health and Medical Services (MHMS) </w:t>
      </w:r>
      <w:r w:rsidR="00185A8B">
        <w:rPr>
          <w:lang w:val="en-AU"/>
        </w:rPr>
        <w:t>on</w:t>
      </w:r>
      <w:r w:rsidRPr="0071116F">
        <w:rPr>
          <w:lang w:val="en-AU"/>
        </w:rPr>
        <w:t xml:space="preserve"> its COVID-19 preparedness measures.</w:t>
      </w:r>
    </w:p>
    <w:p w14:paraId="15363441" w14:textId="77777777" w:rsidR="00D762BD" w:rsidRPr="0071116F" w:rsidRDefault="00D762BD" w:rsidP="00D762BD">
      <w:pPr>
        <w:pStyle w:val="ListParagraph"/>
        <w:numPr>
          <w:ilvl w:val="0"/>
          <w:numId w:val="41"/>
        </w:numPr>
        <w:rPr>
          <w:lang w:val="en-AU"/>
        </w:rPr>
      </w:pPr>
      <w:r w:rsidRPr="0071116F">
        <w:rPr>
          <w:lang w:val="en-AU"/>
        </w:rPr>
        <w:t>Australia’s education investment supported Kiribati’s Ministry of Education (</w:t>
      </w:r>
      <w:proofErr w:type="spellStart"/>
      <w:r w:rsidRPr="0071116F">
        <w:rPr>
          <w:lang w:val="en-AU"/>
        </w:rPr>
        <w:t>MoE</w:t>
      </w:r>
      <w:proofErr w:type="spellEnd"/>
      <w:r w:rsidRPr="0071116F">
        <w:rPr>
          <w:lang w:val="en-AU"/>
        </w:rPr>
        <w:t>) to develop a remote learning package to support COVID-19 contingency planning.</w:t>
      </w:r>
    </w:p>
    <w:p w14:paraId="5B7F6CD7" w14:textId="77777777" w:rsidR="00D762BD" w:rsidRPr="0071116F" w:rsidRDefault="00D762BD" w:rsidP="00D762BD">
      <w:pPr>
        <w:pStyle w:val="ListParagraph"/>
        <w:numPr>
          <w:ilvl w:val="0"/>
          <w:numId w:val="41"/>
        </w:numPr>
        <w:rPr>
          <w:lang w:val="en-AU"/>
        </w:rPr>
      </w:pPr>
      <w:r w:rsidRPr="0071116F">
        <w:rPr>
          <w:lang w:val="en-AU"/>
        </w:rPr>
        <w:t>We supported the Kiribati Women and Children Support Centre to establish an ‘Orange Door’ service, after the country’s only safe house closed during COVID-19 lockdown.</w:t>
      </w:r>
    </w:p>
    <w:p w14:paraId="427F5C08" w14:textId="77777777" w:rsidR="00D762BD" w:rsidRPr="008328AA" w:rsidRDefault="00D762BD" w:rsidP="00D762BD">
      <w:pPr>
        <w:rPr>
          <w:b/>
          <w:bCs/>
        </w:rPr>
      </w:pPr>
      <w:r w:rsidRPr="008328AA">
        <w:rPr>
          <w:b/>
          <w:bCs/>
        </w:rPr>
        <w:t>Other program highlights</w:t>
      </w:r>
    </w:p>
    <w:p w14:paraId="2AFA7646" w14:textId="77777777" w:rsidR="00D762BD" w:rsidRPr="0071116F" w:rsidRDefault="00D762BD" w:rsidP="00D762BD">
      <w:pPr>
        <w:pStyle w:val="ListParagraph"/>
        <w:numPr>
          <w:ilvl w:val="0"/>
          <w:numId w:val="41"/>
        </w:numPr>
        <w:rPr>
          <w:lang w:val="en-AU"/>
        </w:rPr>
      </w:pPr>
      <w:r w:rsidRPr="0071116F">
        <w:rPr>
          <w:lang w:val="en-AU"/>
        </w:rPr>
        <w:t xml:space="preserve">Kiribati, with the support of Australia’s education investments, updated its education curriculum for Years 1 – 9. Australia also supported construction of 76 new primary school classrooms, and new classrooms and lecture theatres at the Kiribati Teachers College (KTC). </w:t>
      </w:r>
    </w:p>
    <w:p w14:paraId="65982D53" w14:textId="77777777" w:rsidR="00D762BD" w:rsidRPr="0071116F" w:rsidRDefault="00D762BD" w:rsidP="00D762BD">
      <w:pPr>
        <w:pStyle w:val="ListParagraph"/>
        <w:numPr>
          <w:ilvl w:val="0"/>
          <w:numId w:val="41"/>
        </w:numPr>
        <w:rPr>
          <w:lang w:val="en-AU"/>
        </w:rPr>
      </w:pPr>
      <w:r w:rsidRPr="0071116F">
        <w:t xml:space="preserve">Enrolments at the Kiribati School and Centre for Children with Special Needs, which Australia supports, increased from 235 in 2019 to 316 in 2020. We supported </w:t>
      </w:r>
      <w:r w:rsidRPr="0071116F">
        <w:t>55 students with disabilities to transition into mainstream schools.</w:t>
      </w:r>
    </w:p>
    <w:p w14:paraId="1A0FB773" w14:textId="75BB853E" w:rsidR="00D762BD" w:rsidRPr="0071116F" w:rsidRDefault="00D762BD" w:rsidP="00D762BD">
      <w:pPr>
        <w:pStyle w:val="ListParagraph"/>
        <w:numPr>
          <w:ilvl w:val="0"/>
          <w:numId w:val="41"/>
        </w:numPr>
        <w:rPr>
          <w:lang w:val="en-AU"/>
        </w:rPr>
      </w:pPr>
      <w:r w:rsidRPr="0071116F">
        <w:rPr>
          <w:lang w:val="en-AU"/>
        </w:rPr>
        <w:t>Enrolment in Kiribati Institute of Technology (KIT) courses increased by 23 per cent in the first six months of 2020 compared to the same period in 2019, and short course enrolments increased by 15 per cent. Australia provides substantial financial and technical support to KIT.</w:t>
      </w:r>
    </w:p>
    <w:p w14:paraId="67FD78A3" w14:textId="77777777" w:rsidR="00D762BD" w:rsidRPr="0071116F" w:rsidRDefault="00D762BD" w:rsidP="00D762BD">
      <w:pPr>
        <w:pStyle w:val="ListParagraph"/>
        <w:numPr>
          <w:ilvl w:val="0"/>
          <w:numId w:val="41"/>
        </w:numPr>
        <w:rPr>
          <w:lang w:val="en-AU"/>
        </w:rPr>
      </w:pPr>
      <w:r w:rsidRPr="0071116F">
        <w:rPr>
          <w:lang w:val="en-AU"/>
        </w:rPr>
        <w:t>MHMS, with Australian technical and financial support, increased the overall cure rates for leprosy from 80 to 84.9 per cent; completed a measles-rubella immunisation activity with 96.2 per cent coverage in the target 1-14 year age group; and registered 765 patients in a new Hepatitis B Program.</w:t>
      </w:r>
    </w:p>
    <w:p w14:paraId="0209F875" w14:textId="77777777" w:rsidR="00D762BD" w:rsidRPr="0071116F" w:rsidRDefault="00D762BD" w:rsidP="00D762BD">
      <w:pPr>
        <w:pStyle w:val="ListParagraph"/>
        <w:numPr>
          <w:ilvl w:val="0"/>
          <w:numId w:val="41"/>
        </w:numPr>
        <w:rPr>
          <w:lang w:val="en-AU"/>
        </w:rPr>
      </w:pPr>
      <w:r w:rsidRPr="0071116F">
        <w:rPr>
          <w:rFonts w:cstheme="minorHAnsi"/>
          <w:color w:val="36424B" w:themeColor="text2" w:themeShade="BF"/>
        </w:rPr>
        <w:t xml:space="preserve">Kiribati finalised procedures and training manuals for Police and </w:t>
      </w:r>
      <w:proofErr w:type="spellStart"/>
      <w:r w:rsidRPr="0071116F">
        <w:rPr>
          <w:rFonts w:cstheme="minorHAnsi"/>
          <w:color w:val="36424B" w:themeColor="text2" w:themeShade="BF"/>
        </w:rPr>
        <w:t>Safenet</w:t>
      </w:r>
      <w:proofErr w:type="spellEnd"/>
      <w:r w:rsidRPr="0071116F">
        <w:rPr>
          <w:rFonts w:cstheme="minorHAnsi"/>
          <w:color w:val="36424B" w:themeColor="text2" w:themeShade="BF"/>
        </w:rPr>
        <w:t xml:space="preserve"> partners, and developed a new counselling framework to respond to gender based violence, with our support.</w:t>
      </w:r>
    </w:p>
    <w:p w14:paraId="229C065D" w14:textId="538D61EA" w:rsidR="00977676" w:rsidRPr="0071116F" w:rsidRDefault="00D762BD" w:rsidP="00D762BD">
      <w:pPr>
        <w:pStyle w:val="ListParagraph"/>
        <w:numPr>
          <w:ilvl w:val="0"/>
          <w:numId w:val="41"/>
        </w:numPr>
        <w:suppressAutoHyphens w:val="0"/>
        <w:spacing w:before="0" w:after="0" w:line="254" w:lineRule="auto"/>
        <w:sectPr w:rsidR="00977676" w:rsidRPr="0071116F" w:rsidSect="00C32299">
          <w:headerReference w:type="default" r:id="rId18"/>
          <w:footerReference w:type="default" r:id="rId19"/>
          <w:headerReference w:type="first" r:id="rId20"/>
          <w:footerReference w:type="first" r:id="rId21"/>
          <w:type w:val="continuous"/>
          <w:pgSz w:w="11906" w:h="16838" w:code="9"/>
          <w:pgMar w:top="1701" w:right="1134" w:bottom="1418" w:left="1134" w:header="425" w:footer="493" w:gutter="0"/>
          <w:cols w:num="2" w:space="397"/>
          <w:titlePg/>
          <w:docGrid w:linePitch="360"/>
        </w:sectPr>
      </w:pPr>
      <w:r w:rsidRPr="0071116F">
        <w:rPr>
          <w:rFonts w:cstheme="minorHAnsi"/>
        </w:rPr>
        <w:t>The Government of Kiribati (</w:t>
      </w:r>
      <w:proofErr w:type="spellStart"/>
      <w:r w:rsidRPr="0071116F">
        <w:rPr>
          <w:rFonts w:cstheme="minorHAnsi"/>
        </w:rPr>
        <w:t>GoK</w:t>
      </w:r>
      <w:proofErr w:type="spellEnd"/>
      <w:r w:rsidRPr="0071116F">
        <w:rPr>
          <w:rFonts w:cstheme="minorHAnsi"/>
        </w:rPr>
        <w:t xml:space="preserve">) achieved key economic reforms, including the development of an infrastructure asset management framework, through the joint Economic Reform Taskforce (ERT), in which Australia participates. </w:t>
      </w:r>
      <w:r w:rsidRPr="0071116F">
        <w:t xml:space="preserve">The </w:t>
      </w:r>
      <w:proofErr w:type="spellStart"/>
      <w:r w:rsidRPr="0071116F">
        <w:t>GoK</w:t>
      </w:r>
      <w:proofErr w:type="spellEnd"/>
      <w:r w:rsidRPr="0071116F">
        <w:t xml:space="preserve"> delivers economic reform and budget strategy, engineering services and climate finance outcomes with the assistance of Australian funded targeted technical advice.</w:t>
      </w:r>
    </w:p>
    <w:p w14:paraId="56ACEABC" w14:textId="17D3C546" w:rsidR="004C5598" w:rsidRDefault="00D00153" w:rsidP="006D0056">
      <w:pPr>
        <w:pStyle w:val="Heading2"/>
        <w:spacing w:before="0" w:line="300" w:lineRule="exact"/>
        <w:contextualSpacing w:val="0"/>
        <w:rPr>
          <w:sz w:val="24"/>
          <w:szCs w:val="24"/>
        </w:rPr>
      </w:pPr>
      <w:r>
        <w:lastRenderedPageBreak/>
        <w:t>P</w:t>
      </w:r>
      <w:r w:rsidR="004C5598">
        <w:t xml:space="preserve">rogress against 2019-20 performance </w:t>
      </w:r>
      <w:r w:rsidR="007175DD">
        <w:t xml:space="preserve">INDICATORS </w:t>
      </w:r>
      <w:r w:rsidR="00C32299">
        <w:br/>
      </w:r>
    </w:p>
    <w:tbl>
      <w:tblPr>
        <w:tblStyle w:val="TableGrid"/>
        <w:tblW w:w="10201" w:type="dxa"/>
        <w:tblLook w:val="04A0" w:firstRow="1" w:lastRow="0" w:firstColumn="1" w:lastColumn="0" w:noHBand="0" w:noVBand="1"/>
        <w:tblCaption w:val="Performance Assessment Framework"/>
        <w:tblDescription w:val="This program has two strategic objectives and four performance benchmark, indicators that are used to measure progress. Gender is a cross-cutting objective across all development assistance."/>
      </w:tblPr>
      <w:tblGrid>
        <w:gridCol w:w="1354"/>
        <w:gridCol w:w="1760"/>
        <w:gridCol w:w="7087"/>
      </w:tblGrid>
      <w:tr w:rsidR="00D762BD" w:rsidRPr="00274483" w14:paraId="4CAC2D70" w14:textId="77777777" w:rsidTr="00DA270D">
        <w:trPr>
          <w:tblHeader/>
        </w:trPr>
        <w:tc>
          <w:tcPr>
            <w:tcW w:w="1354" w:type="dxa"/>
            <w:shd w:val="clear" w:color="auto" w:fill="C1E7E0" w:themeFill="accent1" w:themeFillTint="66"/>
          </w:tcPr>
          <w:p w14:paraId="6862E6B3" w14:textId="77777777" w:rsidR="00D762BD" w:rsidRPr="00274483" w:rsidRDefault="00D762BD" w:rsidP="00366400">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 xml:space="preserve">title of strategic </w:t>
            </w:r>
            <w:r w:rsidRPr="00274483">
              <w:rPr>
                <w:rFonts w:asciiTheme="majorHAnsi" w:eastAsiaTheme="majorEastAsia" w:hAnsiTheme="majorHAnsi" w:cstheme="majorHAnsi"/>
                <w:b/>
                <w:caps/>
                <w:sz w:val="20"/>
                <w:szCs w:val="20"/>
              </w:rPr>
              <w:t>OBJECTIVE</w:t>
            </w:r>
          </w:p>
        </w:tc>
        <w:tc>
          <w:tcPr>
            <w:tcW w:w="1760" w:type="dxa"/>
            <w:shd w:val="clear" w:color="auto" w:fill="C1E7E0" w:themeFill="accent1" w:themeFillTint="66"/>
          </w:tcPr>
          <w:p w14:paraId="35394F3F" w14:textId="77777777" w:rsidR="00D762BD" w:rsidRDefault="00D762BD" w:rsidP="00366400">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Performance assessment framework indicator</w:t>
            </w:r>
          </w:p>
        </w:tc>
        <w:tc>
          <w:tcPr>
            <w:tcW w:w="7087" w:type="dxa"/>
            <w:shd w:val="clear" w:color="auto" w:fill="C1E7E0" w:themeFill="accent1" w:themeFillTint="66"/>
          </w:tcPr>
          <w:p w14:paraId="72A20524" w14:textId="77777777" w:rsidR="00D762BD" w:rsidRPr="00274483" w:rsidRDefault="00D762BD" w:rsidP="00366400">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Brief summary of progress against indicator/benchmark</w:t>
            </w:r>
          </w:p>
        </w:tc>
      </w:tr>
      <w:tr w:rsidR="00D762BD" w:rsidRPr="00274483" w14:paraId="25151612" w14:textId="77777777" w:rsidTr="00DA270D">
        <w:trPr>
          <w:tblHeader/>
        </w:trPr>
        <w:tc>
          <w:tcPr>
            <w:tcW w:w="1354" w:type="dxa"/>
          </w:tcPr>
          <w:p w14:paraId="45432F8A" w14:textId="77777777" w:rsidR="00B5581D" w:rsidRDefault="00D762BD" w:rsidP="00366400">
            <w:pPr>
              <w:pStyle w:val="BodyText"/>
              <w:spacing w:before="40" w:after="40" w:line="240" w:lineRule="auto"/>
              <w:rPr>
                <w:rFonts w:eastAsiaTheme="majorEastAsia" w:cstheme="minorHAnsi"/>
                <w:sz w:val="20"/>
                <w:szCs w:val="20"/>
              </w:rPr>
            </w:pPr>
            <w:r w:rsidRPr="00FA64A9">
              <w:rPr>
                <w:rFonts w:eastAsiaTheme="majorEastAsia" w:cstheme="minorHAnsi"/>
                <w:sz w:val="20"/>
                <w:szCs w:val="20"/>
              </w:rPr>
              <w:t>Objective 1</w:t>
            </w:r>
            <w:r w:rsidR="00B5581D">
              <w:rPr>
                <w:rFonts w:eastAsiaTheme="majorEastAsia" w:cstheme="minorHAnsi"/>
                <w:sz w:val="20"/>
                <w:szCs w:val="20"/>
              </w:rPr>
              <w:t>.</w:t>
            </w:r>
          </w:p>
          <w:p w14:paraId="0458092B" w14:textId="09433DBE" w:rsidR="00D762BD" w:rsidRPr="00FA64A9" w:rsidRDefault="00D762BD" w:rsidP="00366400">
            <w:pPr>
              <w:pStyle w:val="BodyText"/>
              <w:spacing w:before="40" w:after="40" w:line="240" w:lineRule="auto"/>
              <w:rPr>
                <w:rFonts w:eastAsiaTheme="majorEastAsia" w:cstheme="minorHAnsi"/>
                <w:caps/>
                <w:sz w:val="20"/>
                <w:szCs w:val="20"/>
              </w:rPr>
            </w:pPr>
            <w:r w:rsidRPr="00FA64A9">
              <w:rPr>
                <w:rFonts w:eastAsiaTheme="majorEastAsia" w:cstheme="minorHAnsi"/>
                <w:sz w:val="20"/>
                <w:szCs w:val="20"/>
              </w:rPr>
              <w:t>Implementing economic reforms</w:t>
            </w:r>
          </w:p>
        </w:tc>
        <w:tc>
          <w:tcPr>
            <w:tcW w:w="1760" w:type="dxa"/>
          </w:tcPr>
          <w:p w14:paraId="4064642E" w14:textId="1CC916A0" w:rsidR="00D762BD" w:rsidRPr="00FA64A9" w:rsidRDefault="00B5581D" w:rsidP="00366400">
            <w:pPr>
              <w:pStyle w:val="BodyText"/>
              <w:spacing w:before="40" w:after="40" w:line="240" w:lineRule="auto"/>
              <w:rPr>
                <w:rFonts w:eastAsiaTheme="majorEastAsia" w:cstheme="minorHAnsi"/>
                <w:caps/>
                <w:sz w:val="20"/>
                <w:szCs w:val="20"/>
              </w:rPr>
            </w:pPr>
            <w:r w:rsidRPr="00057839">
              <w:rPr>
                <w:rFonts w:asciiTheme="majorHAnsi" w:eastAsiaTheme="majorEastAsia" w:hAnsiTheme="majorHAnsi" w:cstheme="majorHAnsi"/>
                <w:sz w:val="20"/>
                <w:szCs w:val="20"/>
              </w:rPr>
              <w:t>1.1</w:t>
            </w:r>
            <w:r>
              <w:rPr>
                <w:rFonts w:eastAsiaTheme="majorEastAsia" w:cstheme="minorHAnsi"/>
                <w:sz w:val="20"/>
                <w:szCs w:val="20"/>
              </w:rPr>
              <w:t xml:space="preserve"> </w:t>
            </w:r>
            <w:r w:rsidR="00D762BD" w:rsidRPr="00FA64A9">
              <w:rPr>
                <w:rFonts w:eastAsiaTheme="majorEastAsia" w:cstheme="minorHAnsi"/>
                <w:sz w:val="20"/>
                <w:szCs w:val="20"/>
              </w:rPr>
              <w:t>Achievement of all priority actions under the Joint Policy Matrix triggers the release of donor funding</w:t>
            </w:r>
          </w:p>
        </w:tc>
        <w:tc>
          <w:tcPr>
            <w:tcW w:w="7087" w:type="dxa"/>
          </w:tcPr>
          <w:p w14:paraId="6663FCF8" w14:textId="6A2C69DB" w:rsidR="00D762BD" w:rsidRPr="00FA64A9" w:rsidRDefault="00B5581D" w:rsidP="00366400">
            <w:pPr>
              <w:spacing w:before="0"/>
              <w:rPr>
                <w:rFonts w:eastAsiaTheme="majorEastAsia" w:cstheme="minorHAnsi"/>
                <w:sz w:val="20"/>
                <w:szCs w:val="20"/>
              </w:rPr>
            </w:pPr>
            <w:r>
              <w:rPr>
                <w:rFonts w:eastAsiaTheme="majorEastAsia" w:cstheme="minorHAnsi"/>
                <w:sz w:val="20"/>
                <w:szCs w:val="20"/>
              </w:rPr>
              <w:t xml:space="preserve">~ </w:t>
            </w:r>
            <w:r w:rsidR="00D762BD" w:rsidRPr="00FA64A9">
              <w:rPr>
                <w:rFonts w:eastAsiaTheme="majorEastAsia" w:cstheme="minorHAnsi"/>
                <w:sz w:val="20"/>
                <w:szCs w:val="20"/>
              </w:rPr>
              <w:t>One of the six priority actions on the Joint Policy Matrix was completed in 2019-20, with the remaining five actions progressed to near completion. The delay was caused by difficulties mobilising international technical advisers due to COVID-19 travel restrictions [the technical advisers were required to finalise the prior actions].</w:t>
            </w:r>
          </w:p>
          <w:p w14:paraId="24ECA224" w14:textId="3F25358F" w:rsidR="00D762BD" w:rsidRPr="00FA64A9" w:rsidRDefault="00B5581D" w:rsidP="00366400">
            <w:pPr>
              <w:spacing w:before="0"/>
              <w:rPr>
                <w:rFonts w:eastAsiaTheme="majorEastAsia" w:cstheme="minorHAnsi"/>
                <w:sz w:val="20"/>
                <w:szCs w:val="20"/>
              </w:rPr>
            </w:pPr>
            <w:r>
              <w:rPr>
                <w:rFonts w:eastAsiaTheme="majorEastAsia" w:cstheme="minorHAnsi"/>
                <w:sz w:val="20"/>
                <w:szCs w:val="20"/>
              </w:rPr>
              <w:t xml:space="preserve">~ </w:t>
            </w:r>
            <w:r w:rsidR="00D762BD" w:rsidRPr="00FA64A9">
              <w:rPr>
                <w:rFonts w:eastAsiaTheme="majorEastAsia" w:cstheme="minorHAnsi"/>
                <w:sz w:val="20"/>
                <w:szCs w:val="20"/>
              </w:rPr>
              <w:t>Australia agreed to release its budget support payment, despite Kiribati not completing all six priority actions. This decision was made in recognition of the strong progress made, the unexpected difficulty in finalising the outstanding actions, and Kiribati’s urgent need for financial support as it implemented its COVID</w:t>
            </w:r>
            <w:r w:rsidR="00D762BD" w:rsidRPr="00FA64A9">
              <w:rPr>
                <w:rFonts w:eastAsiaTheme="majorEastAsia" w:cstheme="minorHAnsi"/>
                <w:sz w:val="20"/>
                <w:szCs w:val="20"/>
              </w:rPr>
              <w:noBreakHyphen/>
              <w:t>19 response.</w:t>
            </w:r>
          </w:p>
        </w:tc>
      </w:tr>
      <w:tr w:rsidR="00D762BD" w:rsidRPr="00274483" w14:paraId="5B882999" w14:textId="77777777" w:rsidTr="00DA270D">
        <w:trPr>
          <w:tblHeader/>
        </w:trPr>
        <w:tc>
          <w:tcPr>
            <w:tcW w:w="1354" w:type="dxa"/>
          </w:tcPr>
          <w:p w14:paraId="4576D2F9" w14:textId="77777777" w:rsidR="00B5581D" w:rsidRDefault="00D762BD" w:rsidP="00366400">
            <w:pPr>
              <w:pStyle w:val="BodyText"/>
              <w:spacing w:before="40" w:after="40" w:line="240" w:lineRule="auto"/>
              <w:rPr>
                <w:rFonts w:eastAsiaTheme="majorEastAsia" w:cstheme="minorHAnsi"/>
                <w:sz w:val="20"/>
                <w:szCs w:val="20"/>
              </w:rPr>
            </w:pPr>
            <w:r w:rsidRPr="00FA64A9">
              <w:rPr>
                <w:rFonts w:eastAsiaTheme="majorEastAsia" w:cstheme="minorHAnsi"/>
                <w:sz w:val="20"/>
                <w:szCs w:val="20"/>
              </w:rPr>
              <w:t>Objective 2</w:t>
            </w:r>
            <w:r w:rsidR="00B5581D">
              <w:rPr>
                <w:rFonts w:eastAsiaTheme="majorEastAsia" w:cstheme="minorHAnsi"/>
                <w:sz w:val="20"/>
                <w:szCs w:val="20"/>
              </w:rPr>
              <w:t>.</w:t>
            </w:r>
          </w:p>
          <w:p w14:paraId="34FC85F5" w14:textId="31BF3E6B" w:rsidR="00D762BD" w:rsidRPr="00FA64A9" w:rsidRDefault="00D762BD" w:rsidP="00366400">
            <w:pPr>
              <w:pStyle w:val="BodyText"/>
              <w:spacing w:before="40" w:after="40" w:line="240" w:lineRule="auto"/>
              <w:rPr>
                <w:rFonts w:eastAsiaTheme="majorEastAsia" w:cstheme="minorHAnsi"/>
                <w:caps/>
                <w:sz w:val="20"/>
                <w:szCs w:val="20"/>
              </w:rPr>
            </w:pPr>
            <w:r w:rsidRPr="00FA64A9">
              <w:rPr>
                <w:rFonts w:eastAsiaTheme="majorEastAsia" w:cstheme="minorHAnsi"/>
                <w:sz w:val="20"/>
                <w:szCs w:val="20"/>
              </w:rPr>
              <w:t>Strengthened provision of education services</w:t>
            </w:r>
          </w:p>
        </w:tc>
        <w:tc>
          <w:tcPr>
            <w:tcW w:w="1760" w:type="dxa"/>
          </w:tcPr>
          <w:p w14:paraId="3540DA5C" w14:textId="77777777" w:rsidR="00D762BD" w:rsidRDefault="00B5581D" w:rsidP="00366400">
            <w:pPr>
              <w:pStyle w:val="BodyText"/>
              <w:spacing w:before="40" w:after="40" w:line="240" w:lineRule="auto"/>
              <w:rPr>
                <w:rFonts w:eastAsiaTheme="majorEastAsia" w:cstheme="minorHAnsi"/>
                <w:sz w:val="20"/>
                <w:szCs w:val="20"/>
              </w:rPr>
            </w:pPr>
            <w:r w:rsidRPr="00057839">
              <w:rPr>
                <w:rFonts w:asciiTheme="majorHAnsi" w:eastAsiaTheme="majorEastAsia" w:hAnsiTheme="majorHAnsi" w:cstheme="majorHAnsi"/>
                <w:sz w:val="20"/>
                <w:szCs w:val="20"/>
              </w:rPr>
              <w:t>2.1</w:t>
            </w:r>
            <w:r>
              <w:rPr>
                <w:rFonts w:eastAsiaTheme="majorEastAsia" w:cstheme="minorHAnsi"/>
                <w:sz w:val="20"/>
                <w:szCs w:val="20"/>
              </w:rPr>
              <w:t xml:space="preserve"> </w:t>
            </w:r>
            <w:r w:rsidR="00D762BD" w:rsidRPr="00FA64A9">
              <w:rPr>
                <w:rFonts w:eastAsiaTheme="majorEastAsia" w:cstheme="minorHAnsi"/>
                <w:sz w:val="20"/>
                <w:szCs w:val="20"/>
              </w:rPr>
              <w:t>Improve standards in basic education</w:t>
            </w:r>
            <w:r>
              <w:rPr>
                <w:rFonts w:eastAsiaTheme="majorEastAsia" w:cstheme="minorHAnsi"/>
                <w:sz w:val="20"/>
                <w:szCs w:val="20"/>
              </w:rPr>
              <w:t>.</w:t>
            </w:r>
          </w:p>
          <w:p w14:paraId="6D48DFD5" w14:textId="77777777" w:rsidR="00B5581D" w:rsidRDefault="00B5581D" w:rsidP="00366400">
            <w:pPr>
              <w:pStyle w:val="BodyText"/>
              <w:spacing w:before="40" w:after="40" w:line="240" w:lineRule="auto"/>
              <w:rPr>
                <w:rFonts w:eastAsiaTheme="majorEastAsia" w:cstheme="minorHAnsi"/>
                <w:sz w:val="20"/>
                <w:szCs w:val="20"/>
              </w:rPr>
            </w:pPr>
          </w:p>
          <w:p w14:paraId="002F5D0A" w14:textId="2DCB5A03" w:rsidR="00B5581D" w:rsidRDefault="00B5581D" w:rsidP="00366400">
            <w:pPr>
              <w:pStyle w:val="BodyText"/>
              <w:spacing w:before="40" w:after="40" w:line="240" w:lineRule="auto"/>
              <w:rPr>
                <w:rFonts w:eastAsiaTheme="majorEastAsia" w:cstheme="minorHAnsi"/>
                <w:sz w:val="20"/>
                <w:szCs w:val="20"/>
              </w:rPr>
            </w:pPr>
            <w:r w:rsidRPr="00057839">
              <w:rPr>
                <w:rFonts w:asciiTheme="majorHAnsi" w:eastAsiaTheme="majorEastAsia" w:hAnsiTheme="majorHAnsi" w:cstheme="majorHAnsi"/>
                <w:sz w:val="20"/>
                <w:szCs w:val="20"/>
              </w:rPr>
              <w:t>2.2</w:t>
            </w:r>
            <w:r>
              <w:rPr>
                <w:rFonts w:eastAsiaTheme="majorEastAsia" w:cstheme="minorHAnsi"/>
                <w:sz w:val="20"/>
                <w:szCs w:val="20"/>
              </w:rPr>
              <w:t xml:space="preserve"> </w:t>
            </w:r>
            <w:r w:rsidRPr="00FA64A9">
              <w:rPr>
                <w:rFonts w:eastAsiaTheme="majorEastAsia" w:cstheme="minorHAnsi"/>
                <w:sz w:val="20"/>
                <w:szCs w:val="20"/>
              </w:rPr>
              <w:t>Provision of quality skills training aligned with labour market demand</w:t>
            </w:r>
            <w:r>
              <w:rPr>
                <w:rFonts w:eastAsiaTheme="majorEastAsia" w:cstheme="minorHAnsi"/>
                <w:sz w:val="20"/>
                <w:szCs w:val="20"/>
              </w:rPr>
              <w:t>.</w:t>
            </w:r>
          </w:p>
          <w:p w14:paraId="40BB84A1" w14:textId="77777777" w:rsidR="00B5581D" w:rsidRDefault="00B5581D" w:rsidP="00366400">
            <w:pPr>
              <w:pStyle w:val="BodyText"/>
              <w:spacing w:before="40" w:after="40" w:line="240" w:lineRule="auto"/>
              <w:rPr>
                <w:rFonts w:eastAsiaTheme="majorEastAsia" w:cstheme="minorHAnsi"/>
                <w:sz w:val="20"/>
                <w:szCs w:val="20"/>
              </w:rPr>
            </w:pPr>
          </w:p>
          <w:p w14:paraId="56ABE48A" w14:textId="7E709971" w:rsidR="00B5581D" w:rsidRPr="00FA64A9" w:rsidRDefault="00B5581D" w:rsidP="00366400">
            <w:pPr>
              <w:pStyle w:val="BodyText"/>
              <w:spacing w:before="40" w:after="40" w:line="240" w:lineRule="auto"/>
              <w:rPr>
                <w:rFonts w:eastAsiaTheme="majorEastAsia" w:cstheme="minorHAnsi"/>
                <w:caps/>
                <w:sz w:val="20"/>
                <w:szCs w:val="20"/>
              </w:rPr>
            </w:pPr>
            <w:r w:rsidRPr="00057839">
              <w:rPr>
                <w:rFonts w:asciiTheme="majorHAnsi" w:eastAsiaTheme="majorEastAsia" w:hAnsiTheme="majorHAnsi" w:cstheme="majorHAnsi"/>
                <w:sz w:val="20"/>
                <w:szCs w:val="20"/>
              </w:rPr>
              <w:t>2.3</w:t>
            </w:r>
            <w:r>
              <w:rPr>
                <w:rFonts w:eastAsiaTheme="majorEastAsia" w:cstheme="minorHAnsi"/>
                <w:sz w:val="20"/>
                <w:szCs w:val="20"/>
              </w:rPr>
              <w:t xml:space="preserve"> </w:t>
            </w:r>
            <w:r w:rsidRPr="00FA64A9">
              <w:rPr>
                <w:rFonts w:eastAsiaTheme="majorEastAsia" w:cstheme="minorHAnsi"/>
                <w:sz w:val="20"/>
                <w:szCs w:val="20"/>
              </w:rPr>
              <w:t>Improved health outcomes</w:t>
            </w:r>
          </w:p>
        </w:tc>
        <w:tc>
          <w:tcPr>
            <w:tcW w:w="7087" w:type="dxa"/>
          </w:tcPr>
          <w:p w14:paraId="1B6B687D" w14:textId="08140AFB" w:rsidR="00D762BD" w:rsidRPr="00FA64A9" w:rsidRDefault="00B5581D" w:rsidP="00366400">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D762BD" w:rsidRPr="00FA64A9">
              <w:rPr>
                <w:rFonts w:eastAsiaTheme="majorEastAsia" w:cstheme="minorHAnsi"/>
                <w:sz w:val="20"/>
                <w:szCs w:val="20"/>
              </w:rPr>
              <w:t>2019’s Standardised Tests of Achievement in Kiribati revealed that compared to 2018:</w:t>
            </w:r>
          </w:p>
          <w:p w14:paraId="02943B89" w14:textId="62330E27" w:rsidR="00D762BD" w:rsidRPr="00FA64A9" w:rsidRDefault="00D762BD" w:rsidP="00B5581D">
            <w:pPr>
              <w:pStyle w:val="BodyText"/>
              <w:numPr>
                <w:ilvl w:val="0"/>
                <w:numId w:val="50"/>
              </w:numPr>
              <w:spacing w:before="40" w:after="40" w:line="240" w:lineRule="auto"/>
              <w:rPr>
                <w:rFonts w:eastAsiaTheme="majorEastAsia" w:cstheme="minorHAnsi"/>
                <w:sz w:val="20"/>
                <w:szCs w:val="20"/>
              </w:rPr>
            </w:pPr>
            <w:r w:rsidRPr="00FA64A9">
              <w:rPr>
                <w:rFonts w:eastAsiaTheme="majorEastAsia" w:cstheme="minorHAnsi"/>
                <w:sz w:val="20"/>
                <w:szCs w:val="20"/>
              </w:rPr>
              <w:t xml:space="preserve">The proportion of Year 4 students meeting or exceeding expectations for </w:t>
            </w:r>
            <w:proofErr w:type="spellStart"/>
            <w:r w:rsidRPr="00FA64A9">
              <w:rPr>
                <w:rFonts w:eastAsiaTheme="majorEastAsia" w:cstheme="minorHAnsi"/>
                <w:sz w:val="20"/>
                <w:szCs w:val="20"/>
              </w:rPr>
              <w:t>te</w:t>
            </w:r>
            <w:proofErr w:type="spellEnd"/>
            <w:r w:rsidR="007C3F8D" w:rsidRPr="00FA64A9">
              <w:rPr>
                <w:rFonts w:eastAsiaTheme="majorEastAsia" w:cstheme="minorHAnsi"/>
                <w:sz w:val="20"/>
                <w:szCs w:val="20"/>
              </w:rPr>
              <w:noBreakHyphen/>
            </w:r>
            <w:r w:rsidRPr="00FA64A9">
              <w:rPr>
                <w:rFonts w:eastAsiaTheme="majorEastAsia" w:cstheme="minorHAnsi"/>
                <w:sz w:val="20"/>
                <w:szCs w:val="20"/>
              </w:rPr>
              <w:t>Kiribati increased [from 55.7 per cent to 64.5 per cent], while the proportion of Year 4 students meeting or exceeding expectations for numeracy was stable.</w:t>
            </w:r>
          </w:p>
          <w:p w14:paraId="0BBCAC1F" w14:textId="22AFAA9A" w:rsidR="00D762BD" w:rsidRPr="00FA64A9" w:rsidRDefault="00D762BD" w:rsidP="00B5581D">
            <w:pPr>
              <w:pStyle w:val="BodyText"/>
              <w:numPr>
                <w:ilvl w:val="0"/>
                <w:numId w:val="50"/>
              </w:numPr>
              <w:spacing w:before="40" w:after="40" w:line="240" w:lineRule="auto"/>
              <w:rPr>
                <w:rFonts w:eastAsiaTheme="majorEastAsia" w:cstheme="minorHAnsi"/>
                <w:sz w:val="20"/>
                <w:szCs w:val="20"/>
              </w:rPr>
            </w:pPr>
            <w:r w:rsidRPr="00FA64A9">
              <w:rPr>
                <w:rFonts w:eastAsiaTheme="majorEastAsia" w:cstheme="minorHAnsi"/>
                <w:sz w:val="20"/>
                <w:szCs w:val="20"/>
              </w:rPr>
              <w:t xml:space="preserve">Year 6 improved across </w:t>
            </w:r>
            <w:proofErr w:type="spellStart"/>
            <w:r w:rsidRPr="00FA64A9">
              <w:rPr>
                <w:rFonts w:eastAsiaTheme="majorEastAsia" w:cstheme="minorHAnsi"/>
                <w:sz w:val="20"/>
                <w:szCs w:val="20"/>
              </w:rPr>
              <w:t>te</w:t>
            </w:r>
            <w:proofErr w:type="spellEnd"/>
            <w:r w:rsidRPr="00FA64A9">
              <w:rPr>
                <w:rFonts w:eastAsiaTheme="majorEastAsia" w:cstheme="minorHAnsi"/>
                <w:sz w:val="20"/>
                <w:szCs w:val="20"/>
              </w:rPr>
              <w:t>-Kiribati, numeracy and English [aggregated improvement 55 per cent to 61.9 per cent].</w:t>
            </w:r>
          </w:p>
          <w:p w14:paraId="7F810C3F" w14:textId="77777777" w:rsidR="00D762BD" w:rsidRDefault="00D762BD" w:rsidP="00B5581D">
            <w:pPr>
              <w:pStyle w:val="BodyText"/>
              <w:numPr>
                <w:ilvl w:val="0"/>
                <w:numId w:val="50"/>
              </w:numPr>
              <w:spacing w:before="40" w:after="40" w:line="240" w:lineRule="auto"/>
              <w:rPr>
                <w:rFonts w:eastAsiaTheme="majorEastAsia" w:cstheme="minorHAnsi"/>
                <w:sz w:val="20"/>
                <w:szCs w:val="20"/>
              </w:rPr>
            </w:pPr>
            <w:r w:rsidRPr="00FA64A9">
              <w:rPr>
                <w:rFonts w:eastAsiaTheme="majorEastAsia" w:cstheme="minorHAnsi"/>
                <w:sz w:val="20"/>
                <w:szCs w:val="20"/>
              </w:rPr>
              <w:t xml:space="preserve">The proportion of Year 8 students meeting or exceeding expected standards for English increased [from 25.8 per cent to 26.8 per cent] while performance in </w:t>
            </w:r>
            <w:proofErr w:type="spellStart"/>
            <w:r w:rsidRPr="00FA64A9">
              <w:rPr>
                <w:rFonts w:eastAsiaTheme="majorEastAsia" w:cstheme="minorHAnsi"/>
                <w:sz w:val="20"/>
                <w:szCs w:val="20"/>
              </w:rPr>
              <w:t>te</w:t>
            </w:r>
            <w:proofErr w:type="spellEnd"/>
            <w:r w:rsidR="007C3F8D" w:rsidRPr="00FA64A9">
              <w:rPr>
                <w:rFonts w:eastAsiaTheme="majorEastAsia" w:cstheme="minorHAnsi"/>
                <w:sz w:val="20"/>
                <w:szCs w:val="20"/>
              </w:rPr>
              <w:noBreakHyphen/>
            </w:r>
            <w:r w:rsidRPr="00FA64A9">
              <w:rPr>
                <w:rFonts w:eastAsiaTheme="majorEastAsia" w:cstheme="minorHAnsi"/>
                <w:sz w:val="20"/>
                <w:szCs w:val="20"/>
              </w:rPr>
              <w:t>Kiribati remained stable and performance in numeracy dropped [from 34 per cent to 20.1 per cent]</w:t>
            </w:r>
            <w:r w:rsidR="00B5581D">
              <w:rPr>
                <w:rFonts w:eastAsiaTheme="majorEastAsia" w:cstheme="minorHAnsi"/>
                <w:sz w:val="20"/>
                <w:szCs w:val="20"/>
              </w:rPr>
              <w:t>.</w:t>
            </w:r>
          </w:p>
          <w:p w14:paraId="67EE81A4" w14:textId="77777777" w:rsidR="00B5581D" w:rsidRPr="00FA64A9" w:rsidRDefault="00B5581D" w:rsidP="00B5581D">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FA64A9">
              <w:rPr>
                <w:rFonts w:eastAsiaTheme="majorEastAsia" w:cstheme="minorHAnsi"/>
                <w:sz w:val="20"/>
                <w:szCs w:val="20"/>
              </w:rPr>
              <w:t>All new KIT trainers commenced training to obtain professional qualifications for their industry within 12 months of starting employment.</w:t>
            </w:r>
          </w:p>
          <w:p w14:paraId="43F04EB0" w14:textId="77777777" w:rsidR="00B5581D" w:rsidRPr="00FA64A9" w:rsidRDefault="00B5581D" w:rsidP="00B5581D">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FA64A9">
              <w:rPr>
                <w:rFonts w:eastAsiaTheme="majorEastAsia" w:cstheme="minorHAnsi"/>
                <w:sz w:val="20"/>
                <w:szCs w:val="20"/>
              </w:rPr>
              <w:t>Enrolments of female students in KIT certificate and short courses exceeded the target of 50 per cent of all enrolments in 2020. However, female enrolments in non-traditional certificate courses did not meet the target of 20 per cent of enrolments in those courses. Despite not meeting this overall target for female enrolment in non-traditional certificate courses, female enrolments in particular non-traditional courses, such as Construction and Electro-technology, did exceed the 20 per cent target.</w:t>
            </w:r>
          </w:p>
          <w:p w14:paraId="1BFA09CE" w14:textId="5C76480C" w:rsidR="00B5581D" w:rsidRDefault="00B5581D" w:rsidP="00B5581D">
            <w:pPr>
              <w:pStyle w:val="BodyText"/>
              <w:spacing w:before="40" w:after="40" w:line="240" w:lineRule="auto"/>
              <w:ind w:left="37"/>
              <w:rPr>
                <w:rFonts w:eastAsiaTheme="majorEastAsia" w:cstheme="minorHAnsi"/>
                <w:sz w:val="20"/>
                <w:szCs w:val="20"/>
              </w:rPr>
            </w:pPr>
            <w:r>
              <w:rPr>
                <w:rFonts w:eastAsiaTheme="majorEastAsia" w:cstheme="minorHAnsi"/>
                <w:sz w:val="20"/>
                <w:szCs w:val="20"/>
              </w:rPr>
              <w:t xml:space="preserve">~ </w:t>
            </w:r>
            <w:r w:rsidRPr="00FA64A9">
              <w:rPr>
                <w:rFonts w:eastAsiaTheme="majorEastAsia" w:cstheme="minorHAnsi"/>
                <w:sz w:val="20"/>
                <w:szCs w:val="20"/>
              </w:rPr>
              <w:t>KIT developed partnerships with disability organisations to strengthen its disability inclusion focus, including by supporting six students to commence mainstream KIT courses, with the support of new teacher aides.</w:t>
            </w:r>
          </w:p>
          <w:p w14:paraId="6023E153" w14:textId="7B90CDD5" w:rsidR="00B5581D" w:rsidRPr="00FA64A9" w:rsidRDefault="00B5581D" w:rsidP="00B5581D">
            <w:pPr>
              <w:pStyle w:val="BodyText"/>
              <w:spacing w:before="40" w:after="40" w:line="240" w:lineRule="auto"/>
              <w:ind w:left="37"/>
              <w:rPr>
                <w:rFonts w:eastAsiaTheme="majorEastAsia" w:cstheme="minorHAnsi"/>
                <w:sz w:val="20"/>
                <w:szCs w:val="20"/>
              </w:rPr>
            </w:pPr>
            <w:r>
              <w:rPr>
                <w:rFonts w:eastAsiaTheme="majorEastAsia" w:cstheme="minorHAnsi"/>
                <w:sz w:val="20"/>
                <w:szCs w:val="20"/>
              </w:rPr>
              <w:t xml:space="preserve">~ </w:t>
            </w:r>
            <w:r w:rsidRPr="00FA64A9">
              <w:rPr>
                <w:rFonts w:eastAsiaTheme="majorEastAsia" w:cstheme="minorHAnsi"/>
                <w:sz w:val="20"/>
                <w:szCs w:val="20"/>
              </w:rPr>
              <w:t>In 2019, the Kiribati-Australia Health Support Program focused on reversing the decrease in tuberculosis case notification rates reported in 2018. The program increased the level of outreach to communities and contact tracing. The tuberculosis notification rate per 100,000 population increased from 245 in 2018 to 372 in 2019, but still remains below the target of 600 per 100,000 population.</w:t>
            </w:r>
          </w:p>
        </w:tc>
      </w:tr>
      <w:tr w:rsidR="00D762BD" w:rsidRPr="00274483" w14:paraId="6EB32243" w14:textId="77777777" w:rsidTr="00DA270D">
        <w:trPr>
          <w:tblHeader/>
        </w:trPr>
        <w:tc>
          <w:tcPr>
            <w:tcW w:w="1354" w:type="dxa"/>
          </w:tcPr>
          <w:p w14:paraId="0F992B62" w14:textId="65C4167B" w:rsidR="00D762BD" w:rsidRPr="00FA64A9" w:rsidRDefault="00D762BD" w:rsidP="00366400">
            <w:pPr>
              <w:pStyle w:val="BodyText"/>
              <w:spacing w:before="40" w:after="40" w:line="240" w:lineRule="auto"/>
              <w:rPr>
                <w:rFonts w:eastAsiaTheme="majorEastAsia" w:cstheme="minorHAnsi"/>
                <w:caps/>
                <w:sz w:val="20"/>
                <w:szCs w:val="20"/>
              </w:rPr>
            </w:pPr>
            <w:r w:rsidRPr="00FA64A9">
              <w:rPr>
                <w:rFonts w:eastAsiaTheme="majorEastAsia" w:cstheme="minorHAnsi"/>
                <w:sz w:val="20"/>
                <w:szCs w:val="20"/>
              </w:rPr>
              <w:t>Cross-cutting issues across all development assistance</w:t>
            </w:r>
          </w:p>
        </w:tc>
        <w:tc>
          <w:tcPr>
            <w:tcW w:w="1760" w:type="dxa"/>
          </w:tcPr>
          <w:p w14:paraId="02220408" w14:textId="453E1B19" w:rsidR="00D762BD" w:rsidRPr="00FA64A9" w:rsidRDefault="00D762BD" w:rsidP="00366400">
            <w:pPr>
              <w:pStyle w:val="BodyText"/>
              <w:spacing w:before="40" w:after="40" w:line="240" w:lineRule="auto"/>
              <w:rPr>
                <w:rFonts w:eastAsiaTheme="majorEastAsia" w:cstheme="minorHAnsi"/>
                <w:sz w:val="20"/>
                <w:szCs w:val="20"/>
              </w:rPr>
            </w:pPr>
            <w:r w:rsidRPr="00FA64A9">
              <w:rPr>
                <w:rFonts w:eastAsiaTheme="majorEastAsia" w:cstheme="minorHAnsi"/>
                <w:sz w:val="20"/>
                <w:szCs w:val="20"/>
              </w:rPr>
              <w:t>Gender outcomes</w:t>
            </w:r>
          </w:p>
          <w:p w14:paraId="6E014793" w14:textId="77777777" w:rsidR="00D762BD" w:rsidRPr="00FA64A9" w:rsidRDefault="00D762BD" w:rsidP="00366400">
            <w:pPr>
              <w:pStyle w:val="BodyText"/>
              <w:spacing w:before="40" w:after="40" w:line="240" w:lineRule="auto"/>
              <w:rPr>
                <w:rFonts w:eastAsiaTheme="majorEastAsia" w:cstheme="minorHAnsi"/>
                <w:caps/>
                <w:sz w:val="20"/>
                <w:szCs w:val="20"/>
              </w:rPr>
            </w:pPr>
          </w:p>
        </w:tc>
        <w:tc>
          <w:tcPr>
            <w:tcW w:w="7087" w:type="dxa"/>
          </w:tcPr>
          <w:p w14:paraId="4223B3BD" w14:textId="3FBBE998" w:rsidR="00D762BD" w:rsidRPr="00FA64A9" w:rsidRDefault="00B5581D" w:rsidP="00366400">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D762BD" w:rsidRPr="00FA64A9">
              <w:rPr>
                <w:rFonts w:eastAsiaTheme="majorEastAsia" w:cstheme="minorHAnsi"/>
                <w:sz w:val="20"/>
                <w:szCs w:val="20"/>
              </w:rPr>
              <w:t>Transition to a more comprehensive data collection method occurred in 2019. Of the 83 Protective Orders issued in 2019, 55 were also assisted through the Australia supported ‘Women’s and Children’s Support Centre’. Increasingly, people are prepared to report domestic violence to police (554 in 2017, 780 in 2018 and 1,667 in 2019). The prevalence of gender-based bullying at Junior School was also studied in 2019-20, with the results workshopped to inform a new Ministerial strategy.</w:t>
            </w:r>
          </w:p>
        </w:tc>
      </w:tr>
    </w:tbl>
    <w:p w14:paraId="4C9B3F58" w14:textId="77777777" w:rsidR="00276A54" w:rsidRDefault="00276A54" w:rsidP="00276A54"/>
    <w:p w14:paraId="7ADA035C" w14:textId="77777777" w:rsidR="00276A54" w:rsidRDefault="00276A54" w:rsidP="00276A54">
      <w:pPr>
        <w:sectPr w:rsidR="00276A54" w:rsidSect="00494F98">
          <w:headerReference w:type="default" r:id="rId22"/>
          <w:pgSz w:w="11906" w:h="16838" w:code="9"/>
          <w:pgMar w:top="1701" w:right="1134" w:bottom="1418" w:left="1134" w:header="425" w:footer="493" w:gutter="0"/>
          <w:cols w:space="397"/>
          <w:docGrid w:linePitch="360"/>
        </w:sectPr>
      </w:pPr>
    </w:p>
    <w:p w14:paraId="18BFCBF2" w14:textId="597CB9A8" w:rsidR="00390828"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14:paraId="47D323EA" w14:textId="77777777" w:rsidR="00D762BD" w:rsidRDefault="00D762BD" w:rsidP="00D762BD">
      <w:pPr>
        <w:pStyle w:val="Heading3"/>
      </w:pPr>
      <w:r>
        <w:t>Investment Monitoring Report ratings</w:t>
      </w:r>
    </w:p>
    <w:tbl>
      <w:tblPr>
        <w:tblStyle w:val="APPR"/>
        <w:tblW w:w="4710" w:type="pct"/>
        <w:tblLook w:val="0020" w:firstRow="1" w:lastRow="0" w:firstColumn="0" w:lastColumn="0" w:noHBand="0" w:noVBand="0"/>
      </w:tblPr>
      <w:tblGrid>
        <w:gridCol w:w="4532"/>
        <w:gridCol w:w="1300"/>
        <w:gridCol w:w="1364"/>
        <w:gridCol w:w="623"/>
        <w:gridCol w:w="623"/>
        <w:gridCol w:w="637"/>
      </w:tblGrid>
      <w:tr w:rsidR="00D762BD" w:rsidRPr="00812509" w14:paraId="705E9652" w14:textId="77777777" w:rsidTr="00B70F6C">
        <w:trPr>
          <w:cnfStyle w:val="100000000000" w:firstRow="1" w:lastRow="0" w:firstColumn="0" w:lastColumn="0" w:oddVBand="0" w:evenVBand="0" w:oddHBand="0" w:evenHBand="0" w:firstRowFirstColumn="0" w:firstRowLastColumn="0" w:lastRowFirstColumn="0" w:lastRowLastColumn="0"/>
          <w:trHeight w:val="1413"/>
        </w:trPr>
        <w:tc>
          <w:tcPr>
            <w:tcW w:w="2473" w:type="pct"/>
            <w:tcBorders>
              <w:bottom w:val="single" w:sz="8" w:space="0" w:color="000000" w:themeColor="text1"/>
            </w:tcBorders>
          </w:tcPr>
          <w:p w14:paraId="0B0267B9" w14:textId="25CD1B4A" w:rsidR="00D762BD" w:rsidRPr="00812509" w:rsidRDefault="00D762BD" w:rsidP="00366400">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59264" behindDoc="0" locked="0" layoutInCell="1" allowOverlap="1" wp14:anchorId="7822FF73" wp14:editId="678B124B">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788">
              <w:rPr>
                <w:rFonts w:asciiTheme="minorHAnsi" w:eastAsia="Times New Roman" w:hAnsiTheme="minorHAnsi"/>
                <w:iCs/>
                <w:szCs w:val="17"/>
                <w:lang w:eastAsia="en-US"/>
              </w:rPr>
              <w:t>Investment name</w:t>
            </w:r>
          </w:p>
        </w:tc>
        <w:tc>
          <w:tcPr>
            <w:tcW w:w="701" w:type="pct"/>
            <w:tcBorders>
              <w:bottom w:val="single" w:sz="8" w:space="0" w:color="000000" w:themeColor="text1"/>
            </w:tcBorders>
            <w:textDirection w:val="btLr"/>
          </w:tcPr>
          <w:p w14:paraId="7651D6DB" w14:textId="77777777" w:rsidR="00D762BD" w:rsidRPr="00812509" w:rsidRDefault="00D762BD" w:rsidP="00366400">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736" w:type="pct"/>
            <w:tcBorders>
              <w:bottom w:val="single" w:sz="8" w:space="0" w:color="000000" w:themeColor="text1"/>
            </w:tcBorders>
            <w:textDirection w:val="btLr"/>
          </w:tcPr>
          <w:p w14:paraId="3CAC87AB" w14:textId="77777777" w:rsidR="00D762BD" w:rsidRPr="00812509" w:rsidRDefault="00D762BD" w:rsidP="00366400">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28" w:type="pct"/>
            <w:tcBorders>
              <w:bottom w:val="single" w:sz="8" w:space="0" w:color="000000" w:themeColor="text1"/>
            </w:tcBorders>
            <w:textDirection w:val="btLr"/>
          </w:tcPr>
          <w:p w14:paraId="41DD8B8E" w14:textId="77777777" w:rsidR="00D762BD" w:rsidRPr="00812509" w:rsidRDefault="00D762BD" w:rsidP="00366400">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28" w:type="pct"/>
            <w:tcBorders>
              <w:bottom w:val="single" w:sz="8" w:space="0" w:color="000000" w:themeColor="text1"/>
            </w:tcBorders>
            <w:textDirection w:val="btLr"/>
          </w:tcPr>
          <w:p w14:paraId="6B3F97A8" w14:textId="77777777" w:rsidR="00D762BD" w:rsidRPr="00812509" w:rsidRDefault="00D762BD" w:rsidP="00366400">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28" w:type="pct"/>
            <w:tcBorders>
              <w:bottom w:val="single" w:sz="8" w:space="0" w:color="000000" w:themeColor="text1"/>
            </w:tcBorders>
            <w:textDirection w:val="btLr"/>
          </w:tcPr>
          <w:p w14:paraId="01A9F668" w14:textId="77777777" w:rsidR="00D762BD" w:rsidRPr="00812509" w:rsidRDefault="00D762BD" w:rsidP="00366400">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B70F6C" w:rsidRPr="00130334" w14:paraId="6B82A150" w14:textId="77777777" w:rsidTr="00B70F6C">
        <w:trPr>
          <w:cnfStyle w:val="100000000000" w:firstRow="1" w:lastRow="0" w:firstColumn="0" w:lastColumn="0" w:oddVBand="0" w:evenVBand="0" w:oddHBand="0" w:evenHBand="0" w:firstRowFirstColumn="0" w:firstRowLastColumn="0" w:lastRowFirstColumn="0" w:lastRowLastColumn="0"/>
          <w:trHeight w:val="284"/>
        </w:trPr>
        <w:tc>
          <w:tcPr>
            <w:tcW w:w="2473" w:type="pct"/>
            <w:vAlign w:val="center"/>
          </w:tcPr>
          <w:p w14:paraId="77B9BDE0" w14:textId="77777777" w:rsidR="00B70F6C" w:rsidRPr="00812509" w:rsidRDefault="00B70F6C" w:rsidP="003664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INI620 – Improved basic education</w:t>
            </w:r>
          </w:p>
        </w:tc>
        <w:tc>
          <w:tcPr>
            <w:tcW w:w="701" w:type="pct"/>
          </w:tcPr>
          <w:p w14:paraId="0673EE3A" w14:textId="128B9023" w:rsidR="00B70F6C" w:rsidRPr="00812509" w:rsidRDefault="00B70F6C" w:rsidP="00B70F6C">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$72m</w:t>
            </w:r>
          </w:p>
        </w:tc>
        <w:tc>
          <w:tcPr>
            <w:tcW w:w="736" w:type="pct"/>
          </w:tcPr>
          <w:p w14:paraId="2886DB39" w14:textId="77777777" w:rsidR="00B70F6C" w:rsidRPr="00812509" w:rsidRDefault="00B70F6C" w:rsidP="003664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28" w:type="pct"/>
            <w:shd w:val="clear" w:color="auto" w:fill="auto"/>
            <w:noWrap/>
          </w:tcPr>
          <w:p w14:paraId="5894DD5E" w14:textId="77777777" w:rsidR="00B70F6C" w:rsidRPr="00812509"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8" w:type="pct"/>
            <w:shd w:val="clear" w:color="auto" w:fill="auto"/>
            <w:noWrap/>
          </w:tcPr>
          <w:p w14:paraId="61FD39CF" w14:textId="77777777" w:rsidR="00B70F6C" w:rsidRPr="00812509"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8" w:type="pct"/>
            <w:shd w:val="clear" w:color="auto" w:fill="auto"/>
            <w:noWrap/>
          </w:tcPr>
          <w:p w14:paraId="4A9FB229" w14:textId="77777777" w:rsidR="00B70F6C" w:rsidRPr="00812509"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B70F6C" w:rsidRPr="00130334" w14:paraId="39106C59" w14:textId="77777777" w:rsidTr="00B70F6C">
        <w:trPr>
          <w:cnfStyle w:val="100000000000" w:firstRow="1" w:lastRow="0" w:firstColumn="0" w:lastColumn="0" w:oddVBand="0" w:evenVBand="0" w:oddHBand="0" w:evenHBand="0" w:firstRowFirstColumn="0" w:firstRowLastColumn="0" w:lastRowFirstColumn="0" w:lastRowLastColumn="0"/>
          <w:trHeight w:val="284"/>
        </w:trPr>
        <w:tc>
          <w:tcPr>
            <w:tcW w:w="2473" w:type="pct"/>
            <w:vAlign w:val="center"/>
          </w:tcPr>
          <w:p w14:paraId="0D7372C7" w14:textId="77777777" w:rsidR="00B70F6C" w:rsidRPr="00812509" w:rsidRDefault="00B70F6C" w:rsidP="00366400">
            <w:pPr>
              <w:keepLines/>
              <w:spacing w:before="40" w:after="40" w:line="200" w:lineRule="atLeast"/>
              <w:rPr>
                <w:rFonts w:asciiTheme="minorHAnsi" w:eastAsia="Times New Roman" w:hAnsiTheme="minorHAnsi"/>
                <w:iCs/>
                <w:szCs w:val="17"/>
                <w:lang w:eastAsia="en-US"/>
              </w:rPr>
            </w:pPr>
          </w:p>
        </w:tc>
        <w:tc>
          <w:tcPr>
            <w:tcW w:w="701" w:type="pct"/>
          </w:tcPr>
          <w:p w14:paraId="2106E162" w14:textId="34AAABBF" w:rsidR="00B70F6C" w:rsidRPr="00812509" w:rsidRDefault="00B70F6C" w:rsidP="003664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09-20</w:t>
            </w:r>
          </w:p>
        </w:tc>
        <w:tc>
          <w:tcPr>
            <w:tcW w:w="736" w:type="pct"/>
          </w:tcPr>
          <w:p w14:paraId="20014312" w14:textId="77777777" w:rsidR="00B70F6C" w:rsidRPr="00812509" w:rsidRDefault="00B70F6C" w:rsidP="003664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28" w:type="pct"/>
            <w:shd w:val="clear" w:color="auto" w:fill="auto"/>
            <w:noWrap/>
          </w:tcPr>
          <w:p w14:paraId="6B76D48A" w14:textId="77777777" w:rsidR="00B70F6C" w:rsidRPr="00812509"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8" w:type="pct"/>
            <w:shd w:val="clear" w:color="auto" w:fill="auto"/>
            <w:noWrap/>
          </w:tcPr>
          <w:p w14:paraId="48C4AB84" w14:textId="77777777" w:rsidR="00B70F6C" w:rsidRPr="00812509"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8" w:type="pct"/>
            <w:shd w:val="clear" w:color="auto" w:fill="auto"/>
            <w:noWrap/>
          </w:tcPr>
          <w:p w14:paraId="3BF4CAAF" w14:textId="77777777" w:rsidR="00B70F6C" w:rsidRPr="00812509"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B70F6C" w:rsidRPr="00130334" w14:paraId="5F000EF4" w14:textId="77777777" w:rsidTr="00AE079D">
        <w:trPr>
          <w:cnfStyle w:val="100000000000" w:firstRow="1" w:lastRow="0" w:firstColumn="0" w:lastColumn="0" w:oddVBand="0" w:evenVBand="0" w:oddHBand="0" w:evenHBand="0" w:firstRowFirstColumn="0" w:firstRowLastColumn="0" w:lastRowFirstColumn="0" w:lastRowLastColumn="0"/>
          <w:trHeight w:val="284"/>
        </w:trPr>
        <w:tc>
          <w:tcPr>
            <w:tcW w:w="2473" w:type="pct"/>
            <w:tcBorders>
              <w:top w:val="single" w:sz="2" w:space="0" w:color="65C5B4" w:themeColor="accent1"/>
            </w:tcBorders>
            <w:vAlign w:val="center"/>
          </w:tcPr>
          <w:p w14:paraId="461964D4"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INJ383 – Growth and economic management</w:t>
            </w:r>
          </w:p>
        </w:tc>
        <w:tc>
          <w:tcPr>
            <w:tcW w:w="701" w:type="pct"/>
            <w:tcBorders>
              <w:top w:val="single" w:sz="2" w:space="0" w:color="65C5B4" w:themeColor="accent1"/>
            </w:tcBorders>
          </w:tcPr>
          <w:p w14:paraId="7E866E22" w14:textId="654204C6" w:rsidR="00B70F6C" w:rsidRPr="00130334" w:rsidRDefault="00B70F6C" w:rsidP="00B70F6C">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$17m</w:t>
            </w:r>
          </w:p>
        </w:tc>
        <w:tc>
          <w:tcPr>
            <w:tcW w:w="736" w:type="pct"/>
            <w:tcBorders>
              <w:top w:val="single" w:sz="2" w:space="0" w:color="65C5B4" w:themeColor="accent1"/>
            </w:tcBorders>
          </w:tcPr>
          <w:p w14:paraId="063C0498"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2019 AQC</w:t>
            </w:r>
          </w:p>
        </w:tc>
        <w:tc>
          <w:tcPr>
            <w:tcW w:w="328" w:type="pct"/>
            <w:tcBorders>
              <w:top w:val="single" w:sz="2" w:space="0" w:color="65C5B4" w:themeColor="accent1"/>
            </w:tcBorders>
            <w:shd w:val="clear" w:color="auto" w:fill="auto"/>
            <w:noWrap/>
          </w:tcPr>
          <w:p w14:paraId="4788E09C"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8" w:type="pct"/>
            <w:tcBorders>
              <w:top w:val="single" w:sz="2" w:space="0" w:color="65C5B4" w:themeColor="accent1"/>
            </w:tcBorders>
            <w:shd w:val="clear" w:color="auto" w:fill="auto"/>
            <w:noWrap/>
          </w:tcPr>
          <w:p w14:paraId="691D8CA6"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8" w:type="pct"/>
            <w:tcBorders>
              <w:top w:val="single" w:sz="2" w:space="0" w:color="65C5B4" w:themeColor="accent1"/>
            </w:tcBorders>
            <w:shd w:val="clear" w:color="auto" w:fill="auto"/>
            <w:noWrap/>
          </w:tcPr>
          <w:p w14:paraId="2DA99D30"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B70F6C" w:rsidRPr="00130334" w14:paraId="5C5ACAB0" w14:textId="77777777" w:rsidTr="00AE079D">
        <w:trPr>
          <w:cnfStyle w:val="100000000000" w:firstRow="1" w:lastRow="0" w:firstColumn="0" w:lastColumn="0" w:oddVBand="0" w:evenVBand="0" w:oddHBand="0" w:evenHBand="0" w:firstRowFirstColumn="0" w:firstRowLastColumn="0" w:lastRowFirstColumn="0" w:lastRowLastColumn="0"/>
          <w:trHeight w:val="284"/>
        </w:trPr>
        <w:tc>
          <w:tcPr>
            <w:tcW w:w="2473" w:type="pct"/>
            <w:tcBorders>
              <w:bottom w:val="single" w:sz="2" w:space="0" w:color="65C5B4" w:themeColor="accent1"/>
            </w:tcBorders>
            <w:vAlign w:val="center"/>
          </w:tcPr>
          <w:p w14:paraId="204AA2A6"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p>
        </w:tc>
        <w:tc>
          <w:tcPr>
            <w:tcW w:w="701" w:type="pct"/>
            <w:tcBorders>
              <w:bottom w:val="single" w:sz="2" w:space="0" w:color="65C5B4" w:themeColor="accent1"/>
            </w:tcBorders>
          </w:tcPr>
          <w:p w14:paraId="6A4E8561" w14:textId="0D0A7548"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2016-19</w:t>
            </w:r>
          </w:p>
        </w:tc>
        <w:tc>
          <w:tcPr>
            <w:tcW w:w="736" w:type="pct"/>
            <w:tcBorders>
              <w:top w:val="single" w:sz="2" w:space="0" w:color="65C5B4" w:themeColor="accent1"/>
              <w:bottom w:val="single" w:sz="2" w:space="0" w:color="65C5B4" w:themeColor="accent1"/>
            </w:tcBorders>
          </w:tcPr>
          <w:p w14:paraId="615FDA97"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2020 AQC</w:t>
            </w:r>
          </w:p>
        </w:tc>
        <w:tc>
          <w:tcPr>
            <w:tcW w:w="328" w:type="pct"/>
            <w:tcBorders>
              <w:top w:val="single" w:sz="2" w:space="0" w:color="65C5B4" w:themeColor="accent1"/>
              <w:bottom w:val="single" w:sz="2" w:space="0" w:color="65C5B4" w:themeColor="accent1"/>
            </w:tcBorders>
            <w:shd w:val="clear" w:color="auto" w:fill="auto"/>
            <w:noWrap/>
          </w:tcPr>
          <w:p w14:paraId="3551B277"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8" w:type="pct"/>
            <w:tcBorders>
              <w:top w:val="single" w:sz="2" w:space="0" w:color="65C5B4" w:themeColor="accent1"/>
              <w:bottom w:val="single" w:sz="2" w:space="0" w:color="65C5B4" w:themeColor="accent1"/>
            </w:tcBorders>
            <w:shd w:val="clear" w:color="auto" w:fill="auto"/>
            <w:noWrap/>
          </w:tcPr>
          <w:p w14:paraId="1A385061"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8" w:type="pct"/>
            <w:tcBorders>
              <w:top w:val="single" w:sz="2" w:space="0" w:color="65C5B4" w:themeColor="accent1"/>
              <w:bottom w:val="single" w:sz="2" w:space="0" w:color="65C5B4" w:themeColor="accent1"/>
            </w:tcBorders>
            <w:shd w:val="clear" w:color="auto" w:fill="auto"/>
            <w:noWrap/>
          </w:tcPr>
          <w:p w14:paraId="7D706836"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B70F6C" w:rsidRPr="00130334" w14:paraId="62C7416E" w14:textId="77777777" w:rsidTr="00B70F6C">
        <w:trPr>
          <w:cnfStyle w:val="100000000000" w:firstRow="1" w:lastRow="0" w:firstColumn="0" w:lastColumn="0" w:oddVBand="0" w:evenVBand="0" w:oddHBand="0" w:evenHBand="0" w:firstRowFirstColumn="0" w:firstRowLastColumn="0" w:lastRowFirstColumn="0" w:lastRowLastColumn="0"/>
          <w:trHeight w:val="284"/>
        </w:trPr>
        <w:tc>
          <w:tcPr>
            <w:tcW w:w="2473" w:type="pct"/>
            <w:vAlign w:val="center"/>
          </w:tcPr>
          <w:p w14:paraId="221EB182"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INK327 – Kiribati infrastructure</w:t>
            </w:r>
          </w:p>
        </w:tc>
        <w:tc>
          <w:tcPr>
            <w:tcW w:w="701" w:type="pct"/>
          </w:tcPr>
          <w:p w14:paraId="411BBB6A" w14:textId="42010D3D" w:rsidR="00B70F6C" w:rsidRPr="00130334" w:rsidRDefault="00B70F6C" w:rsidP="00B70F6C">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$35m</w:t>
            </w:r>
          </w:p>
        </w:tc>
        <w:tc>
          <w:tcPr>
            <w:tcW w:w="736" w:type="pct"/>
          </w:tcPr>
          <w:p w14:paraId="5FF1994A"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2019 AQC</w:t>
            </w:r>
          </w:p>
        </w:tc>
        <w:tc>
          <w:tcPr>
            <w:tcW w:w="328" w:type="pct"/>
            <w:shd w:val="clear" w:color="auto" w:fill="auto"/>
            <w:noWrap/>
          </w:tcPr>
          <w:p w14:paraId="5292862C"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8" w:type="pct"/>
            <w:shd w:val="clear" w:color="auto" w:fill="auto"/>
            <w:noWrap/>
          </w:tcPr>
          <w:p w14:paraId="5A321B1A"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8" w:type="pct"/>
            <w:shd w:val="clear" w:color="auto" w:fill="auto"/>
            <w:noWrap/>
          </w:tcPr>
          <w:p w14:paraId="4F469B79"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B70F6C" w:rsidRPr="00130334" w14:paraId="63032507" w14:textId="77777777" w:rsidTr="004C7D11">
        <w:trPr>
          <w:cnfStyle w:val="100000000000" w:firstRow="1" w:lastRow="0" w:firstColumn="0" w:lastColumn="0" w:oddVBand="0" w:evenVBand="0" w:oddHBand="0" w:evenHBand="0" w:firstRowFirstColumn="0" w:firstRowLastColumn="0" w:lastRowFirstColumn="0" w:lastRowLastColumn="0"/>
          <w:trHeight w:val="284"/>
        </w:trPr>
        <w:tc>
          <w:tcPr>
            <w:tcW w:w="2473" w:type="pct"/>
            <w:tcBorders>
              <w:bottom w:val="single" w:sz="2" w:space="0" w:color="65C5B4" w:themeColor="accent1"/>
            </w:tcBorders>
            <w:vAlign w:val="center"/>
          </w:tcPr>
          <w:p w14:paraId="1125F5F3"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p>
        </w:tc>
        <w:tc>
          <w:tcPr>
            <w:tcW w:w="701" w:type="pct"/>
            <w:tcBorders>
              <w:bottom w:val="single" w:sz="2" w:space="0" w:color="65C5B4" w:themeColor="accent1"/>
            </w:tcBorders>
          </w:tcPr>
          <w:p w14:paraId="78592EB6" w14:textId="4F95D45F"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2011-21</w:t>
            </w:r>
          </w:p>
        </w:tc>
        <w:tc>
          <w:tcPr>
            <w:tcW w:w="736" w:type="pct"/>
            <w:tcBorders>
              <w:top w:val="single" w:sz="2" w:space="0" w:color="65C5B4" w:themeColor="accent1"/>
              <w:bottom w:val="single" w:sz="2" w:space="0" w:color="65C5B4" w:themeColor="accent1"/>
            </w:tcBorders>
          </w:tcPr>
          <w:p w14:paraId="1061E83E"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2020 AQC</w:t>
            </w:r>
          </w:p>
        </w:tc>
        <w:tc>
          <w:tcPr>
            <w:tcW w:w="328" w:type="pct"/>
            <w:tcBorders>
              <w:top w:val="single" w:sz="2" w:space="0" w:color="65C5B4" w:themeColor="accent1"/>
              <w:bottom w:val="single" w:sz="2" w:space="0" w:color="65C5B4" w:themeColor="accent1"/>
            </w:tcBorders>
            <w:shd w:val="clear" w:color="auto" w:fill="auto"/>
            <w:noWrap/>
          </w:tcPr>
          <w:p w14:paraId="17174A33"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8" w:type="pct"/>
            <w:tcBorders>
              <w:top w:val="single" w:sz="2" w:space="0" w:color="65C5B4" w:themeColor="accent1"/>
              <w:bottom w:val="single" w:sz="2" w:space="0" w:color="65C5B4" w:themeColor="accent1"/>
            </w:tcBorders>
            <w:shd w:val="clear" w:color="auto" w:fill="auto"/>
            <w:noWrap/>
          </w:tcPr>
          <w:p w14:paraId="7386386D"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8" w:type="pct"/>
            <w:tcBorders>
              <w:top w:val="single" w:sz="2" w:space="0" w:color="65C5B4" w:themeColor="accent1"/>
              <w:bottom w:val="single" w:sz="2" w:space="0" w:color="65C5B4" w:themeColor="accent1"/>
            </w:tcBorders>
            <w:shd w:val="clear" w:color="auto" w:fill="auto"/>
            <w:noWrap/>
          </w:tcPr>
          <w:p w14:paraId="7F2FACBF"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B70F6C" w:rsidRPr="00130334" w14:paraId="7B8E4DD6" w14:textId="77777777" w:rsidTr="00B70F6C">
        <w:trPr>
          <w:cnfStyle w:val="100000000000" w:firstRow="1" w:lastRow="0" w:firstColumn="0" w:lastColumn="0" w:oddVBand="0" w:evenVBand="0" w:oddHBand="0" w:evenHBand="0" w:firstRowFirstColumn="0" w:firstRowLastColumn="0" w:lastRowFirstColumn="0" w:lastRowLastColumn="0"/>
          <w:trHeight w:val="284"/>
        </w:trPr>
        <w:tc>
          <w:tcPr>
            <w:tcW w:w="2473" w:type="pct"/>
            <w:tcBorders>
              <w:top w:val="nil"/>
            </w:tcBorders>
            <w:vAlign w:val="center"/>
          </w:tcPr>
          <w:p w14:paraId="0AB07150"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 xml:space="preserve">INK504 – Kiribati </w:t>
            </w:r>
            <w:r>
              <w:rPr>
                <w:rFonts w:asciiTheme="minorHAnsi" w:eastAsia="Times New Roman" w:hAnsiTheme="minorHAnsi"/>
                <w:iCs/>
                <w:szCs w:val="17"/>
                <w:lang w:eastAsia="en-US"/>
              </w:rPr>
              <w:t>health sector support</w:t>
            </w:r>
          </w:p>
        </w:tc>
        <w:tc>
          <w:tcPr>
            <w:tcW w:w="701" w:type="pct"/>
          </w:tcPr>
          <w:p w14:paraId="1215A0FE" w14:textId="001761CE" w:rsidR="00B70F6C" w:rsidRPr="00130334" w:rsidRDefault="00B70F6C" w:rsidP="00B70F6C">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w:t>
            </w:r>
            <w:r>
              <w:rPr>
                <w:rFonts w:asciiTheme="minorHAnsi" w:eastAsia="Times New Roman" w:hAnsiTheme="minorHAnsi"/>
                <w:iCs/>
                <w:szCs w:val="17"/>
                <w:lang w:eastAsia="en-US"/>
              </w:rPr>
              <w:t>3.2</w:t>
            </w:r>
            <w:r w:rsidRPr="00130334">
              <w:rPr>
                <w:rFonts w:asciiTheme="minorHAnsi" w:eastAsia="Times New Roman" w:hAnsiTheme="minorHAnsi"/>
                <w:iCs/>
                <w:szCs w:val="17"/>
                <w:lang w:eastAsia="en-US"/>
              </w:rPr>
              <w:t>m</w:t>
            </w:r>
          </w:p>
        </w:tc>
        <w:tc>
          <w:tcPr>
            <w:tcW w:w="736" w:type="pct"/>
          </w:tcPr>
          <w:p w14:paraId="62CDE6AB"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2019 AQC</w:t>
            </w:r>
          </w:p>
        </w:tc>
        <w:tc>
          <w:tcPr>
            <w:tcW w:w="328" w:type="pct"/>
            <w:shd w:val="clear" w:color="auto" w:fill="auto"/>
            <w:noWrap/>
          </w:tcPr>
          <w:p w14:paraId="10172962"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28" w:type="pct"/>
            <w:shd w:val="clear" w:color="auto" w:fill="auto"/>
            <w:noWrap/>
          </w:tcPr>
          <w:p w14:paraId="639B405C"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28" w:type="pct"/>
            <w:shd w:val="clear" w:color="auto" w:fill="auto"/>
            <w:noWrap/>
          </w:tcPr>
          <w:p w14:paraId="5600E642"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B70F6C" w:rsidRPr="00130334" w14:paraId="7A8F6474" w14:textId="77777777" w:rsidTr="00B70F6C">
        <w:trPr>
          <w:cnfStyle w:val="100000000000" w:firstRow="1" w:lastRow="0" w:firstColumn="0" w:lastColumn="0" w:oddVBand="0" w:evenVBand="0" w:oddHBand="0" w:evenHBand="0" w:firstRowFirstColumn="0" w:firstRowLastColumn="0" w:lastRowFirstColumn="0" w:lastRowLastColumn="0"/>
          <w:trHeight w:val="284"/>
        </w:trPr>
        <w:tc>
          <w:tcPr>
            <w:tcW w:w="2473" w:type="pct"/>
            <w:tcBorders>
              <w:top w:val="nil"/>
              <w:bottom w:val="single" w:sz="2" w:space="0" w:color="65C5B4" w:themeColor="accent1"/>
            </w:tcBorders>
            <w:vAlign w:val="center"/>
          </w:tcPr>
          <w:p w14:paraId="1D4CFF1C"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p>
        </w:tc>
        <w:tc>
          <w:tcPr>
            <w:tcW w:w="701" w:type="pct"/>
            <w:tcBorders>
              <w:bottom w:val="single" w:sz="2" w:space="0" w:color="65C5B4" w:themeColor="accent1"/>
            </w:tcBorders>
          </w:tcPr>
          <w:p w14:paraId="2DE38C19" w14:textId="3A378C8A"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130334">
              <w:rPr>
                <w:rFonts w:asciiTheme="minorHAnsi" w:eastAsia="Times New Roman" w:hAnsiTheme="minorHAnsi"/>
                <w:iCs/>
                <w:szCs w:val="17"/>
                <w:lang w:eastAsia="en-US"/>
              </w:rPr>
              <w:t>-2</w:t>
            </w:r>
            <w:r>
              <w:rPr>
                <w:rFonts w:asciiTheme="minorHAnsi" w:eastAsia="Times New Roman" w:hAnsiTheme="minorHAnsi"/>
                <w:iCs/>
                <w:szCs w:val="17"/>
                <w:lang w:eastAsia="en-US"/>
              </w:rPr>
              <w:t>2</w:t>
            </w:r>
          </w:p>
        </w:tc>
        <w:tc>
          <w:tcPr>
            <w:tcW w:w="736" w:type="pct"/>
            <w:tcBorders>
              <w:top w:val="single" w:sz="2" w:space="0" w:color="65C5B4" w:themeColor="accent1"/>
              <w:bottom w:val="single" w:sz="2" w:space="0" w:color="65C5B4" w:themeColor="accent1"/>
            </w:tcBorders>
          </w:tcPr>
          <w:p w14:paraId="0D825408"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2020 AQC</w:t>
            </w:r>
          </w:p>
        </w:tc>
        <w:tc>
          <w:tcPr>
            <w:tcW w:w="328" w:type="pct"/>
            <w:tcBorders>
              <w:top w:val="single" w:sz="2" w:space="0" w:color="65C5B4" w:themeColor="accent1"/>
              <w:bottom w:val="single" w:sz="2" w:space="0" w:color="65C5B4" w:themeColor="accent1"/>
            </w:tcBorders>
            <w:shd w:val="clear" w:color="auto" w:fill="auto"/>
            <w:noWrap/>
          </w:tcPr>
          <w:p w14:paraId="5BDE6C2E"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8" w:type="pct"/>
            <w:tcBorders>
              <w:top w:val="single" w:sz="2" w:space="0" w:color="65C5B4" w:themeColor="accent1"/>
              <w:bottom w:val="single" w:sz="2" w:space="0" w:color="65C5B4" w:themeColor="accent1"/>
            </w:tcBorders>
            <w:shd w:val="clear" w:color="auto" w:fill="auto"/>
            <w:noWrap/>
          </w:tcPr>
          <w:p w14:paraId="7EE9002B"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8" w:type="pct"/>
            <w:tcBorders>
              <w:top w:val="single" w:sz="2" w:space="0" w:color="65C5B4" w:themeColor="accent1"/>
              <w:bottom w:val="single" w:sz="2" w:space="0" w:color="65C5B4" w:themeColor="accent1"/>
            </w:tcBorders>
            <w:shd w:val="clear" w:color="auto" w:fill="auto"/>
            <w:noWrap/>
          </w:tcPr>
          <w:p w14:paraId="4BB85B32"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B70F6C" w:rsidRPr="00130334" w14:paraId="3325DEEE" w14:textId="77777777" w:rsidTr="00B70F6C">
        <w:trPr>
          <w:cnfStyle w:val="100000000000" w:firstRow="1" w:lastRow="0" w:firstColumn="0" w:lastColumn="0" w:oddVBand="0" w:evenVBand="0" w:oddHBand="0" w:evenHBand="0" w:firstRowFirstColumn="0" w:firstRowLastColumn="0" w:lastRowFirstColumn="0" w:lastRowLastColumn="0"/>
          <w:trHeight w:val="284"/>
        </w:trPr>
        <w:tc>
          <w:tcPr>
            <w:tcW w:w="2473" w:type="pct"/>
            <w:vAlign w:val="center"/>
          </w:tcPr>
          <w:p w14:paraId="6A0DA76E"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INL921 – Kiribati Facility</w:t>
            </w:r>
          </w:p>
        </w:tc>
        <w:tc>
          <w:tcPr>
            <w:tcW w:w="701" w:type="pct"/>
          </w:tcPr>
          <w:p w14:paraId="45235FBA" w14:textId="56F9AD65" w:rsidR="00B70F6C" w:rsidRPr="00130334" w:rsidRDefault="00B70F6C" w:rsidP="00B70F6C">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$20m</w:t>
            </w:r>
          </w:p>
        </w:tc>
        <w:tc>
          <w:tcPr>
            <w:tcW w:w="736" w:type="pct"/>
          </w:tcPr>
          <w:p w14:paraId="791C32F7"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2019 AQC</w:t>
            </w:r>
          </w:p>
        </w:tc>
        <w:tc>
          <w:tcPr>
            <w:tcW w:w="328" w:type="pct"/>
            <w:shd w:val="clear" w:color="auto" w:fill="auto"/>
            <w:noWrap/>
          </w:tcPr>
          <w:p w14:paraId="49DC2A1C"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8" w:type="pct"/>
            <w:shd w:val="clear" w:color="auto" w:fill="auto"/>
            <w:noWrap/>
          </w:tcPr>
          <w:p w14:paraId="1E486218"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8" w:type="pct"/>
            <w:shd w:val="clear" w:color="auto" w:fill="auto"/>
            <w:noWrap/>
          </w:tcPr>
          <w:p w14:paraId="59E7F81A"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B70F6C" w:rsidRPr="00130334" w14:paraId="7DD1E3F4" w14:textId="77777777" w:rsidTr="00B70F6C">
        <w:trPr>
          <w:cnfStyle w:val="100000000000" w:firstRow="1" w:lastRow="0" w:firstColumn="0" w:lastColumn="0" w:oddVBand="0" w:evenVBand="0" w:oddHBand="0" w:evenHBand="0" w:firstRowFirstColumn="0" w:firstRowLastColumn="0" w:lastRowFirstColumn="0" w:lastRowLastColumn="0"/>
          <w:trHeight w:val="284"/>
        </w:trPr>
        <w:tc>
          <w:tcPr>
            <w:tcW w:w="2473" w:type="pct"/>
          </w:tcPr>
          <w:p w14:paraId="4EE61000"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p>
        </w:tc>
        <w:tc>
          <w:tcPr>
            <w:tcW w:w="701" w:type="pct"/>
          </w:tcPr>
          <w:p w14:paraId="6B00AB09" w14:textId="3D67ECF1"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2016-20</w:t>
            </w:r>
          </w:p>
        </w:tc>
        <w:tc>
          <w:tcPr>
            <w:tcW w:w="736" w:type="pct"/>
          </w:tcPr>
          <w:p w14:paraId="13AE6CB6" w14:textId="77777777" w:rsidR="00B70F6C" w:rsidRPr="00130334" w:rsidRDefault="00B70F6C" w:rsidP="00366400">
            <w:pPr>
              <w:keepLines/>
              <w:spacing w:before="40" w:after="40" w:line="200" w:lineRule="atLeast"/>
              <w:rPr>
                <w:rFonts w:asciiTheme="minorHAnsi" w:eastAsia="Times New Roman" w:hAnsiTheme="minorHAnsi"/>
                <w:iCs/>
                <w:szCs w:val="17"/>
                <w:lang w:eastAsia="en-US"/>
              </w:rPr>
            </w:pPr>
            <w:r w:rsidRPr="00130334">
              <w:rPr>
                <w:rFonts w:asciiTheme="minorHAnsi" w:eastAsia="Times New Roman" w:hAnsiTheme="minorHAnsi"/>
                <w:iCs/>
                <w:szCs w:val="17"/>
                <w:lang w:eastAsia="en-US"/>
              </w:rPr>
              <w:t>2020 AQC</w:t>
            </w:r>
          </w:p>
        </w:tc>
        <w:tc>
          <w:tcPr>
            <w:tcW w:w="328" w:type="pct"/>
            <w:shd w:val="clear" w:color="auto" w:fill="auto"/>
            <w:noWrap/>
          </w:tcPr>
          <w:p w14:paraId="258D4016"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8" w:type="pct"/>
            <w:shd w:val="clear" w:color="auto" w:fill="auto"/>
            <w:noWrap/>
          </w:tcPr>
          <w:p w14:paraId="36E047C9"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328" w:type="pct"/>
            <w:shd w:val="clear" w:color="auto" w:fill="auto"/>
            <w:noWrap/>
          </w:tcPr>
          <w:p w14:paraId="552EC1E9" w14:textId="77777777" w:rsidR="00B70F6C" w:rsidRPr="00130334" w:rsidRDefault="00B70F6C" w:rsidP="003664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bl>
    <w:p w14:paraId="66CA5985" w14:textId="77777777" w:rsidR="00D762BD" w:rsidRDefault="00D762BD" w:rsidP="003C4E64">
      <w:pPr>
        <w:spacing w:before="20" w:after="20" w:line="180" w:lineRule="atLeast"/>
        <w:jc w:val="both"/>
        <w:rPr>
          <w:rFonts w:eastAsia="Times New Roman"/>
          <w:b/>
          <w:sz w:val="16"/>
          <w:szCs w:val="14"/>
        </w:rPr>
      </w:pPr>
    </w:p>
    <w:p w14:paraId="30868FB3" w14:textId="693664EA" w:rsidR="003C4E64" w:rsidRPr="00812509" w:rsidRDefault="003C4E64" w:rsidP="003C4E64">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bookmarkStart w:id="0" w:name="_GoBack"/>
      <w:bookmarkEnd w:id="0"/>
    </w:p>
    <w:p w14:paraId="35439694" w14:textId="77777777" w:rsidR="003C4E64" w:rsidRPr="00B927C4" w:rsidRDefault="003C4E64" w:rsidP="003C4E64">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7CF4695A" w14:textId="77777777" w:rsidR="003C4E64" w:rsidRPr="00812509" w:rsidRDefault="003C4E64" w:rsidP="003C4E64">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477AADBC" w14:textId="77777777" w:rsidR="003C4E64" w:rsidRPr="00812509" w:rsidRDefault="003C4E64" w:rsidP="003C4E64">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4867F1DE" w14:textId="77777777" w:rsidR="003C4E64" w:rsidRPr="00B927C4" w:rsidRDefault="003C4E64" w:rsidP="003C4E64">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56B6B30E" w14:textId="77777777" w:rsidR="003C4E64" w:rsidRPr="00812509" w:rsidRDefault="003C4E64" w:rsidP="003C4E64">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39FFFF05" w14:textId="77777777" w:rsidR="003C4E64" w:rsidRPr="0061733A" w:rsidRDefault="003C4E64" w:rsidP="003C4E64">
      <w:pPr>
        <w:spacing w:before="20" w:after="20" w:line="180" w:lineRule="atLeast"/>
      </w:pPr>
      <w:r w:rsidRPr="00812509">
        <w:rPr>
          <w:rFonts w:eastAsia="Times New Roman"/>
          <w:b/>
          <w:sz w:val="16"/>
          <w:szCs w:val="14"/>
        </w:rPr>
        <w:t xml:space="preserve"> 2 = Poor; does not satisfy criteria in major areas.  1 = Very poor; does not satisfy criteria in many major area.</w:t>
      </w:r>
    </w:p>
    <w:p w14:paraId="0E249C92" w14:textId="77777777" w:rsidR="00E42C9B" w:rsidRDefault="00E42C9B" w:rsidP="00E63928">
      <w:pPr>
        <w:pStyle w:val="Subtitle"/>
        <w:numPr>
          <w:ilvl w:val="0"/>
          <w:numId w:val="0"/>
        </w:numPr>
        <w:spacing w:before="360" w:after="120" w:line="300" w:lineRule="exact"/>
        <w:rPr>
          <w:rFonts w:asciiTheme="majorHAnsi" w:hAnsiTheme="majorHAnsi" w:cstheme="majorHAnsi"/>
          <w:sz w:val="28"/>
          <w:szCs w:val="28"/>
        </w:rPr>
      </w:pPr>
    </w:p>
    <w:sectPr w:rsidR="00E42C9B" w:rsidSect="00EC3C2D">
      <w:headerReference w:type="even" r:id="rId24"/>
      <w:headerReference w:type="default" r:id="rId25"/>
      <w:headerReference w:type="first" r:id="rId26"/>
      <w:footerReference w:type="first" r:id="rId27"/>
      <w:pgSz w:w="11906" w:h="16838" w:code="9"/>
      <w:pgMar w:top="1701" w:right="1134" w:bottom="1418" w:left="1134" w:header="425" w:footer="493" w:gutter="0"/>
      <w:cols w:space="397"/>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86C" w16cex:dateUtc="2020-08-26T03:17:00Z"/>
  <w16cex:commentExtensible w16cex:durableId="22F0DB40" w16cex:dateUtc="2020-08-26T03:29:00Z"/>
  <w16cex:commentExtensible w16cex:durableId="22F0D97D" w16cex:dateUtc="2020-08-26T03: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B6769" w14:textId="77777777" w:rsidR="002B0912" w:rsidRDefault="002B0912" w:rsidP="00D37B04">
      <w:r>
        <w:separator/>
      </w:r>
    </w:p>
  </w:endnote>
  <w:endnote w:type="continuationSeparator" w:id="0">
    <w:p w14:paraId="3877E80B" w14:textId="77777777" w:rsidR="002B0912" w:rsidRDefault="002B0912"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410D" w14:textId="77777777" w:rsidR="005C14B5" w:rsidRDefault="005C1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8451" w14:textId="77777777" w:rsidR="00230777" w:rsidRPr="00FC322F" w:rsidRDefault="00230777" w:rsidP="00FC322F">
    <w:pPr>
      <w:pStyle w:val="Footer"/>
      <w:rPr>
        <w:b/>
      </w:rPr>
    </w:pPr>
    <w:r w:rsidRPr="00FC322F">
      <w:rPr>
        <w:b/>
        <w:noProof/>
        <w:lang w:val="en-AU" w:eastAsia="en-AU"/>
      </w:rPr>
      <w:drawing>
        <wp:inline distT="0" distB="0" distL="0" distR="0" wp14:anchorId="7E60D264" wp14:editId="6374487A">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19085"/>
      <w:docPartObj>
        <w:docPartGallery w:val="Page Numbers (Bottom of Page)"/>
        <w:docPartUnique/>
      </w:docPartObj>
    </w:sdtPr>
    <w:sdtEndPr>
      <w:rPr>
        <w:noProof/>
      </w:rPr>
    </w:sdtEndPr>
    <w:sdtContent>
      <w:p w14:paraId="53EB4B41" w14:textId="13281567" w:rsidR="00172FB8" w:rsidRDefault="00172FB8">
        <w:pPr>
          <w:pStyle w:val="Footer"/>
          <w:jc w:val="center"/>
        </w:pPr>
        <w:r>
          <w:fldChar w:fldCharType="begin"/>
        </w:r>
        <w:r>
          <w:instrText xml:space="preserve"> PAGE   \* MERGEFORMAT </w:instrText>
        </w:r>
        <w:r>
          <w:fldChar w:fldCharType="separate"/>
        </w:r>
        <w:r w:rsidR="00AF4C2A">
          <w:rPr>
            <w:noProof/>
          </w:rPr>
          <w:t>1</w:t>
        </w:r>
        <w:r>
          <w:rPr>
            <w:noProof/>
          </w:rPr>
          <w:fldChar w:fldCharType="end"/>
        </w:r>
      </w:p>
    </w:sdtContent>
  </w:sdt>
  <w:p w14:paraId="62DEA473" w14:textId="19CFCCAA" w:rsidR="00230777" w:rsidRPr="00FC322F" w:rsidRDefault="00230777"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586688"/>
      <w:docPartObj>
        <w:docPartGallery w:val="Page Numbers (Bottom of Page)"/>
        <w:docPartUnique/>
      </w:docPartObj>
    </w:sdtPr>
    <w:sdtEndPr>
      <w:rPr>
        <w:noProof/>
      </w:rPr>
    </w:sdtEndPr>
    <w:sdtContent>
      <w:p w14:paraId="06D9576D" w14:textId="06736E15" w:rsidR="00172FB8" w:rsidRDefault="00172FB8">
        <w:pPr>
          <w:pStyle w:val="Footer"/>
          <w:jc w:val="center"/>
        </w:pPr>
        <w:r>
          <w:fldChar w:fldCharType="begin"/>
        </w:r>
        <w:r>
          <w:instrText xml:space="preserve"> PAGE   \* MERGEFORMAT </w:instrText>
        </w:r>
        <w:r>
          <w:fldChar w:fldCharType="separate"/>
        </w:r>
        <w:r w:rsidR="00AF4C2A">
          <w:rPr>
            <w:noProof/>
          </w:rPr>
          <w:t>2</w:t>
        </w:r>
        <w:r>
          <w:rPr>
            <w:noProof/>
          </w:rPr>
          <w:fldChar w:fldCharType="end"/>
        </w:r>
      </w:p>
    </w:sdtContent>
  </w:sdt>
  <w:p w14:paraId="29CD8E6F" w14:textId="7F44A0CA" w:rsidR="00FC322F" w:rsidRPr="00FC322F" w:rsidRDefault="00FC322F" w:rsidP="00FC322F">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CEEB" w14:textId="77777777" w:rsidR="00FC322F" w:rsidRPr="00FC322F" w:rsidRDefault="00FC322F" w:rsidP="00FC322F">
    <w:pPr>
      <w:pStyle w:val="Footer"/>
      <w:rPr>
        <w:b/>
      </w:rPr>
    </w:pPr>
    <w:r w:rsidRPr="00FC322F">
      <w:rPr>
        <w:b/>
        <w:noProof/>
        <w:lang w:val="en-AU" w:eastAsia="en-AU"/>
      </w:rPr>
      <w:drawing>
        <wp:inline distT="0" distB="0" distL="0" distR="0" wp14:anchorId="585CDD85" wp14:editId="7DAB1A98">
          <wp:extent cx="108000" cy="87480"/>
          <wp:effectExtent l="0" t="0" r="6350" b="8255"/>
          <wp:docPr id="29" name="Picture 2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822848"/>
      <w:docPartObj>
        <w:docPartGallery w:val="Page Numbers (Bottom of Page)"/>
        <w:docPartUnique/>
      </w:docPartObj>
    </w:sdtPr>
    <w:sdtEndPr>
      <w:rPr>
        <w:noProof/>
      </w:rPr>
    </w:sdtEndPr>
    <w:sdtContent>
      <w:p w14:paraId="59D959E3" w14:textId="4F6F4E1C" w:rsidR="00172FB8" w:rsidRDefault="00172FB8">
        <w:pPr>
          <w:pStyle w:val="Footer"/>
          <w:jc w:val="center"/>
        </w:pPr>
        <w:r>
          <w:fldChar w:fldCharType="begin"/>
        </w:r>
        <w:r>
          <w:instrText xml:space="preserve"> PAGE   \* MERGEFORMAT </w:instrText>
        </w:r>
        <w:r>
          <w:fldChar w:fldCharType="separate"/>
        </w:r>
        <w:r w:rsidR="00AF4C2A">
          <w:rPr>
            <w:noProof/>
          </w:rPr>
          <w:t>3</w:t>
        </w:r>
        <w:r>
          <w:rPr>
            <w:noProof/>
          </w:rPr>
          <w:fldChar w:fldCharType="end"/>
        </w:r>
      </w:p>
    </w:sdtContent>
  </w:sdt>
  <w:p w14:paraId="0D897AE9" w14:textId="5072A965"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5F7DA" w14:textId="77777777" w:rsidR="002B0912" w:rsidRPr="008C5A0E" w:rsidRDefault="002B0912" w:rsidP="00D37B04">
      <w:pPr>
        <w:pStyle w:val="Footer"/>
      </w:pPr>
    </w:p>
  </w:footnote>
  <w:footnote w:type="continuationSeparator" w:id="0">
    <w:p w14:paraId="6FF012D4" w14:textId="77777777" w:rsidR="002B0912" w:rsidRDefault="002B0912"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C031" w14:textId="77777777" w:rsidR="005C14B5" w:rsidRDefault="005C1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0915" w14:textId="77777777" w:rsidR="00230777" w:rsidRPr="000854FD" w:rsidRDefault="00230777" w:rsidP="002D5B25">
    <w:pPr>
      <w:pStyle w:val="Header"/>
    </w:pPr>
    <w:r w:rsidRPr="00943730">
      <w:rPr>
        <w:noProof/>
        <w:lang w:val="en-AU" w:eastAsia="en-AU"/>
      </w:rPr>
      <w:drawing>
        <wp:anchor distT="0" distB="0" distL="114300" distR="114300" simplePos="0" relativeHeight="251668480" behindDoc="1" locked="1" layoutInCell="1" allowOverlap="1" wp14:anchorId="12E4EF00" wp14:editId="5D49AA86">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6AFE" w14:textId="77777777" w:rsidR="00230777" w:rsidRPr="00943730" w:rsidRDefault="00230777" w:rsidP="0090092E">
    <w:pPr>
      <w:pStyle w:val="Header"/>
      <w:ind w:left="0"/>
    </w:pPr>
    <w:r w:rsidRPr="00252C04">
      <w:rPr>
        <w:noProof/>
        <w:lang w:val="en-AU" w:eastAsia="en-AU"/>
      </w:rPr>
      <w:drawing>
        <wp:anchor distT="0" distB="0" distL="114300" distR="114300" simplePos="0" relativeHeight="251669504" behindDoc="1" locked="1" layoutInCell="1" allowOverlap="1" wp14:anchorId="7F0D5DC9" wp14:editId="6E1FCA5E">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64AB6B6B" wp14:editId="54A3635F">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2D40C3D9" wp14:editId="1B280AA8">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C517"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3A4D2F3E" wp14:editId="6A2D8C05">
          <wp:simplePos x="0" y="0"/>
          <wp:positionH relativeFrom="page">
            <wp:posOffset>12700</wp:posOffset>
          </wp:positionH>
          <wp:positionV relativeFrom="page">
            <wp:posOffset>0</wp:posOffset>
          </wp:positionV>
          <wp:extent cx="7559040" cy="10692765"/>
          <wp:effectExtent l="0" t="0" r="381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4BB7" w14:textId="42023753"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B70F6C">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40809CD2" wp14:editId="70619679">
          <wp:simplePos x="0" y="0"/>
          <wp:positionH relativeFrom="page">
            <wp:posOffset>5724525</wp:posOffset>
          </wp:positionH>
          <wp:positionV relativeFrom="page">
            <wp:posOffset>720090</wp:posOffset>
          </wp:positionV>
          <wp:extent cx="1115060" cy="512445"/>
          <wp:effectExtent l="0" t="0" r="8890" b="190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0CA03117" wp14:editId="6AD6870E">
          <wp:simplePos x="0" y="0"/>
          <wp:positionH relativeFrom="page">
            <wp:posOffset>720090</wp:posOffset>
          </wp:positionH>
          <wp:positionV relativeFrom="page">
            <wp:posOffset>683895</wp:posOffset>
          </wp:positionV>
          <wp:extent cx="3166745" cy="55435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5CE80C6" wp14:editId="430821E4">
          <wp:simplePos x="0" y="0"/>
          <wp:positionH relativeFrom="page">
            <wp:posOffset>12700</wp:posOffset>
          </wp:positionH>
          <wp:positionV relativeFrom="page">
            <wp:posOffset>-69850</wp:posOffset>
          </wp:positionV>
          <wp:extent cx="10585450" cy="10692130"/>
          <wp:effectExtent l="0" t="0" r="635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F25A" w14:textId="77777777" w:rsidR="00494F98" w:rsidRPr="000854FD" w:rsidRDefault="00494F98" w:rsidP="002D5B25">
    <w:pPr>
      <w:pStyle w:val="Header"/>
    </w:pPr>
    <w:r w:rsidRPr="00943730">
      <w:rPr>
        <w:noProof/>
        <w:lang w:val="en-AU" w:eastAsia="en-AU"/>
      </w:rPr>
      <w:drawing>
        <wp:anchor distT="0" distB="0" distL="114300" distR="114300" simplePos="0" relativeHeight="251674624" behindDoc="1" locked="1" layoutInCell="1" allowOverlap="1" wp14:anchorId="28282CE9" wp14:editId="2A0900C5">
          <wp:simplePos x="0" y="0"/>
          <wp:positionH relativeFrom="page">
            <wp:posOffset>12700</wp:posOffset>
          </wp:positionH>
          <wp:positionV relativeFrom="page">
            <wp:posOffset>0</wp:posOffset>
          </wp:positionV>
          <wp:extent cx="7559040" cy="10692765"/>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A2B2" w14:textId="77777777" w:rsidR="00B637DD" w:rsidRDefault="00B637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9598"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13734AEF" wp14:editId="2167FA5C">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F0AF"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48D9253F" wp14:editId="2CFC5664">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6"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4" w15:restartNumberingAfterBreak="0">
    <w:nsid w:val="52553D9F"/>
    <w:multiLevelType w:val="multilevel"/>
    <w:tmpl w:val="A6FA45D0"/>
    <w:numStyleLink w:val="BulletsList"/>
  </w:abstractNum>
  <w:abstractNum w:abstractNumId="25" w15:restartNumberingAfterBreak="0">
    <w:nsid w:val="56314FFB"/>
    <w:multiLevelType w:val="hybridMultilevel"/>
    <w:tmpl w:val="0EEE3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B3A06FB"/>
    <w:multiLevelType w:val="hybridMultilevel"/>
    <w:tmpl w:val="E66A30FC"/>
    <w:lvl w:ilvl="0" w:tplc="7D7469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B2748C"/>
    <w:multiLevelType w:val="hybridMultilevel"/>
    <w:tmpl w:val="20DAC706"/>
    <w:lvl w:ilvl="0" w:tplc="9AF41334">
      <w:start w:val="2"/>
      <w:numFmt w:val="bullet"/>
      <w:lvlText w:val="-"/>
      <w:lvlJc w:val="left"/>
      <w:pPr>
        <w:ind w:left="397" w:hanging="360"/>
      </w:pPr>
      <w:rPr>
        <w:rFonts w:ascii="Calibri Light" w:eastAsiaTheme="majorEastAsia" w:hAnsi="Calibri Light" w:cs="Calibri Light" w:hint="default"/>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29" w15:restartNumberingAfterBreak="0">
    <w:nsid w:val="5D3C1EA7"/>
    <w:multiLevelType w:val="multilevel"/>
    <w:tmpl w:val="A6FA45D0"/>
    <w:numStyleLink w:val="BulletsList"/>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5507725"/>
    <w:multiLevelType w:val="hybridMultilevel"/>
    <w:tmpl w:val="4DFE6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5A233A2"/>
    <w:multiLevelType w:val="hybridMultilevel"/>
    <w:tmpl w:val="4E0C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7"/>
  </w:num>
  <w:num w:numId="23">
    <w:abstractNumId w:val="17"/>
  </w:num>
  <w:num w:numId="24">
    <w:abstractNumId w:val="29"/>
  </w:num>
  <w:num w:numId="25">
    <w:abstractNumId w:val="29"/>
  </w:num>
  <w:num w:numId="26">
    <w:abstractNumId w:val="29"/>
  </w:num>
  <w:num w:numId="27">
    <w:abstractNumId w:val="26"/>
  </w:num>
  <w:num w:numId="28">
    <w:abstractNumId w:val="11"/>
  </w:num>
  <w:num w:numId="29">
    <w:abstractNumId w:val="11"/>
  </w:num>
  <w:num w:numId="30">
    <w:abstractNumId w:val="11"/>
  </w:num>
  <w:num w:numId="31">
    <w:abstractNumId w:val="14"/>
  </w:num>
  <w:num w:numId="32">
    <w:abstractNumId w:val="36"/>
  </w:num>
  <w:num w:numId="33">
    <w:abstractNumId w:val="2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3"/>
  </w:num>
  <w:num w:numId="37">
    <w:abstractNumId w:val="22"/>
  </w:num>
  <w:num w:numId="38">
    <w:abstractNumId w:val="21"/>
  </w:num>
  <w:num w:numId="39">
    <w:abstractNumId w:val="16"/>
  </w:num>
  <w:num w:numId="40">
    <w:abstractNumId w:val="12"/>
  </w:num>
  <w:num w:numId="41">
    <w:abstractNumId w:val="18"/>
  </w:num>
  <w:num w:numId="42">
    <w:abstractNumId w:val="15"/>
  </w:num>
  <w:num w:numId="43">
    <w:abstractNumId w:val="23"/>
  </w:num>
  <w:num w:numId="44">
    <w:abstractNumId w:val="20"/>
  </w:num>
  <w:num w:numId="45">
    <w:abstractNumId w:val="35"/>
  </w:num>
  <w:num w:numId="46">
    <w:abstractNumId w:val="32"/>
  </w:num>
  <w:num w:numId="47">
    <w:abstractNumId w:val="27"/>
  </w:num>
  <w:num w:numId="48">
    <w:abstractNumId w:val="31"/>
  </w:num>
  <w:num w:numId="49">
    <w:abstractNumId w:val="2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5783"/>
    <w:rsid w:val="0002080A"/>
    <w:rsid w:val="00023CFC"/>
    <w:rsid w:val="0002782F"/>
    <w:rsid w:val="00035BBF"/>
    <w:rsid w:val="00040DF1"/>
    <w:rsid w:val="00044653"/>
    <w:rsid w:val="00050806"/>
    <w:rsid w:val="000546D9"/>
    <w:rsid w:val="00054AAA"/>
    <w:rsid w:val="00054E4D"/>
    <w:rsid w:val="00057839"/>
    <w:rsid w:val="00060073"/>
    <w:rsid w:val="000616C6"/>
    <w:rsid w:val="00071788"/>
    <w:rsid w:val="000854FD"/>
    <w:rsid w:val="000A14D8"/>
    <w:rsid w:val="000A3256"/>
    <w:rsid w:val="000B37F5"/>
    <w:rsid w:val="000B5AB5"/>
    <w:rsid w:val="000C2E4F"/>
    <w:rsid w:val="000C2FB7"/>
    <w:rsid w:val="000C5205"/>
    <w:rsid w:val="000D4D29"/>
    <w:rsid w:val="000D66D6"/>
    <w:rsid w:val="000D6A70"/>
    <w:rsid w:val="00110C81"/>
    <w:rsid w:val="00113288"/>
    <w:rsid w:val="00114D09"/>
    <w:rsid w:val="00114F6B"/>
    <w:rsid w:val="001214BE"/>
    <w:rsid w:val="0013101C"/>
    <w:rsid w:val="001429DF"/>
    <w:rsid w:val="00145169"/>
    <w:rsid w:val="001461D6"/>
    <w:rsid w:val="001541EA"/>
    <w:rsid w:val="00156690"/>
    <w:rsid w:val="001616D0"/>
    <w:rsid w:val="00162D74"/>
    <w:rsid w:val="00172FB8"/>
    <w:rsid w:val="00176DF6"/>
    <w:rsid w:val="00184BED"/>
    <w:rsid w:val="00185A8B"/>
    <w:rsid w:val="00186766"/>
    <w:rsid w:val="001907AA"/>
    <w:rsid w:val="001962F2"/>
    <w:rsid w:val="001A7ED5"/>
    <w:rsid w:val="001C50B3"/>
    <w:rsid w:val="001D663E"/>
    <w:rsid w:val="001E1DC0"/>
    <w:rsid w:val="00202325"/>
    <w:rsid w:val="00203277"/>
    <w:rsid w:val="00205B2E"/>
    <w:rsid w:val="002068B7"/>
    <w:rsid w:val="00211E86"/>
    <w:rsid w:val="00213A46"/>
    <w:rsid w:val="00213D97"/>
    <w:rsid w:val="0022631C"/>
    <w:rsid w:val="00230777"/>
    <w:rsid w:val="00235EAB"/>
    <w:rsid w:val="00252C04"/>
    <w:rsid w:val="002646C3"/>
    <w:rsid w:val="00265DDB"/>
    <w:rsid w:val="00273132"/>
    <w:rsid w:val="00276A54"/>
    <w:rsid w:val="0028602A"/>
    <w:rsid w:val="00293035"/>
    <w:rsid w:val="002A7F56"/>
    <w:rsid w:val="002B0912"/>
    <w:rsid w:val="002B5E10"/>
    <w:rsid w:val="002C0EB2"/>
    <w:rsid w:val="002C793D"/>
    <w:rsid w:val="002D5B25"/>
    <w:rsid w:val="002F4F2B"/>
    <w:rsid w:val="003002C0"/>
    <w:rsid w:val="00301144"/>
    <w:rsid w:val="003031C6"/>
    <w:rsid w:val="00304984"/>
    <w:rsid w:val="00312BF8"/>
    <w:rsid w:val="003148B7"/>
    <w:rsid w:val="003158C3"/>
    <w:rsid w:val="0032653C"/>
    <w:rsid w:val="003274CD"/>
    <w:rsid w:val="00327BAD"/>
    <w:rsid w:val="00330E12"/>
    <w:rsid w:val="00333501"/>
    <w:rsid w:val="003365E4"/>
    <w:rsid w:val="003457C4"/>
    <w:rsid w:val="003500CF"/>
    <w:rsid w:val="0035119D"/>
    <w:rsid w:val="00365569"/>
    <w:rsid w:val="0037091B"/>
    <w:rsid w:val="00372FC5"/>
    <w:rsid w:val="003753EF"/>
    <w:rsid w:val="00384D40"/>
    <w:rsid w:val="00390828"/>
    <w:rsid w:val="0039344A"/>
    <w:rsid w:val="00395163"/>
    <w:rsid w:val="003B4F12"/>
    <w:rsid w:val="003C4E64"/>
    <w:rsid w:val="003D2BFF"/>
    <w:rsid w:val="003D4C6F"/>
    <w:rsid w:val="003F2041"/>
    <w:rsid w:val="00402ACC"/>
    <w:rsid w:val="004120EC"/>
    <w:rsid w:val="00423F31"/>
    <w:rsid w:val="00431128"/>
    <w:rsid w:val="00431899"/>
    <w:rsid w:val="00442055"/>
    <w:rsid w:val="00442D15"/>
    <w:rsid w:val="004518FF"/>
    <w:rsid w:val="00452298"/>
    <w:rsid w:val="00457282"/>
    <w:rsid w:val="004655AC"/>
    <w:rsid w:val="004777B3"/>
    <w:rsid w:val="00481586"/>
    <w:rsid w:val="00482AE8"/>
    <w:rsid w:val="0048492D"/>
    <w:rsid w:val="00486804"/>
    <w:rsid w:val="00487E52"/>
    <w:rsid w:val="004914B6"/>
    <w:rsid w:val="00491DB6"/>
    <w:rsid w:val="004939C4"/>
    <w:rsid w:val="00494F98"/>
    <w:rsid w:val="004A258D"/>
    <w:rsid w:val="004B1618"/>
    <w:rsid w:val="004B1886"/>
    <w:rsid w:val="004B3775"/>
    <w:rsid w:val="004C5598"/>
    <w:rsid w:val="004C6342"/>
    <w:rsid w:val="004C662A"/>
    <w:rsid w:val="004C6D09"/>
    <w:rsid w:val="004D0BA0"/>
    <w:rsid w:val="004E058F"/>
    <w:rsid w:val="004E3B87"/>
    <w:rsid w:val="004E6748"/>
    <w:rsid w:val="004F6E5A"/>
    <w:rsid w:val="00505577"/>
    <w:rsid w:val="00510921"/>
    <w:rsid w:val="00510AD3"/>
    <w:rsid w:val="00513348"/>
    <w:rsid w:val="00513AD8"/>
    <w:rsid w:val="00515979"/>
    <w:rsid w:val="005204D2"/>
    <w:rsid w:val="00522396"/>
    <w:rsid w:val="005247CD"/>
    <w:rsid w:val="00533B5D"/>
    <w:rsid w:val="005543A9"/>
    <w:rsid w:val="00584341"/>
    <w:rsid w:val="0058698F"/>
    <w:rsid w:val="00591B5F"/>
    <w:rsid w:val="005A02B8"/>
    <w:rsid w:val="005A20F6"/>
    <w:rsid w:val="005B55E8"/>
    <w:rsid w:val="005C14B5"/>
    <w:rsid w:val="005D3655"/>
    <w:rsid w:val="005E4830"/>
    <w:rsid w:val="005F0CF8"/>
    <w:rsid w:val="005F42E6"/>
    <w:rsid w:val="00604368"/>
    <w:rsid w:val="00622B86"/>
    <w:rsid w:val="00623BA1"/>
    <w:rsid w:val="006346BC"/>
    <w:rsid w:val="00651213"/>
    <w:rsid w:val="00660121"/>
    <w:rsid w:val="0066652A"/>
    <w:rsid w:val="00667907"/>
    <w:rsid w:val="006719C3"/>
    <w:rsid w:val="006724A9"/>
    <w:rsid w:val="0067788C"/>
    <w:rsid w:val="00680522"/>
    <w:rsid w:val="00682167"/>
    <w:rsid w:val="006C42AF"/>
    <w:rsid w:val="006D0056"/>
    <w:rsid w:val="006E716D"/>
    <w:rsid w:val="007031B5"/>
    <w:rsid w:val="00711163"/>
    <w:rsid w:val="0071116F"/>
    <w:rsid w:val="00711D8E"/>
    <w:rsid w:val="00712672"/>
    <w:rsid w:val="00715351"/>
    <w:rsid w:val="007175DD"/>
    <w:rsid w:val="00720E58"/>
    <w:rsid w:val="007238F5"/>
    <w:rsid w:val="00734E3F"/>
    <w:rsid w:val="00736985"/>
    <w:rsid w:val="00745DF5"/>
    <w:rsid w:val="0076250F"/>
    <w:rsid w:val="00764DD4"/>
    <w:rsid w:val="007706B8"/>
    <w:rsid w:val="00774EE4"/>
    <w:rsid w:val="00780FA5"/>
    <w:rsid w:val="00790171"/>
    <w:rsid w:val="007A5328"/>
    <w:rsid w:val="007A6663"/>
    <w:rsid w:val="007B06DC"/>
    <w:rsid w:val="007B59BC"/>
    <w:rsid w:val="007B6200"/>
    <w:rsid w:val="007C3F8D"/>
    <w:rsid w:val="007D2685"/>
    <w:rsid w:val="007D2E80"/>
    <w:rsid w:val="007D4D6B"/>
    <w:rsid w:val="007E3FF9"/>
    <w:rsid w:val="007E4969"/>
    <w:rsid w:val="007F3395"/>
    <w:rsid w:val="00801B9F"/>
    <w:rsid w:val="0080204D"/>
    <w:rsid w:val="00805B9C"/>
    <w:rsid w:val="00810213"/>
    <w:rsid w:val="00817DE6"/>
    <w:rsid w:val="00823B7F"/>
    <w:rsid w:val="0083052F"/>
    <w:rsid w:val="008328AA"/>
    <w:rsid w:val="008461BF"/>
    <w:rsid w:val="008475F0"/>
    <w:rsid w:val="008540EC"/>
    <w:rsid w:val="00854659"/>
    <w:rsid w:val="008557A7"/>
    <w:rsid w:val="00870507"/>
    <w:rsid w:val="00870928"/>
    <w:rsid w:val="008760E0"/>
    <w:rsid w:val="00880AFF"/>
    <w:rsid w:val="00885A62"/>
    <w:rsid w:val="00891D36"/>
    <w:rsid w:val="0089405C"/>
    <w:rsid w:val="00897FA2"/>
    <w:rsid w:val="008A5AFE"/>
    <w:rsid w:val="008C48F9"/>
    <w:rsid w:val="008C5A0E"/>
    <w:rsid w:val="008F4FD3"/>
    <w:rsid w:val="00925361"/>
    <w:rsid w:val="00927172"/>
    <w:rsid w:val="009278D2"/>
    <w:rsid w:val="00935ABC"/>
    <w:rsid w:val="00943730"/>
    <w:rsid w:val="0095053A"/>
    <w:rsid w:val="0095425A"/>
    <w:rsid w:val="00961E72"/>
    <w:rsid w:val="00972455"/>
    <w:rsid w:val="00972F2C"/>
    <w:rsid w:val="009744E6"/>
    <w:rsid w:val="00975CA5"/>
    <w:rsid w:val="00977676"/>
    <w:rsid w:val="00980574"/>
    <w:rsid w:val="00983AED"/>
    <w:rsid w:val="00986590"/>
    <w:rsid w:val="00992C76"/>
    <w:rsid w:val="009969D6"/>
    <w:rsid w:val="009A0908"/>
    <w:rsid w:val="009A3DD2"/>
    <w:rsid w:val="009B36BA"/>
    <w:rsid w:val="009B4D3B"/>
    <w:rsid w:val="009B7942"/>
    <w:rsid w:val="009C54A5"/>
    <w:rsid w:val="009D00E3"/>
    <w:rsid w:val="009D57C0"/>
    <w:rsid w:val="009D7407"/>
    <w:rsid w:val="009E0866"/>
    <w:rsid w:val="009E273C"/>
    <w:rsid w:val="009F1350"/>
    <w:rsid w:val="009F6423"/>
    <w:rsid w:val="009F713D"/>
    <w:rsid w:val="00A175B3"/>
    <w:rsid w:val="00A20036"/>
    <w:rsid w:val="00A24A62"/>
    <w:rsid w:val="00A31C9F"/>
    <w:rsid w:val="00A35285"/>
    <w:rsid w:val="00A4144F"/>
    <w:rsid w:val="00A61B4D"/>
    <w:rsid w:val="00A63917"/>
    <w:rsid w:val="00A80F95"/>
    <w:rsid w:val="00A87FE1"/>
    <w:rsid w:val="00A91795"/>
    <w:rsid w:val="00A940CA"/>
    <w:rsid w:val="00A97BF1"/>
    <w:rsid w:val="00A97C7B"/>
    <w:rsid w:val="00AA14F8"/>
    <w:rsid w:val="00AA298A"/>
    <w:rsid w:val="00AA315B"/>
    <w:rsid w:val="00AB376E"/>
    <w:rsid w:val="00AB4389"/>
    <w:rsid w:val="00AC164A"/>
    <w:rsid w:val="00AC68FC"/>
    <w:rsid w:val="00AE448A"/>
    <w:rsid w:val="00AF2050"/>
    <w:rsid w:val="00AF4C2A"/>
    <w:rsid w:val="00B0385D"/>
    <w:rsid w:val="00B03CA8"/>
    <w:rsid w:val="00B05089"/>
    <w:rsid w:val="00B11224"/>
    <w:rsid w:val="00B120ED"/>
    <w:rsid w:val="00B16FE3"/>
    <w:rsid w:val="00B208A4"/>
    <w:rsid w:val="00B21B69"/>
    <w:rsid w:val="00B305A8"/>
    <w:rsid w:val="00B30EF9"/>
    <w:rsid w:val="00B33C0A"/>
    <w:rsid w:val="00B5581D"/>
    <w:rsid w:val="00B55E19"/>
    <w:rsid w:val="00B637DD"/>
    <w:rsid w:val="00B6495A"/>
    <w:rsid w:val="00B66722"/>
    <w:rsid w:val="00B70B50"/>
    <w:rsid w:val="00B70F6C"/>
    <w:rsid w:val="00B927C4"/>
    <w:rsid w:val="00B94758"/>
    <w:rsid w:val="00B97FAC"/>
    <w:rsid w:val="00BA0538"/>
    <w:rsid w:val="00BA4B6D"/>
    <w:rsid w:val="00BB26C5"/>
    <w:rsid w:val="00BB73E0"/>
    <w:rsid w:val="00BC31BD"/>
    <w:rsid w:val="00BD2CB3"/>
    <w:rsid w:val="00BF4AB5"/>
    <w:rsid w:val="00BF4DE6"/>
    <w:rsid w:val="00C00653"/>
    <w:rsid w:val="00C06B13"/>
    <w:rsid w:val="00C13C99"/>
    <w:rsid w:val="00C27D25"/>
    <w:rsid w:val="00C32299"/>
    <w:rsid w:val="00C42541"/>
    <w:rsid w:val="00C425F7"/>
    <w:rsid w:val="00C42635"/>
    <w:rsid w:val="00C42CDE"/>
    <w:rsid w:val="00C5182A"/>
    <w:rsid w:val="00C542D3"/>
    <w:rsid w:val="00C61314"/>
    <w:rsid w:val="00C61858"/>
    <w:rsid w:val="00C63EE9"/>
    <w:rsid w:val="00CA16F3"/>
    <w:rsid w:val="00CA37B1"/>
    <w:rsid w:val="00CB1959"/>
    <w:rsid w:val="00CC741B"/>
    <w:rsid w:val="00CD0E4B"/>
    <w:rsid w:val="00CE4C89"/>
    <w:rsid w:val="00CF07BA"/>
    <w:rsid w:val="00CF6C83"/>
    <w:rsid w:val="00D00153"/>
    <w:rsid w:val="00D01BFC"/>
    <w:rsid w:val="00D0296C"/>
    <w:rsid w:val="00D134A0"/>
    <w:rsid w:val="00D32D6F"/>
    <w:rsid w:val="00D37560"/>
    <w:rsid w:val="00D37B04"/>
    <w:rsid w:val="00D540C6"/>
    <w:rsid w:val="00D64BD1"/>
    <w:rsid w:val="00D65749"/>
    <w:rsid w:val="00D75D4C"/>
    <w:rsid w:val="00D762BD"/>
    <w:rsid w:val="00D813DF"/>
    <w:rsid w:val="00D92254"/>
    <w:rsid w:val="00D93BC6"/>
    <w:rsid w:val="00DA270D"/>
    <w:rsid w:val="00DB29EC"/>
    <w:rsid w:val="00DE084C"/>
    <w:rsid w:val="00E01F9D"/>
    <w:rsid w:val="00E07458"/>
    <w:rsid w:val="00E14F51"/>
    <w:rsid w:val="00E310F7"/>
    <w:rsid w:val="00E357B7"/>
    <w:rsid w:val="00E3589D"/>
    <w:rsid w:val="00E41655"/>
    <w:rsid w:val="00E42C9B"/>
    <w:rsid w:val="00E53800"/>
    <w:rsid w:val="00E6081F"/>
    <w:rsid w:val="00E63928"/>
    <w:rsid w:val="00E655FE"/>
    <w:rsid w:val="00E8296D"/>
    <w:rsid w:val="00E8457B"/>
    <w:rsid w:val="00E940CB"/>
    <w:rsid w:val="00EA04B2"/>
    <w:rsid w:val="00EA20F3"/>
    <w:rsid w:val="00EB1788"/>
    <w:rsid w:val="00EB398C"/>
    <w:rsid w:val="00EB43D4"/>
    <w:rsid w:val="00EC3C2D"/>
    <w:rsid w:val="00EC4D28"/>
    <w:rsid w:val="00EC53BA"/>
    <w:rsid w:val="00ED2831"/>
    <w:rsid w:val="00ED43D1"/>
    <w:rsid w:val="00EE1027"/>
    <w:rsid w:val="00EE25F4"/>
    <w:rsid w:val="00EE4EE1"/>
    <w:rsid w:val="00EF4574"/>
    <w:rsid w:val="00EF5FB3"/>
    <w:rsid w:val="00F25A93"/>
    <w:rsid w:val="00F2684E"/>
    <w:rsid w:val="00F30087"/>
    <w:rsid w:val="00F31695"/>
    <w:rsid w:val="00F34576"/>
    <w:rsid w:val="00F366DB"/>
    <w:rsid w:val="00F50AC6"/>
    <w:rsid w:val="00F5404C"/>
    <w:rsid w:val="00F617F9"/>
    <w:rsid w:val="00F729EF"/>
    <w:rsid w:val="00F744A2"/>
    <w:rsid w:val="00F74546"/>
    <w:rsid w:val="00F77CAE"/>
    <w:rsid w:val="00F82271"/>
    <w:rsid w:val="00F83428"/>
    <w:rsid w:val="00F94A5D"/>
    <w:rsid w:val="00F950F7"/>
    <w:rsid w:val="00F96BB9"/>
    <w:rsid w:val="00FA64A9"/>
    <w:rsid w:val="00FA69AF"/>
    <w:rsid w:val="00FA7833"/>
    <w:rsid w:val="00FB6D8C"/>
    <w:rsid w:val="00FC322F"/>
    <w:rsid w:val="00FD779B"/>
    <w:rsid w:val="00FE49E6"/>
    <w:rsid w:val="00FE6D51"/>
    <w:rsid w:val="00FE6F2A"/>
    <w:rsid w:val="00FF08F7"/>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E24286F"/>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4914B6"/>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914B6"/>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4914B6"/>
    <w:pPr>
      <w:spacing w:before="0" w:after="0" w:line="240" w:lineRule="exact"/>
      <w:ind w:left="284" w:right="284"/>
    </w:pPr>
    <w:rPr>
      <w:color w:val="auto"/>
    </w:rPr>
  </w:style>
  <w:style w:type="character" w:customStyle="1" w:styleId="FooterChar">
    <w:name w:val="Footer Char"/>
    <w:basedOn w:val="DefaultParagraphFont"/>
    <w:link w:val="Footer"/>
    <w:uiPriority w:val="99"/>
    <w:rsid w:val="004914B6"/>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4914B6"/>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27219397">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367368790">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2.xml><?xml version="1.0" encoding="utf-8"?>
<ds:datastoreItem xmlns:ds="http://schemas.openxmlformats.org/officeDocument/2006/customXml" ds:itemID="{8E44B631-7640-4A17-8550-BEE8955DE750}">
  <ds:schemaRefs>
    <ds:schemaRef ds:uri="6b894c73-1921-4299-aefc-49f5a4cb1310"/>
    <ds:schemaRef ds:uri="http://schemas.microsoft.com/office/2006/documentManagement/types"/>
    <ds:schemaRef ds:uri="http://schemas.microsoft.com/office/2006/metadata/properties"/>
    <ds:schemaRef ds:uri="http://schemas.microsoft.com/office/infopath/2007/PartnerControls"/>
    <ds:schemaRef ds:uri="http://purl.org/dc/elements/1.1/"/>
    <ds:schemaRef ds:uri="349e11ad-1311-4134-818c-bb844dbfed5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721FB-94FF-4C62-8AF6-F8B11AAF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10</cp:revision>
  <cp:lastPrinted>2020-07-16T03:36:00Z</cp:lastPrinted>
  <dcterms:created xsi:type="dcterms:W3CDTF">2020-11-03T06:14:00Z</dcterms:created>
  <dcterms:modified xsi:type="dcterms:W3CDTF">2020-11-17T05:39:00Z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2e3f980d-87bc-48e2-ae89-3fd29753ea9d</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